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E347D5" w:rsidP="00E347D5">
      <w:pPr>
        <w:pStyle w:val="Heading1"/>
        <w:jc w:val="center"/>
      </w:pPr>
      <w:r>
        <w:t>ASCRC Minutes 1</w:t>
      </w:r>
      <w:r w:rsidR="0066154A">
        <w:t>2</w:t>
      </w:r>
      <w:r>
        <w:t>/</w:t>
      </w:r>
      <w:r w:rsidR="0066154A">
        <w:t>1</w:t>
      </w:r>
      <w:r>
        <w:t>/15</w:t>
      </w:r>
    </w:p>
    <w:p w:rsidR="00E347D5" w:rsidRDefault="00E347D5" w:rsidP="00E347D5">
      <w:pPr>
        <w:ind w:left="720"/>
        <w:jc w:val="center"/>
      </w:pPr>
      <w:r>
        <w:t>GBB 205, 2:10 p.m.</w:t>
      </w:r>
    </w:p>
    <w:p w:rsidR="00E347D5" w:rsidRDefault="00E347D5" w:rsidP="00E347D5">
      <w:pPr>
        <w:pStyle w:val="Heading2"/>
        <w:rPr>
          <w:rStyle w:val="Heading2Char"/>
          <w:i/>
          <w:sz w:val="24"/>
          <w:szCs w:val="24"/>
        </w:rPr>
      </w:pPr>
      <w:r>
        <w:t>Call to Order</w:t>
      </w:r>
      <w:r>
        <w:br/>
      </w:r>
    </w:p>
    <w:p w:rsidR="001C5B5C" w:rsidRDefault="00E347D5" w:rsidP="00E347D5">
      <w:r>
        <w:t xml:space="preserve">Members Present: </w:t>
      </w:r>
      <w:r w:rsidR="00CB3B4B">
        <w:t xml:space="preserve">T. Bundy </w:t>
      </w:r>
      <w:r>
        <w:t xml:space="preserve">I. Crummy, </w:t>
      </w:r>
      <w:r w:rsidR="00CB3B4B">
        <w:t xml:space="preserve">E. </w:t>
      </w:r>
      <w:proofErr w:type="spellStart"/>
      <w:r w:rsidR="00CB3B4B">
        <w:t>Engebretson</w:t>
      </w:r>
      <w:proofErr w:type="spellEnd"/>
      <w:r w:rsidR="00CB3B4B">
        <w:t>,</w:t>
      </w:r>
      <w:r w:rsidR="00CB3B4B" w:rsidRPr="00CB3B4B">
        <w:t xml:space="preserve"> </w:t>
      </w:r>
      <w:r>
        <w:t xml:space="preserve">J. Eglin, A. Lawrence, T. Manuel, </w:t>
      </w:r>
      <w:r w:rsidR="003E3CAD">
        <w:t>P. Frazier</w:t>
      </w:r>
      <w:r>
        <w:t xml:space="preserve">, G. St. George, </w:t>
      </w:r>
      <w:r w:rsidR="00CB3B4B">
        <w:t xml:space="preserve">M. Semanoff, W. Smith, E. Uchimoto, </w:t>
      </w:r>
      <w:r>
        <w:t>G.G. Weix</w:t>
      </w:r>
      <w:r>
        <w:br/>
        <w:t xml:space="preserve">Ex-Officio Present:  B. French, </w:t>
      </w:r>
      <w:r w:rsidR="006E0510">
        <w:t>J. Hickman</w:t>
      </w:r>
      <w:r w:rsidR="00CB3B4B">
        <w:t>,</w:t>
      </w:r>
      <w:r w:rsidR="00CB3B4B" w:rsidRPr="00CB3B4B">
        <w:t xml:space="preserve"> </w:t>
      </w:r>
      <w:r w:rsidR="00CB3B4B">
        <w:t>N. Lindsay</w:t>
      </w:r>
      <w:r w:rsidR="00CB3B4B">
        <w:br/>
      </w:r>
      <w:r>
        <w:t>Members Excused: M. Boller</w:t>
      </w:r>
      <w:r w:rsidR="00CB3B4B">
        <w:t xml:space="preserve">, </w:t>
      </w:r>
      <w:r w:rsidR="00A02E9E">
        <w:t xml:space="preserve">D. Coffin, </w:t>
      </w:r>
      <w:r w:rsidR="00CB3B4B">
        <w:t xml:space="preserve">B. Hillman, </w:t>
      </w:r>
      <w:r w:rsidR="006E0510">
        <w:t>B. Holzworth</w:t>
      </w:r>
      <w:r w:rsidR="007440F1">
        <w:t>,</w:t>
      </w:r>
      <w:r w:rsidR="006E0510">
        <w:t xml:space="preserve"> </w:t>
      </w:r>
      <w:r>
        <w:t>S. Smith, J. Zink</w:t>
      </w:r>
      <w:r w:rsidR="00CB3B4B">
        <w:br/>
        <w:t xml:space="preserve">Guest: A. Vernon, S. Richter, K. </w:t>
      </w:r>
      <w:proofErr w:type="spellStart"/>
      <w:r w:rsidR="00CB3B4B">
        <w:t>Rieser</w:t>
      </w:r>
      <w:proofErr w:type="spellEnd"/>
      <w:r w:rsidR="00CB3B4B">
        <w:t>, M. Stark</w:t>
      </w:r>
    </w:p>
    <w:p w:rsidR="00A02E9E" w:rsidRDefault="00E347D5" w:rsidP="00CB3B4B">
      <w:r>
        <w:br/>
        <w:t>Minutes: The minutes from 11/</w:t>
      </w:r>
      <w:r w:rsidR="00CB3B4B">
        <w:t>24</w:t>
      </w:r>
      <w:r>
        <w:t xml:space="preserve">/15 were </w:t>
      </w:r>
      <w:r w:rsidR="00CB3B4B">
        <w:t xml:space="preserve">amended and </w:t>
      </w:r>
      <w:r>
        <w:t>approved.</w:t>
      </w:r>
      <w:r>
        <w:rPr>
          <w:rFonts w:ascii="Calibri" w:hAnsi="Calibri" w:cs="Calibri"/>
        </w:rPr>
        <w:t xml:space="preserve"> </w:t>
      </w:r>
      <w:r>
        <w:rPr>
          <w:rFonts w:ascii="Calibri" w:hAnsi="Calibri" w:cs="Calibri"/>
        </w:rPr>
        <w:br/>
      </w:r>
      <w:r>
        <w:rPr>
          <w:rFonts w:ascii="Calibri" w:hAnsi="Calibri" w:cs="Calibri"/>
        </w:rPr>
        <w:br/>
      </w:r>
      <w:r w:rsidR="00A02E9E" w:rsidRPr="00CB3B4B">
        <w:rPr>
          <w:rStyle w:val="Heading2Char"/>
          <w:rFonts w:eastAsiaTheme="minorHAnsi"/>
        </w:rPr>
        <w:t>Business Items</w:t>
      </w:r>
    </w:p>
    <w:p w:rsidR="00DF7889" w:rsidRDefault="00CB3B4B" w:rsidP="008C5301">
      <w:pPr>
        <w:pStyle w:val="ListParagraph"/>
        <w:numPr>
          <w:ilvl w:val="0"/>
          <w:numId w:val="8"/>
        </w:numPr>
      </w:pPr>
      <w:r>
        <w:t>Andrea Vernon</w:t>
      </w:r>
      <w:r w:rsidR="001810DA">
        <w:t xml:space="preserve">, Director of the Office for Civic Engagement presented the consent agenda for the rolling review of service learning courses. </w:t>
      </w:r>
      <w:r w:rsidR="00B66ED7">
        <w:t xml:space="preserve">The 10 courses listed are all renewals and were approved </w:t>
      </w:r>
      <w:r w:rsidR="003647E2">
        <w:t xml:space="preserve">after </w:t>
      </w:r>
      <w:r w:rsidR="00B66ED7">
        <w:t xml:space="preserve">a brief discussion.  There are 55 courses campus- wide.   Student member Frazier took one of the service learning Non-profit administration courses.  He explained that the service learning component is like homework.  The course </w:t>
      </w:r>
      <w:r w:rsidR="003647E2">
        <w:t xml:space="preserve">he took </w:t>
      </w:r>
      <w:r w:rsidR="00B66ED7">
        <w:t xml:space="preserve">required a 20 hour service learning component.  The majority of community partners are excited to provide learning for students, </w:t>
      </w:r>
      <w:r w:rsidR="003647E2">
        <w:t>but it can be more work for the partners</w:t>
      </w:r>
      <w:r w:rsidR="00B66ED7">
        <w:t xml:space="preserve"> to give students a project given the limited number of hours the student will be volunteering.  Service learning courses are different than internships in that the service component is intended to have an impact on the community.</w:t>
      </w:r>
      <w:r w:rsidR="003647E2">
        <w:t xml:space="preserve"> The following courses were reapproved for the service learning designation:</w:t>
      </w:r>
    </w:p>
    <w:tbl>
      <w:tblPr>
        <w:tblStyle w:val="TableGrid"/>
        <w:tblW w:w="0" w:type="auto"/>
        <w:tblInd w:w="1188" w:type="dxa"/>
        <w:tblLook w:val="04A0" w:firstRow="1" w:lastRow="0" w:firstColumn="1" w:lastColumn="0" w:noHBand="0" w:noVBand="1"/>
      </w:tblPr>
      <w:tblGrid>
        <w:gridCol w:w="1965"/>
        <w:gridCol w:w="5207"/>
      </w:tblGrid>
      <w:tr w:rsidR="001810DA" w:rsidTr="003647E2">
        <w:tc>
          <w:tcPr>
            <w:tcW w:w="1965" w:type="dxa"/>
          </w:tcPr>
          <w:p w:rsidR="001810DA" w:rsidRDefault="001810DA" w:rsidP="008610CF">
            <w:pPr>
              <w:rPr>
                <w:rFonts w:eastAsia="Times New Roman"/>
              </w:rPr>
            </w:pPr>
            <w:r>
              <w:rPr>
                <w:rFonts w:eastAsia="Times New Roman"/>
              </w:rPr>
              <w:t>Course number</w:t>
            </w:r>
          </w:p>
        </w:tc>
        <w:tc>
          <w:tcPr>
            <w:tcW w:w="5207" w:type="dxa"/>
          </w:tcPr>
          <w:p w:rsidR="001810DA" w:rsidRDefault="001810DA" w:rsidP="008610CF">
            <w:pPr>
              <w:rPr>
                <w:rFonts w:eastAsia="Times New Roman"/>
              </w:rPr>
            </w:pPr>
            <w:r>
              <w:rPr>
                <w:rFonts w:eastAsia="Times New Roman"/>
              </w:rPr>
              <w:t>Title</w:t>
            </w:r>
          </w:p>
        </w:tc>
      </w:tr>
      <w:tr w:rsidR="008610CF" w:rsidTr="003647E2">
        <w:tc>
          <w:tcPr>
            <w:tcW w:w="1965" w:type="dxa"/>
          </w:tcPr>
          <w:p w:rsidR="008610CF" w:rsidRDefault="008610CF" w:rsidP="008610CF">
            <w:pPr>
              <w:rPr>
                <w:rFonts w:eastAsia="Times New Roman"/>
              </w:rPr>
            </w:pPr>
            <w:r>
              <w:rPr>
                <w:rFonts w:eastAsia="Times New Roman"/>
              </w:rPr>
              <w:t>ENSC 105</w:t>
            </w:r>
          </w:p>
        </w:tc>
        <w:tc>
          <w:tcPr>
            <w:tcW w:w="5207" w:type="dxa"/>
          </w:tcPr>
          <w:p w:rsidR="008610CF" w:rsidRDefault="008610CF" w:rsidP="008610CF">
            <w:pPr>
              <w:rPr>
                <w:rFonts w:eastAsia="Times New Roman"/>
              </w:rPr>
            </w:pPr>
            <w:r>
              <w:rPr>
                <w:rFonts w:eastAsia="Times New Roman"/>
              </w:rPr>
              <w:t>Environmental Science</w:t>
            </w:r>
          </w:p>
        </w:tc>
      </w:tr>
      <w:tr w:rsidR="008610CF" w:rsidTr="003647E2">
        <w:tc>
          <w:tcPr>
            <w:tcW w:w="1965" w:type="dxa"/>
          </w:tcPr>
          <w:p w:rsidR="008610CF" w:rsidRDefault="008610CF" w:rsidP="008610CF">
            <w:pPr>
              <w:rPr>
                <w:rFonts w:eastAsia="Times New Roman"/>
              </w:rPr>
            </w:pPr>
            <w:r>
              <w:rPr>
                <w:rFonts w:eastAsia="Times New Roman"/>
              </w:rPr>
              <w:t>FORS 495</w:t>
            </w:r>
          </w:p>
        </w:tc>
        <w:tc>
          <w:tcPr>
            <w:tcW w:w="5207" w:type="dxa"/>
          </w:tcPr>
          <w:p w:rsidR="008610CF" w:rsidRDefault="008610CF" w:rsidP="008610CF">
            <w:pPr>
              <w:rPr>
                <w:rFonts w:eastAsia="Times New Roman"/>
              </w:rPr>
            </w:pPr>
            <w:r>
              <w:rPr>
                <w:rFonts w:eastAsia="Times New Roman"/>
              </w:rPr>
              <w:t>Prescribed Fire Practicum</w:t>
            </w:r>
          </w:p>
        </w:tc>
      </w:tr>
      <w:tr w:rsidR="008610CF" w:rsidTr="003647E2">
        <w:tc>
          <w:tcPr>
            <w:tcW w:w="1965" w:type="dxa"/>
          </w:tcPr>
          <w:p w:rsidR="008610CF" w:rsidRDefault="008610CF" w:rsidP="008610CF">
            <w:pPr>
              <w:rPr>
                <w:rFonts w:eastAsia="Times New Roman"/>
              </w:rPr>
            </w:pPr>
            <w:r>
              <w:rPr>
                <w:rFonts w:eastAsia="Times New Roman"/>
              </w:rPr>
              <w:t>FORS 544</w:t>
            </w:r>
          </w:p>
        </w:tc>
        <w:tc>
          <w:tcPr>
            <w:tcW w:w="5207" w:type="dxa"/>
          </w:tcPr>
          <w:p w:rsidR="008610CF" w:rsidRDefault="008610CF" w:rsidP="008610CF">
            <w:pPr>
              <w:rPr>
                <w:rFonts w:eastAsia="Times New Roman"/>
              </w:rPr>
            </w:pPr>
            <w:r>
              <w:rPr>
                <w:rFonts w:eastAsia="Times New Roman"/>
              </w:rPr>
              <w:t>Advanced Prescribed Fire Practicum</w:t>
            </w:r>
          </w:p>
        </w:tc>
      </w:tr>
      <w:tr w:rsidR="008610CF" w:rsidTr="003647E2">
        <w:tc>
          <w:tcPr>
            <w:tcW w:w="1965" w:type="dxa"/>
          </w:tcPr>
          <w:p w:rsidR="008610CF" w:rsidRDefault="008610CF" w:rsidP="008610CF">
            <w:pPr>
              <w:rPr>
                <w:rFonts w:eastAsia="Times New Roman"/>
              </w:rPr>
            </w:pPr>
            <w:r>
              <w:rPr>
                <w:rFonts w:eastAsia="Times New Roman"/>
              </w:rPr>
              <w:t>DANC 497</w:t>
            </w:r>
          </w:p>
        </w:tc>
        <w:tc>
          <w:tcPr>
            <w:tcW w:w="5207" w:type="dxa"/>
          </w:tcPr>
          <w:p w:rsidR="008610CF" w:rsidRDefault="008610CF" w:rsidP="008610CF">
            <w:pPr>
              <w:rPr>
                <w:rFonts w:eastAsia="Times New Roman"/>
              </w:rPr>
            </w:pPr>
            <w:r>
              <w:rPr>
                <w:rFonts w:eastAsia="Times New Roman"/>
              </w:rPr>
              <w:t>Methods for Teaching Movement</w:t>
            </w:r>
          </w:p>
        </w:tc>
      </w:tr>
      <w:tr w:rsidR="008610CF" w:rsidTr="003647E2">
        <w:tc>
          <w:tcPr>
            <w:tcW w:w="1965" w:type="dxa"/>
          </w:tcPr>
          <w:p w:rsidR="008610CF" w:rsidRDefault="008610CF" w:rsidP="008610CF">
            <w:pPr>
              <w:rPr>
                <w:rFonts w:eastAsia="Times New Roman"/>
              </w:rPr>
            </w:pPr>
            <w:r>
              <w:rPr>
                <w:rFonts w:eastAsia="Times New Roman"/>
              </w:rPr>
              <w:t>CSD 560</w:t>
            </w:r>
          </w:p>
        </w:tc>
        <w:tc>
          <w:tcPr>
            <w:tcW w:w="5207" w:type="dxa"/>
          </w:tcPr>
          <w:p w:rsidR="008610CF" w:rsidRDefault="008610CF" w:rsidP="008610CF">
            <w:pPr>
              <w:rPr>
                <w:rFonts w:eastAsia="Times New Roman"/>
              </w:rPr>
            </w:pPr>
            <w:r>
              <w:rPr>
                <w:rFonts w:eastAsia="Times New Roman"/>
              </w:rPr>
              <w:t>Language &amp; Learning Disorders in School-Age Children</w:t>
            </w:r>
          </w:p>
        </w:tc>
      </w:tr>
      <w:tr w:rsidR="008610CF" w:rsidTr="003647E2">
        <w:tc>
          <w:tcPr>
            <w:tcW w:w="1965" w:type="dxa"/>
          </w:tcPr>
          <w:p w:rsidR="008610CF" w:rsidRDefault="008610CF" w:rsidP="008610CF">
            <w:pPr>
              <w:rPr>
                <w:rFonts w:eastAsia="Times New Roman"/>
              </w:rPr>
            </w:pPr>
            <w:r>
              <w:rPr>
                <w:rFonts w:eastAsia="Times New Roman"/>
              </w:rPr>
              <w:t>EDU 481</w:t>
            </w:r>
          </w:p>
        </w:tc>
        <w:tc>
          <w:tcPr>
            <w:tcW w:w="5207" w:type="dxa"/>
          </w:tcPr>
          <w:p w:rsidR="008610CF" w:rsidRDefault="008610CF" w:rsidP="008610CF">
            <w:pPr>
              <w:rPr>
                <w:rFonts w:eastAsia="Times New Roman"/>
              </w:rPr>
            </w:pPr>
            <w:r>
              <w:rPr>
                <w:rFonts w:eastAsia="Times New Roman"/>
              </w:rPr>
              <w:t>Literacy Strategies for Middle School Teachers</w:t>
            </w:r>
          </w:p>
        </w:tc>
      </w:tr>
      <w:tr w:rsidR="008610CF" w:rsidTr="003647E2">
        <w:trPr>
          <w:trHeight w:val="305"/>
        </w:trPr>
        <w:tc>
          <w:tcPr>
            <w:tcW w:w="1965" w:type="dxa"/>
          </w:tcPr>
          <w:p w:rsidR="008610CF" w:rsidRDefault="008610CF" w:rsidP="008610CF">
            <w:pPr>
              <w:rPr>
                <w:rFonts w:eastAsia="Times New Roman"/>
              </w:rPr>
            </w:pPr>
            <w:r>
              <w:rPr>
                <w:rFonts w:eastAsia="Times New Roman"/>
              </w:rPr>
              <w:t>PSYX 298</w:t>
            </w:r>
          </w:p>
        </w:tc>
        <w:tc>
          <w:tcPr>
            <w:tcW w:w="5207" w:type="dxa"/>
          </w:tcPr>
          <w:p w:rsidR="008610CF" w:rsidRDefault="008610CF" w:rsidP="008610CF">
            <w:pPr>
              <w:rPr>
                <w:rFonts w:eastAsia="Times New Roman"/>
              </w:rPr>
            </w:pPr>
            <w:r>
              <w:rPr>
                <w:rFonts w:eastAsia="Times New Roman"/>
              </w:rPr>
              <w:t>Internship</w:t>
            </w:r>
          </w:p>
        </w:tc>
      </w:tr>
      <w:tr w:rsidR="008610CF" w:rsidTr="003647E2">
        <w:tc>
          <w:tcPr>
            <w:tcW w:w="1965" w:type="dxa"/>
          </w:tcPr>
          <w:p w:rsidR="008610CF" w:rsidRDefault="008610CF" w:rsidP="008610CF">
            <w:pPr>
              <w:rPr>
                <w:rFonts w:eastAsia="Times New Roman"/>
              </w:rPr>
            </w:pPr>
            <w:r>
              <w:rPr>
                <w:rFonts w:eastAsia="Times New Roman"/>
              </w:rPr>
              <w:t>PSYX 398</w:t>
            </w:r>
          </w:p>
        </w:tc>
        <w:tc>
          <w:tcPr>
            <w:tcW w:w="5207" w:type="dxa"/>
          </w:tcPr>
          <w:p w:rsidR="008610CF" w:rsidRDefault="008610CF" w:rsidP="008610CF">
            <w:pPr>
              <w:rPr>
                <w:rFonts w:eastAsia="Times New Roman"/>
              </w:rPr>
            </w:pPr>
            <w:r>
              <w:rPr>
                <w:rFonts w:eastAsia="Times New Roman"/>
              </w:rPr>
              <w:t>Internship</w:t>
            </w:r>
          </w:p>
        </w:tc>
      </w:tr>
      <w:tr w:rsidR="008610CF" w:rsidTr="003647E2">
        <w:trPr>
          <w:trHeight w:val="332"/>
        </w:trPr>
        <w:tc>
          <w:tcPr>
            <w:tcW w:w="1965" w:type="dxa"/>
          </w:tcPr>
          <w:p w:rsidR="008610CF" w:rsidRDefault="008610CF" w:rsidP="008610CF">
            <w:pPr>
              <w:rPr>
                <w:rFonts w:eastAsia="Times New Roman"/>
              </w:rPr>
            </w:pPr>
            <w:r>
              <w:rPr>
                <w:rFonts w:eastAsia="Times New Roman"/>
              </w:rPr>
              <w:t>NRSM 398</w:t>
            </w:r>
          </w:p>
        </w:tc>
        <w:tc>
          <w:tcPr>
            <w:tcW w:w="5207" w:type="dxa"/>
          </w:tcPr>
          <w:p w:rsidR="008610CF" w:rsidRDefault="008610CF" w:rsidP="008610CF">
            <w:pPr>
              <w:rPr>
                <w:rFonts w:eastAsia="Times New Roman"/>
              </w:rPr>
            </w:pPr>
            <w:r>
              <w:rPr>
                <w:rFonts w:eastAsia="Times New Roman"/>
              </w:rPr>
              <w:t xml:space="preserve">Internship: Wildlands Community Project  </w:t>
            </w:r>
          </w:p>
        </w:tc>
      </w:tr>
      <w:tr w:rsidR="008610CF" w:rsidTr="003647E2">
        <w:tc>
          <w:tcPr>
            <w:tcW w:w="1965" w:type="dxa"/>
          </w:tcPr>
          <w:p w:rsidR="008610CF" w:rsidRDefault="008610CF" w:rsidP="008610CF">
            <w:pPr>
              <w:rPr>
                <w:rFonts w:eastAsia="Times New Roman"/>
              </w:rPr>
            </w:pPr>
            <w:r>
              <w:rPr>
                <w:rFonts w:eastAsia="Times New Roman"/>
              </w:rPr>
              <w:t xml:space="preserve">NRSM 495 </w:t>
            </w:r>
          </w:p>
          <w:p w:rsidR="008610CF" w:rsidRDefault="008610CF" w:rsidP="008610CF">
            <w:pPr>
              <w:ind w:left="720"/>
              <w:rPr>
                <w:rFonts w:eastAsia="Times New Roman"/>
              </w:rPr>
            </w:pPr>
          </w:p>
        </w:tc>
        <w:tc>
          <w:tcPr>
            <w:tcW w:w="5207" w:type="dxa"/>
          </w:tcPr>
          <w:p w:rsidR="008610CF" w:rsidRDefault="008610CF" w:rsidP="008610CF">
            <w:pPr>
              <w:rPr>
                <w:rFonts w:eastAsia="Times New Roman"/>
              </w:rPr>
            </w:pPr>
            <w:r>
              <w:rPr>
                <w:rFonts w:eastAsia="Times New Roman"/>
              </w:rPr>
              <w:t>Ecological Restoration Practicum</w:t>
            </w:r>
          </w:p>
        </w:tc>
      </w:tr>
    </w:tbl>
    <w:p w:rsidR="008610CF" w:rsidRDefault="008610CF" w:rsidP="008610CF">
      <w:pPr>
        <w:pStyle w:val="ListParagraph"/>
      </w:pPr>
    </w:p>
    <w:p w:rsidR="008610CF" w:rsidRDefault="00C54B20" w:rsidP="008610CF">
      <w:pPr>
        <w:pStyle w:val="ListParagraph"/>
        <w:numPr>
          <w:ilvl w:val="0"/>
          <w:numId w:val="8"/>
        </w:numPr>
      </w:pPr>
      <w:r>
        <w:lastRenderedPageBreak/>
        <w:t xml:space="preserve">The final pending item for the Science Subcommittee has now been resolved.  SCN 260N, The Biology of Behavior is </w:t>
      </w:r>
      <w:r w:rsidR="003647E2">
        <w:t xml:space="preserve">already listed as </w:t>
      </w:r>
      <w:r>
        <w:t xml:space="preserve">BIOH 213 in the OCHE CCN listing.  Therefore the prerequisite change was approved using the BIOH 213 course number.  The department has now been informed of the CCN transition.  </w:t>
      </w:r>
      <w:r w:rsidR="003647E2">
        <w:t>Departments that offer other permanent numbered courses with the SCN rubric will be directed to use the appropriate course rubric rather than SCN.</w:t>
      </w:r>
    </w:p>
    <w:p w:rsidR="00C54B20" w:rsidRDefault="00C54B20" w:rsidP="00C54B20">
      <w:pPr>
        <w:pStyle w:val="ListParagraph"/>
      </w:pPr>
    </w:p>
    <w:p w:rsidR="00C54B20" w:rsidRDefault="00C54B20" w:rsidP="008610CF">
      <w:pPr>
        <w:pStyle w:val="ListParagraph"/>
        <w:numPr>
          <w:ilvl w:val="0"/>
          <w:numId w:val="8"/>
        </w:numPr>
      </w:pPr>
      <w:r>
        <w:t xml:space="preserve">Two of the follow-up items for the Forestry and Biomedical Subcommittee were approved. </w:t>
      </w:r>
      <w:r w:rsidR="00B66ED7">
        <w:t xml:space="preserve"> There was some discussion regarding the </w:t>
      </w:r>
      <w:r w:rsidR="003647E2">
        <w:t xml:space="preserve">number of internship credits required. </w:t>
      </w:r>
      <w:r w:rsidR="00B66ED7">
        <w:t xml:space="preserve">Professor Richter </w:t>
      </w:r>
      <w:r w:rsidR="003647E2">
        <w:t xml:space="preserve">from HHP </w:t>
      </w:r>
      <w:r w:rsidR="00B66ED7">
        <w:t xml:space="preserve">explained the importance of </w:t>
      </w:r>
      <w:r w:rsidR="00504734">
        <w:t xml:space="preserve">the hands- on experience </w:t>
      </w:r>
      <w:r w:rsidR="003647E2">
        <w:t>for the students that justified the requirement of 4 internship credit hours in the Health and Behavior Coaching certificate.  ASCRC approved the new certificate and WILD 230.</w:t>
      </w:r>
    </w:p>
    <w:p w:rsidR="00C54B20" w:rsidRDefault="00C54B20" w:rsidP="00C54B20">
      <w:pPr>
        <w:pStyle w:val="ListParagraph"/>
      </w:pPr>
    </w:p>
    <w:tbl>
      <w:tblPr>
        <w:tblW w:w="7920" w:type="dxa"/>
        <w:tblCellSpacing w:w="15" w:type="dxa"/>
        <w:tblInd w:w="8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3240"/>
        <w:gridCol w:w="3330"/>
      </w:tblGrid>
      <w:tr w:rsidR="00C54B20" w:rsidRPr="003F0769" w:rsidTr="00C54B20">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54B20" w:rsidRPr="00BD12B1" w:rsidRDefault="00F553AE" w:rsidP="00C54B20">
            <w:pPr>
              <w:spacing w:after="0" w:line="240" w:lineRule="auto"/>
              <w:rPr>
                <w:rFonts w:eastAsia="Times New Roman" w:cstheme="minorHAnsi"/>
              </w:rPr>
            </w:pPr>
            <w:hyperlink r:id="rId8" w:tgtFrame="_blank" w:history="1">
              <w:r w:rsidR="00C54B20" w:rsidRPr="00BD12B1">
                <w:rPr>
                  <w:rFonts w:eastAsia="Times New Roman" w:cstheme="minorHAnsi"/>
                  <w:color w:val="0000FF"/>
                  <w:u w:val="single"/>
                </w:rPr>
                <w:t>WILD 230 U</w:t>
              </w:r>
            </w:hyperlink>
            <w:r w:rsidR="00C54B20" w:rsidRPr="00BD12B1">
              <w:rPr>
                <w:rFonts w:eastAsia="Times New Roman" w:cstheme="minorHAnsi"/>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C54B20" w:rsidRPr="00BD12B1" w:rsidRDefault="00C54B20" w:rsidP="00C54B20">
            <w:pPr>
              <w:spacing w:after="0" w:line="240" w:lineRule="auto"/>
              <w:rPr>
                <w:rFonts w:eastAsia="Times New Roman" w:cstheme="minorHAnsi"/>
              </w:rPr>
            </w:pPr>
            <w:r w:rsidRPr="00BD12B1">
              <w:rPr>
                <w:rFonts w:eastAsia="Times New Roman" w:cstheme="minorHAnsi"/>
              </w:rPr>
              <w:t>Conservation Science</w:t>
            </w:r>
          </w:p>
        </w:tc>
        <w:tc>
          <w:tcPr>
            <w:tcW w:w="3285" w:type="dxa"/>
            <w:tcBorders>
              <w:top w:val="outset" w:sz="6" w:space="0" w:color="auto"/>
              <w:left w:val="outset" w:sz="6" w:space="0" w:color="auto"/>
              <w:bottom w:val="outset" w:sz="6" w:space="0" w:color="auto"/>
              <w:right w:val="outset" w:sz="6" w:space="0" w:color="auto"/>
            </w:tcBorders>
            <w:vAlign w:val="center"/>
            <w:hideMark/>
          </w:tcPr>
          <w:p w:rsidR="00C54B20" w:rsidRPr="00BD12B1" w:rsidRDefault="00C54B20" w:rsidP="00C54B20">
            <w:pPr>
              <w:spacing w:after="0" w:line="240" w:lineRule="auto"/>
              <w:rPr>
                <w:rFonts w:eastAsia="Times New Roman" w:cstheme="minorHAnsi"/>
              </w:rPr>
            </w:pPr>
            <w:r w:rsidRPr="00BD12B1">
              <w:rPr>
                <w:rFonts w:eastAsia="Times New Roman" w:cstheme="minorHAnsi"/>
              </w:rPr>
              <w:t xml:space="preserve">New course </w:t>
            </w:r>
          </w:p>
        </w:tc>
      </w:tr>
      <w:tr w:rsidR="00C54B20" w:rsidRPr="003F0769" w:rsidTr="00C54B20">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tcPr>
          <w:p w:rsidR="00C54B20" w:rsidRPr="00BD12B1" w:rsidRDefault="00C54B20" w:rsidP="00C54B20">
            <w:pPr>
              <w:spacing w:after="0" w:line="240" w:lineRule="auto"/>
              <w:rPr>
                <w:rFonts w:cstheme="minorHAnsi"/>
              </w:rPr>
            </w:pPr>
            <w:r w:rsidRPr="00BD12B1">
              <w:rPr>
                <w:rFonts w:cstheme="minorHAnsi"/>
              </w:rPr>
              <w:t>Level I -HHP</w:t>
            </w:r>
          </w:p>
        </w:tc>
        <w:tc>
          <w:tcPr>
            <w:tcW w:w="3210" w:type="dxa"/>
            <w:tcBorders>
              <w:top w:val="outset" w:sz="6" w:space="0" w:color="auto"/>
              <w:left w:val="outset" w:sz="6" w:space="0" w:color="auto"/>
              <w:bottom w:val="outset" w:sz="6" w:space="0" w:color="auto"/>
              <w:right w:val="outset" w:sz="6" w:space="0" w:color="auto"/>
            </w:tcBorders>
            <w:vAlign w:val="center"/>
          </w:tcPr>
          <w:p w:rsidR="00C54B20" w:rsidRPr="00BD12B1" w:rsidRDefault="00C54B20" w:rsidP="00C54B20">
            <w:pPr>
              <w:spacing w:after="0" w:line="240" w:lineRule="auto"/>
              <w:rPr>
                <w:rFonts w:eastAsia="Times New Roman" w:cstheme="minorHAnsi"/>
              </w:rPr>
            </w:pPr>
            <w:r w:rsidRPr="00BD12B1">
              <w:rPr>
                <w:rFonts w:eastAsia="Times New Roman" w:cstheme="minorHAnsi"/>
              </w:rPr>
              <w:t>Health and Behavior Coaching</w:t>
            </w:r>
          </w:p>
        </w:tc>
        <w:tc>
          <w:tcPr>
            <w:tcW w:w="3285" w:type="dxa"/>
            <w:tcBorders>
              <w:top w:val="outset" w:sz="6" w:space="0" w:color="auto"/>
              <w:left w:val="outset" w:sz="6" w:space="0" w:color="auto"/>
              <w:bottom w:val="outset" w:sz="6" w:space="0" w:color="auto"/>
              <w:right w:val="outset" w:sz="6" w:space="0" w:color="auto"/>
            </w:tcBorders>
            <w:vAlign w:val="center"/>
          </w:tcPr>
          <w:p w:rsidR="00C54B20" w:rsidRPr="00BD12B1" w:rsidRDefault="00C54B20" w:rsidP="00C54B20">
            <w:pPr>
              <w:spacing w:after="0" w:line="240" w:lineRule="auto"/>
              <w:rPr>
                <w:rFonts w:eastAsia="Times New Roman" w:cstheme="minorHAnsi"/>
              </w:rPr>
            </w:pPr>
            <w:r w:rsidRPr="00BD12B1">
              <w:rPr>
                <w:rFonts w:eastAsia="Times New Roman" w:cstheme="minorHAnsi"/>
              </w:rPr>
              <w:t>New certificate</w:t>
            </w:r>
          </w:p>
        </w:tc>
      </w:tr>
    </w:tbl>
    <w:p w:rsidR="00C54B20" w:rsidRDefault="00C54B20" w:rsidP="00C54B20">
      <w:pPr>
        <w:pStyle w:val="ListParagraph"/>
      </w:pPr>
    </w:p>
    <w:p w:rsidR="00C54B20" w:rsidRDefault="00C54B20" w:rsidP="00C54B20">
      <w:pPr>
        <w:pStyle w:val="ListParagraph"/>
        <w:numPr>
          <w:ilvl w:val="0"/>
          <w:numId w:val="17"/>
        </w:numPr>
      </w:pPr>
      <w:r>
        <w:t xml:space="preserve">The Educational and Fine Arts Item below was approved.  The subcommittee is still waiting for a revised syllabus for MAR 436.  ASCRC discussed EDU 312 and still has concerns.  </w:t>
      </w:r>
      <w:r w:rsidR="003647E2">
        <w:t xml:space="preserve">The committee is concerned that </w:t>
      </w:r>
      <w:r w:rsidR="003647E2" w:rsidRPr="003647E2">
        <w:t xml:space="preserve">a permanent course </w:t>
      </w:r>
      <w:r w:rsidR="003647E2">
        <w:t xml:space="preserve">is </w:t>
      </w:r>
      <w:r w:rsidR="003647E2" w:rsidRPr="003647E2">
        <w:t xml:space="preserve">being proposed by non-tenure line faculty who are not in a typical academic department.  One of the issues is that there is a commitment to staff a permanent course so that it is reasonably expected to be taught at least once in three years.  </w:t>
      </w:r>
      <w:r w:rsidR="003647E2">
        <w:t>ASCRC believes</w:t>
      </w:r>
      <w:r w:rsidR="003647E2" w:rsidRPr="003647E2">
        <w:t xml:space="preserve"> that the course number level should reflect the cont</w:t>
      </w:r>
      <w:r w:rsidR="003647E2">
        <w:t>ent and the committee feels the</w:t>
      </w:r>
      <w:r w:rsidR="003647E2" w:rsidRPr="003647E2">
        <w:t xml:space="preserve"> course appears to be at a lower level of academic content and should not be at a 300 level.  </w:t>
      </w:r>
      <w:r w:rsidR="003647E2">
        <w:t xml:space="preserve">It is also unclear whether </w:t>
      </w:r>
      <w:r w:rsidR="003647E2" w:rsidRPr="003647E2">
        <w:t>the proposers are asking for 1</w:t>
      </w:r>
      <w:r w:rsidR="003647E2">
        <w:t xml:space="preserve"> credit which ASCRC prefers </w:t>
      </w:r>
      <w:r w:rsidR="003647E2" w:rsidRPr="003647E2">
        <w:t>or 2</w:t>
      </w:r>
      <w:r w:rsidR="003647E2">
        <w:t xml:space="preserve"> credits as the syllabus and proposal disagree.  It is also not clear whether the requestors are asking for the course to be repeatable.</w:t>
      </w:r>
      <w:r w:rsidR="003647E2" w:rsidRPr="003647E2">
        <w:t xml:space="preserve">  </w:t>
      </w:r>
      <w:r>
        <w:t xml:space="preserve">The requesters will be invited to next week’s meeting. </w:t>
      </w:r>
    </w:p>
    <w:tbl>
      <w:tblPr>
        <w:tblW w:w="7920" w:type="dxa"/>
        <w:tblCellSpacing w:w="15" w:type="dxa"/>
        <w:tblInd w:w="8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3150"/>
        <w:gridCol w:w="3420"/>
      </w:tblGrid>
      <w:tr w:rsidR="00C54B20" w:rsidRPr="00040132" w:rsidTr="00C54B20">
        <w:trPr>
          <w:tblCellSpacing w:w="15" w:type="dxa"/>
        </w:trPr>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4B20" w:rsidRPr="00BD12B1" w:rsidRDefault="00F553AE" w:rsidP="00C54B20">
            <w:pPr>
              <w:spacing w:after="0" w:line="240" w:lineRule="auto"/>
              <w:rPr>
                <w:rFonts w:eastAsia="Times New Roman" w:cstheme="minorHAnsi"/>
              </w:rPr>
            </w:pPr>
            <w:hyperlink r:id="rId9" w:tgtFrame="_blank" w:history="1">
              <w:r w:rsidR="00C54B20" w:rsidRPr="00BD12B1">
                <w:rPr>
                  <w:rFonts w:eastAsia="Times New Roman" w:cstheme="minorHAnsi"/>
                  <w:color w:val="0000FF"/>
                  <w:u w:val="single"/>
                </w:rPr>
                <w:t>MART 441 U</w:t>
              </w:r>
            </w:hyperlink>
            <w:r w:rsidR="00C54B20" w:rsidRPr="00BD12B1">
              <w:rPr>
                <w:rFonts w:eastAsia="Times New Roman" w:cstheme="minorHAnsi"/>
              </w:rPr>
              <w:t xml:space="preserve"> </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4B20" w:rsidRPr="00BD12B1" w:rsidRDefault="00C54B20" w:rsidP="00C54B20">
            <w:pPr>
              <w:spacing w:after="0" w:line="240" w:lineRule="auto"/>
              <w:rPr>
                <w:rFonts w:eastAsia="Times New Roman" w:cstheme="minorHAnsi"/>
              </w:rPr>
            </w:pPr>
            <w:r w:rsidRPr="00BD12B1">
              <w:rPr>
                <w:rFonts w:eastAsia="Times New Roman" w:cstheme="minorHAnsi"/>
              </w:rPr>
              <w:t>Web Technologies</w:t>
            </w:r>
          </w:p>
        </w:tc>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4B20" w:rsidRPr="00BD12B1" w:rsidRDefault="00C54B20" w:rsidP="00C54B20">
            <w:pPr>
              <w:spacing w:after="0" w:line="240" w:lineRule="auto"/>
              <w:rPr>
                <w:rFonts w:eastAsia="Times New Roman" w:cstheme="minorHAnsi"/>
                <w:i/>
                <w:color w:val="595959" w:themeColor="text1" w:themeTint="A6"/>
              </w:rPr>
            </w:pPr>
            <w:r w:rsidRPr="00BD12B1">
              <w:rPr>
                <w:rFonts w:eastAsia="Times New Roman" w:cstheme="minorHAnsi"/>
              </w:rPr>
              <w:t xml:space="preserve">New course </w:t>
            </w:r>
          </w:p>
        </w:tc>
      </w:tr>
    </w:tbl>
    <w:p w:rsidR="00C54B20" w:rsidRDefault="00C54B20" w:rsidP="00C54B20">
      <w:pPr>
        <w:pStyle w:val="ListParagraph"/>
        <w:ind w:left="360"/>
      </w:pPr>
    </w:p>
    <w:p w:rsidR="00C9697B" w:rsidRDefault="00DB3BE6" w:rsidP="00C9697B">
      <w:pPr>
        <w:pStyle w:val="PlainText"/>
        <w:numPr>
          <w:ilvl w:val="0"/>
          <w:numId w:val="17"/>
        </w:numPr>
      </w:pPr>
      <w:r>
        <w:t xml:space="preserve">A syllabus was submitted for MCLG 110, Introduction to European Studies and the language in the proposal was changed to: </w:t>
      </w:r>
      <w:r w:rsidR="00C9697B">
        <w:t xml:space="preserve">"To earn a minor in European Studies, students must successfully complete the second-year or the equivalent of one of the following languages: Ancient Greek, French, German, Latin, Russian, and Spanish."  The items were approved. </w:t>
      </w:r>
    </w:p>
    <w:p w:rsidR="00C9697B" w:rsidRDefault="00C9697B" w:rsidP="00C9697B">
      <w:pPr>
        <w:pStyle w:val="PlainText"/>
        <w:ind w:left="360"/>
      </w:pPr>
    </w:p>
    <w:tbl>
      <w:tblPr>
        <w:tblW w:w="7920" w:type="dxa"/>
        <w:tblCellSpacing w:w="15" w:type="dxa"/>
        <w:tblInd w:w="8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3240"/>
        <w:gridCol w:w="3330"/>
      </w:tblGrid>
      <w:tr w:rsidR="00C9697B" w:rsidRPr="003F0769" w:rsidTr="00C9697B">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C9697B" w:rsidRPr="00BD12B1" w:rsidRDefault="00C9697B" w:rsidP="00C9697B">
            <w:pPr>
              <w:spacing w:after="0" w:line="240" w:lineRule="auto"/>
              <w:rPr>
                <w:rFonts w:eastAsia="Times New Roman" w:cstheme="minorHAnsi"/>
              </w:rPr>
            </w:pPr>
            <w:r w:rsidRPr="00BD12B1">
              <w:rPr>
                <w:rFonts w:eastAsia="Times New Roman" w:cstheme="minorHAnsi"/>
              </w:rPr>
              <w:t>MCLG 110</w:t>
            </w:r>
          </w:p>
        </w:tc>
        <w:tc>
          <w:tcPr>
            <w:tcW w:w="3210" w:type="dxa"/>
            <w:tcBorders>
              <w:top w:val="outset" w:sz="6" w:space="0" w:color="auto"/>
              <w:left w:val="outset" w:sz="6" w:space="0" w:color="auto"/>
              <w:bottom w:val="outset" w:sz="6" w:space="0" w:color="auto"/>
              <w:right w:val="outset" w:sz="6" w:space="0" w:color="auto"/>
            </w:tcBorders>
            <w:vAlign w:val="center"/>
            <w:hideMark/>
          </w:tcPr>
          <w:p w:rsidR="00C9697B" w:rsidRPr="00BD12B1" w:rsidRDefault="00C9697B" w:rsidP="00C9697B">
            <w:pPr>
              <w:spacing w:after="0" w:line="240" w:lineRule="auto"/>
              <w:rPr>
                <w:rFonts w:eastAsia="Times New Roman" w:cstheme="minorHAnsi"/>
              </w:rPr>
            </w:pPr>
            <w:r w:rsidRPr="00BD12B1">
              <w:rPr>
                <w:rFonts w:eastAsia="Times New Roman" w:cstheme="minorHAnsi"/>
              </w:rPr>
              <w:t>Introduction to European Studies</w:t>
            </w:r>
          </w:p>
        </w:tc>
        <w:tc>
          <w:tcPr>
            <w:tcW w:w="3285" w:type="dxa"/>
            <w:tcBorders>
              <w:top w:val="outset" w:sz="6" w:space="0" w:color="auto"/>
              <w:left w:val="outset" w:sz="6" w:space="0" w:color="auto"/>
              <w:bottom w:val="outset" w:sz="6" w:space="0" w:color="auto"/>
              <w:right w:val="outset" w:sz="6" w:space="0" w:color="auto"/>
            </w:tcBorders>
            <w:vAlign w:val="center"/>
            <w:hideMark/>
          </w:tcPr>
          <w:p w:rsidR="00C9697B" w:rsidRPr="00BD12B1" w:rsidRDefault="00C9697B" w:rsidP="00C9697B">
            <w:pPr>
              <w:spacing w:after="0" w:line="240" w:lineRule="auto"/>
              <w:rPr>
                <w:rFonts w:eastAsia="Times New Roman" w:cstheme="minorHAnsi"/>
              </w:rPr>
            </w:pPr>
            <w:r w:rsidRPr="00BD12B1">
              <w:rPr>
                <w:rFonts w:eastAsia="Times New Roman" w:cstheme="minorHAnsi"/>
              </w:rPr>
              <w:t xml:space="preserve">New course </w:t>
            </w:r>
          </w:p>
        </w:tc>
      </w:tr>
      <w:tr w:rsidR="00C9697B" w:rsidRPr="003F0769" w:rsidTr="00BD12B1">
        <w:trPr>
          <w:trHeight w:val="360"/>
          <w:tblCellSpacing w:w="15" w:type="dxa"/>
        </w:trPr>
        <w:tc>
          <w:tcPr>
            <w:tcW w:w="1305" w:type="dxa"/>
            <w:tcBorders>
              <w:top w:val="outset" w:sz="6" w:space="0" w:color="auto"/>
              <w:left w:val="outset" w:sz="6" w:space="0" w:color="auto"/>
              <w:bottom w:val="outset" w:sz="6" w:space="0" w:color="auto"/>
              <w:right w:val="outset" w:sz="6" w:space="0" w:color="auto"/>
            </w:tcBorders>
            <w:vAlign w:val="center"/>
          </w:tcPr>
          <w:p w:rsidR="00C9697B" w:rsidRPr="00BD12B1" w:rsidRDefault="00C9697B" w:rsidP="00C9697B">
            <w:pPr>
              <w:spacing w:after="0" w:line="240" w:lineRule="auto"/>
              <w:rPr>
                <w:rFonts w:cstheme="minorHAnsi"/>
              </w:rPr>
            </w:pPr>
            <w:r w:rsidRPr="00BD12B1">
              <w:rPr>
                <w:rFonts w:cstheme="minorHAnsi"/>
              </w:rPr>
              <w:t>Level II-</w:t>
            </w:r>
          </w:p>
        </w:tc>
        <w:tc>
          <w:tcPr>
            <w:tcW w:w="3210" w:type="dxa"/>
            <w:tcBorders>
              <w:top w:val="outset" w:sz="6" w:space="0" w:color="auto"/>
              <w:left w:val="outset" w:sz="6" w:space="0" w:color="auto"/>
              <w:bottom w:val="outset" w:sz="6" w:space="0" w:color="auto"/>
              <w:right w:val="outset" w:sz="6" w:space="0" w:color="auto"/>
            </w:tcBorders>
            <w:vAlign w:val="center"/>
          </w:tcPr>
          <w:p w:rsidR="00C9697B" w:rsidRPr="00BD12B1" w:rsidRDefault="00C9697B" w:rsidP="00C9697B">
            <w:pPr>
              <w:spacing w:after="0" w:line="240" w:lineRule="auto"/>
              <w:rPr>
                <w:rFonts w:eastAsia="Times New Roman" w:cstheme="minorHAnsi"/>
              </w:rPr>
            </w:pPr>
            <w:r w:rsidRPr="00BD12B1">
              <w:rPr>
                <w:rFonts w:eastAsia="Times New Roman" w:cstheme="minorHAnsi"/>
              </w:rPr>
              <w:t>European Studies</w:t>
            </w:r>
          </w:p>
        </w:tc>
        <w:tc>
          <w:tcPr>
            <w:tcW w:w="3285" w:type="dxa"/>
            <w:tcBorders>
              <w:top w:val="outset" w:sz="6" w:space="0" w:color="auto"/>
              <w:left w:val="outset" w:sz="6" w:space="0" w:color="auto"/>
              <w:bottom w:val="outset" w:sz="6" w:space="0" w:color="auto"/>
              <w:right w:val="outset" w:sz="6" w:space="0" w:color="auto"/>
            </w:tcBorders>
            <w:vAlign w:val="center"/>
          </w:tcPr>
          <w:p w:rsidR="00C9697B" w:rsidRPr="00BD12B1" w:rsidRDefault="00C9697B" w:rsidP="00C9697B">
            <w:pPr>
              <w:spacing w:after="0" w:line="240" w:lineRule="auto"/>
              <w:rPr>
                <w:rFonts w:eastAsia="Times New Roman" w:cstheme="minorHAnsi"/>
              </w:rPr>
            </w:pPr>
            <w:r w:rsidRPr="00BD12B1">
              <w:rPr>
                <w:rFonts w:eastAsia="Times New Roman" w:cstheme="minorHAnsi"/>
              </w:rPr>
              <w:t>New minor</w:t>
            </w:r>
          </w:p>
        </w:tc>
      </w:tr>
    </w:tbl>
    <w:p w:rsidR="00DB3BE6" w:rsidRDefault="00DB3BE6" w:rsidP="00C9697B">
      <w:pPr>
        <w:pStyle w:val="ListParagraph"/>
        <w:ind w:left="360"/>
      </w:pPr>
    </w:p>
    <w:p w:rsidR="00F553AE" w:rsidRDefault="00F553AE" w:rsidP="00F553AE">
      <w:pPr>
        <w:pStyle w:val="ListParagraph"/>
        <w:numPr>
          <w:ilvl w:val="0"/>
          <w:numId w:val="17"/>
        </w:numPr>
      </w:pPr>
      <w:r>
        <w:lastRenderedPageBreak/>
        <w:t xml:space="preserve">The GLI Certificate and associated courses were approved.  The request for the rubric has been submitted to OCHE, but it will not be considered until the courses are submitted for system review.  </w:t>
      </w:r>
      <w:r>
        <w:br/>
      </w:r>
    </w:p>
    <w:tbl>
      <w:tblPr>
        <w:tblW w:w="792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3411"/>
        <w:gridCol w:w="3197"/>
      </w:tblGrid>
      <w:tr w:rsidR="00F553AE" w:rsidTr="00240904">
        <w:trPr>
          <w:trHeight w:val="360"/>
        </w:trPr>
        <w:tc>
          <w:tcPr>
            <w:tcW w:w="1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GBLD 110 </w:t>
            </w:r>
          </w:p>
        </w:tc>
        <w:tc>
          <w:tcPr>
            <w:tcW w:w="3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Global </w:t>
            </w:r>
            <w:proofErr w:type="spellStart"/>
            <w:r>
              <w:rPr>
                <w:rFonts w:eastAsia="Times New Roman" w:cs="Times New Roman"/>
                <w:color w:val="000000"/>
                <w:sz w:val="24"/>
                <w:szCs w:val="24"/>
              </w:rPr>
              <w:t>Chllnges</w:t>
            </w:r>
            <w:proofErr w:type="spellEnd"/>
            <w:r>
              <w:rPr>
                <w:rFonts w:eastAsia="Times New Roman" w:cs="Times New Roman"/>
                <w:color w:val="000000"/>
                <w:sz w:val="24"/>
                <w:szCs w:val="24"/>
              </w:rPr>
              <w:t xml:space="preserve"> &amp; </w:t>
            </w:r>
            <w:proofErr w:type="spellStart"/>
            <w:r>
              <w:rPr>
                <w:rFonts w:eastAsia="Times New Roman" w:cs="Times New Roman"/>
                <w:color w:val="000000"/>
                <w:sz w:val="24"/>
                <w:szCs w:val="24"/>
              </w:rPr>
              <w:t>Leadrshp</w:t>
            </w:r>
            <w:proofErr w:type="spellEnd"/>
          </w:p>
        </w:tc>
        <w:tc>
          <w:tcPr>
            <w:tcW w:w="31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New Course </w:t>
            </w:r>
          </w:p>
        </w:tc>
      </w:tr>
      <w:tr w:rsidR="00F553AE" w:rsidTr="00240904">
        <w:trPr>
          <w:trHeight w:val="360"/>
        </w:trPr>
        <w:tc>
          <w:tcPr>
            <w:tcW w:w="1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GBLD 220 </w:t>
            </w:r>
          </w:p>
        </w:tc>
        <w:tc>
          <w:tcPr>
            <w:tcW w:w="3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Models of Leadership</w:t>
            </w:r>
          </w:p>
        </w:tc>
        <w:tc>
          <w:tcPr>
            <w:tcW w:w="31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New Course</w:t>
            </w:r>
          </w:p>
        </w:tc>
      </w:tr>
      <w:tr w:rsidR="00F553AE" w:rsidTr="00240904">
        <w:trPr>
          <w:trHeight w:val="360"/>
        </w:trPr>
        <w:tc>
          <w:tcPr>
            <w:tcW w:w="1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GBLD 499 </w:t>
            </w:r>
            <w:r>
              <w:rPr>
                <w:rFonts w:ascii="Times New Roman" w:eastAsia="Times New Roman" w:hAnsi="Times New Roman" w:cs="Times New Roman"/>
                <w:sz w:val="24"/>
                <w:szCs w:val="24"/>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GLI Capstone</w:t>
            </w:r>
          </w:p>
        </w:tc>
        <w:tc>
          <w:tcPr>
            <w:tcW w:w="31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New Course</w:t>
            </w:r>
          </w:p>
        </w:tc>
      </w:tr>
      <w:tr w:rsidR="00F553AE" w:rsidTr="00240904">
        <w:trPr>
          <w:trHeight w:val="360"/>
        </w:trPr>
        <w:tc>
          <w:tcPr>
            <w:tcW w:w="13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hyperlink r:id="rId10" w:history="1">
              <w:r>
                <w:rPr>
                  <w:rStyle w:val="Hyperlink"/>
                  <w:sz w:val="24"/>
                  <w:szCs w:val="24"/>
                </w:rPr>
                <w:t>Level I</w:t>
              </w:r>
            </w:hyperlink>
          </w:p>
        </w:tc>
        <w:tc>
          <w:tcPr>
            <w:tcW w:w="3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Global Leadership Certificate </w:t>
            </w:r>
          </w:p>
        </w:tc>
        <w:tc>
          <w:tcPr>
            <w:tcW w:w="31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3AE" w:rsidRDefault="00F553AE" w:rsidP="00240904">
            <w:pPr>
              <w:spacing w:after="0" w:line="240" w:lineRule="auto"/>
              <w:rPr>
                <w:rFonts w:eastAsia="Times New Roman" w:cs="Times New Roman"/>
                <w:color w:val="000000"/>
                <w:sz w:val="24"/>
                <w:szCs w:val="24"/>
              </w:rPr>
            </w:pPr>
            <w:r>
              <w:rPr>
                <w:rFonts w:eastAsia="Times New Roman" w:cs="Times New Roman"/>
                <w:sz w:val="24"/>
                <w:szCs w:val="24"/>
              </w:rPr>
              <w:t xml:space="preserve">New interdisciplinary certificate </w:t>
            </w:r>
            <w:r>
              <w:rPr>
                <w:rFonts w:eastAsia="Times New Roman" w:cs="Times New Roman"/>
                <w:color w:val="000000"/>
                <w:sz w:val="24"/>
                <w:szCs w:val="24"/>
              </w:rPr>
              <w:t>(12 Credits)</w:t>
            </w:r>
          </w:p>
        </w:tc>
      </w:tr>
    </w:tbl>
    <w:p w:rsidR="00F553AE" w:rsidRDefault="00F553AE" w:rsidP="00F553AE">
      <w:pPr>
        <w:pStyle w:val="ListParagraph"/>
        <w:ind w:left="360"/>
      </w:pPr>
      <w:bookmarkStart w:id="0" w:name="_GoBack"/>
      <w:bookmarkEnd w:id="0"/>
    </w:p>
    <w:p w:rsidR="00C9697B" w:rsidRDefault="00BD12B1" w:rsidP="00BD12B1">
      <w:pPr>
        <w:pStyle w:val="ListParagraph"/>
        <w:numPr>
          <w:ilvl w:val="0"/>
          <w:numId w:val="17"/>
        </w:numPr>
      </w:pPr>
      <w:r>
        <w:t>The Chair of the General Education Committee, Kim Reiser</w:t>
      </w:r>
      <w:r w:rsidR="00A67606">
        <w:t>,</w:t>
      </w:r>
      <w:r>
        <w:t xml:space="preserve"> prese</w:t>
      </w:r>
      <w:r w:rsidR="00504734">
        <w:t xml:space="preserve">nted the consent </w:t>
      </w:r>
      <w:proofErr w:type="gramStart"/>
      <w:r w:rsidR="00504734">
        <w:t>agenda</w:t>
      </w:r>
      <w:proofErr w:type="gramEnd"/>
      <w:r w:rsidR="00504734">
        <w:t>. The items below were approved.  There were several questions regarding EDLD 486 as a symbolic systems course for programs qualif</w:t>
      </w:r>
      <w:r w:rsidR="00A67606">
        <w:t>ied for the language exemption due to its 400 level UG class proposed as a General Education symbolic system class.</w:t>
      </w:r>
      <w:r w:rsidR="00504734">
        <w:t xml:space="preserve"> The course was sent back to committee to address the</w:t>
      </w:r>
      <w:r w:rsidR="00A67606">
        <w:t>se</w:t>
      </w:r>
      <w:r w:rsidR="00504734">
        <w:t xml:space="preserve"> issues.  </w:t>
      </w:r>
      <w:r w:rsidR="00A67606">
        <w:t xml:space="preserve">  The following classes proposed for General Education were approved: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305"/>
      </w:tblGrid>
      <w:tr w:rsidR="008610CF" w:rsidTr="008610CF">
        <w:tc>
          <w:tcPr>
            <w:tcW w:w="2628" w:type="dxa"/>
            <w:shd w:val="clear" w:color="auto" w:fill="auto"/>
          </w:tcPr>
          <w:p w:rsidR="008610CF" w:rsidRDefault="008610CF" w:rsidP="008610CF">
            <w:r>
              <w:t xml:space="preserve">General Education Group </w:t>
            </w:r>
          </w:p>
        </w:tc>
        <w:tc>
          <w:tcPr>
            <w:tcW w:w="5490" w:type="dxa"/>
            <w:shd w:val="clear" w:color="auto" w:fill="auto"/>
          </w:tcPr>
          <w:p w:rsidR="008610CF" w:rsidRDefault="008610CF" w:rsidP="008610CF">
            <w:r>
              <w:t>Course</w:t>
            </w:r>
          </w:p>
        </w:tc>
      </w:tr>
      <w:tr w:rsidR="008610CF" w:rsidRPr="00575F53" w:rsidTr="008610CF">
        <w:tc>
          <w:tcPr>
            <w:tcW w:w="2628" w:type="dxa"/>
            <w:shd w:val="clear" w:color="auto" w:fill="auto"/>
          </w:tcPr>
          <w:p w:rsidR="008610CF" w:rsidRPr="00575F53" w:rsidRDefault="008610CF" w:rsidP="008610CF">
            <w:r w:rsidRPr="00575F53">
              <w:t xml:space="preserve">Expressive Art </w:t>
            </w:r>
          </w:p>
        </w:tc>
        <w:tc>
          <w:tcPr>
            <w:tcW w:w="5490" w:type="dxa"/>
            <w:shd w:val="clear" w:color="auto" w:fill="auto"/>
          </w:tcPr>
          <w:p w:rsidR="008610CF" w:rsidRPr="00575F53" w:rsidRDefault="008610CF" w:rsidP="008610CF">
            <w:r w:rsidRPr="00575F53">
              <w:t>Dance 108, Dance Forms</w:t>
            </w:r>
          </w:p>
        </w:tc>
      </w:tr>
      <w:tr w:rsidR="008610CF" w:rsidTr="008610CF">
        <w:tc>
          <w:tcPr>
            <w:tcW w:w="2628" w:type="dxa"/>
            <w:shd w:val="clear" w:color="auto" w:fill="auto"/>
          </w:tcPr>
          <w:p w:rsidR="008610CF" w:rsidRDefault="008610CF" w:rsidP="008610CF">
            <w:r>
              <w:t>Literary &amp; Artistic Studies</w:t>
            </w:r>
          </w:p>
        </w:tc>
        <w:tc>
          <w:tcPr>
            <w:tcW w:w="5490" w:type="dxa"/>
            <w:shd w:val="clear" w:color="auto" w:fill="auto"/>
          </w:tcPr>
          <w:p w:rsidR="008610CF" w:rsidRDefault="008610CF" w:rsidP="008610CF">
            <w:r>
              <w:t>LIT 202, The Environmental Imagination</w:t>
            </w:r>
          </w:p>
        </w:tc>
      </w:tr>
      <w:tr w:rsidR="008610CF" w:rsidTr="008610CF">
        <w:trPr>
          <w:trHeight w:val="602"/>
        </w:trPr>
        <w:tc>
          <w:tcPr>
            <w:tcW w:w="2628" w:type="dxa"/>
            <w:shd w:val="clear" w:color="auto" w:fill="auto"/>
          </w:tcPr>
          <w:p w:rsidR="008610CF" w:rsidRDefault="008610CF" w:rsidP="008610CF">
            <w:r>
              <w:t>American &amp; European</w:t>
            </w:r>
          </w:p>
        </w:tc>
        <w:tc>
          <w:tcPr>
            <w:tcW w:w="5490" w:type="dxa"/>
            <w:shd w:val="clear" w:color="auto" w:fill="auto"/>
          </w:tcPr>
          <w:p w:rsidR="008610CF" w:rsidRDefault="008610CF" w:rsidP="008610CF">
            <w:r>
              <w:t>THTR 101, Introduction to Theatre – approved for spring offering</w:t>
            </w:r>
          </w:p>
        </w:tc>
      </w:tr>
      <w:tr w:rsidR="008610CF" w:rsidTr="008610CF">
        <w:trPr>
          <w:trHeight w:val="503"/>
        </w:trPr>
        <w:tc>
          <w:tcPr>
            <w:tcW w:w="2628" w:type="dxa"/>
            <w:shd w:val="clear" w:color="auto" w:fill="auto"/>
          </w:tcPr>
          <w:p w:rsidR="008610CF" w:rsidRDefault="008610CF" w:rsidP="008610CF">
            <w:r>
              <w:t xml:space="preserve">Indigenous &amp; Global </w:t>
            </w:r>
          </w:p>
        </w:tc>
        <w:tc>
          <w:tcPr>
            <w:tcW w:w="5490" w:type="dxa"/>
            <w:shd w:val="clear" w:color="auto" w:fill="auto"/>
          </w:tcPr>
          <w:p w:rsidR="008610CF" w:rsidRDefault="008610CF" w:rsidP="008610CF">
            <w:r>
              <w:t>MART 307, Cinema of Latin America</w:t>
            </w:r>
          </w:p>
        </w:tc>
      </w:tr>
    </w:tbl>
    <w:p w:rsidR="008610CF" w:rsidRDefault="008610CF" w:rsidP="008610CF">
      <w:pPr>
        <w:pStyle w:val="ListParagraph"/>
      </w:pPr>
    </w:p>
    <w:p w:rsidR="00A67606" w:rsidRDefault="00A67606" w:rsidP="00A67606">
      <w:pPr>
        <w:pStyle w:val="ListParagraph"/>
        <w:jc w:val="both"/>
      </w:pPr>
      <w:r>
        <w:t xml:space="preserve">Chair Manuel expressed concern about the specific nature of many classes that have been approved for General Education (Gen Ed).  From a philosophical standpoint Gen Ed classes should be foundational in nature and scope, should be accessible and of interest to any student in any program. </w:t>
      </w:r>
    </w:p>
    <w:p w:rsidR="00A67606" w:rsidRDefault="00A67606" w:rsidP="008610CF">
      <w:pPr>
        <w:pStyle w:val="ListParagraph"/>
      </w:pPr>
    </w:p>
    <w:p w:rsidR="008610CF" w:rsidRDefault="00504734" w:rsidP="008610CF">
      <w:pPr>
        <w:pStyle w:val="ListParagraph"/>
        <w:numPr>
          <w:ilvl w:val="0"/>
          <w:numId w:val="17"/>
        </w:numPr>
      </w:pPr>
      <w:r>
        <w:t>Megan Stark</w:t>
      </w:r>
      <w:r w:rsidR="00A67606">
        <w:t>, Chair of the Writing Committee,</w:t>
      </w:r>
      <w:r>
        <w:t xml:space="preserve"> presented the consent agenda for the </w:t>
      </w:r>
      <w:r w:rsidR="00A67606">
        <w:t>writing course proposals</w:t>
      </w:r>
      <w:r>
        <w:t xml:space="preserve">.  </w:t>
      </w:r>
      <w:r w:rsidR="00A67606">
        <w:t>The proposals</w:t>
      </w:r>
      <w:r>
        <w:t xml:space="preserve"> include 3 new courses and the outcome of the rolling review for social science writing courses.  The items </w:t>
      </w:r>
      <w:r w:rsidR="00A67606">
        <w:t xml:space="preserve">below </w:t>
      </w:r>
      <w:r>
        <w:t>were approved.   The new labels have helped with the confusion. Intermediate course</w:t>
      </w:r>
      <w:r w:rsidR="00A67606">
        <w:t>s</w:t>
      </w:r>
      <w:r>
        <w:t xml:space="preserve"> take </w:t>
      </w:r>
      <w:r w:rsidR="00A67606">
        <w:t>a</w:t>
      </w:r>
      <w:r>
        <w:t xml:space="preserve"> macro approach </w:t>
      </w:r>
      <w:r w:rsidR="00A67606">
        <w:t>to developing</w:t>
      </w:r>
      <w:r>
        <w:t xml:space="preserve"> writing </w:t>
      </w:r>
      <w:r w:rsidR="00A67606">
        <w:t xml:space="preserve">skills beyond the basic level, </w:t>
      </w:r>
      <w:r>
        <w:t>where</w:t>
      </w:r>
      <w:r w:rsidR="00A67606">
        <w:t>as</w:t>
      </w:r>
      <w:r>
        <w:t xml:space="preserve"> the advanced </w:t>
      </w:r>
      <w:r w:rsidR="00A67606">
        <w:t xml:space="preserve">writing </w:t>
      </w:r>
      <w:r>
        <w:t>course</w:t>
      </w:r>
      <w:r w:rsidR="00A67606">
        <w:t>s</w:t>
      </w:r>
      <w:r>
        <w:t xml:space="preserve"> </w:t>
      </w:r>
      <w:r w:rsidR="00A67606">
        <w:t>build skills in</w:t>
      </w:r>
      <w:r w:rsidR="00561BA5">
        <w:t xml:space="preserve"> more discipline specific approaches.  We are starting to see some results from the professional development </w:t>
      </w:r>
      <w:r w:rsidR="00A67606">
        <w:t xml:space="preserve">model of writing now employed </w:t>
      </w:r>
      <w:r w:rsidR="00561BA5">
        <w:t xml:space="preserve">and expect to see more changes reflecting best practices in the future.  We still need to address how the </w:t>
      </w:r>
      <w:r w:rsidR="00561BA5">
        <w:lastRenderedPageBreak/>
        <w:t>University-wide Pr</w:t>
      </w:r>
      <w:r w:rsidR="00A67606">
        <w:t>ogram-level Writing Assessment (UPWA) can be sustainable as it is resource and labor intensive.</w:t>
      </w:r>
    </w:p>
    <w:p w:rsidR="00504734" w:rsidRDefault="00504734" w:rsidP="00561BA5">
      <w:pPr>
        <w:pStyle w:val="Heading3"/>
        <w:ind w:left="720"/>
      </w:pPr>
      <w:r>
        <w:t>New Intermediate Writing Course</w:t>
      </w:r>
    </w:p>
    <w:tbl>
      <w:tblPr>
        <w:tblW w:w="775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155"/>
      </w:tblGrid>
      <w:tr w:rsidR="00504734" w:rsidRPr="002716F5" w:rsidTr="00FB40F4">
        <w:trPr>
          <w:trHeight w:val="300"/>
        </w:trPr>
        <w:tc>
          <w:tcPr>
            <w:tcW w:w="1600" w:type="dxa"/>
            <w:shd w:val="clear" w:color="auto" w:fill="auto"/>
            <w:noWrap/>
            <w:vAlign w:val="bottom"/>
            <w:hideMark/>
          </w:tcPr>
          <w:p w:rsidR="00504734" w:rsidRPr="002716F5" w:rsidRDefault="00504734" w:rsidP="00504734">
            <w:pPr>
              <w:spacing w:after="0" w:line="240" w:lineRule="auto"/>
              <w:rPr>
                <w:rFonts w:ascii="Calibri" w:eastAsia="Times New Roman" w:hAnsi="Calibri" w:cs="Calibri"/>
                <w:color w:val="000000"/>
              </w:rPr>
            </w:pPr>
            <w:r w:rsidRPr="002716F5">
              <w:rPr>
                <w:rFonts w:ascii="Calibri" w:eastAsia="Times New Roman" w:hAnsi="Calibri" w:cs="Calibri"/>
                <w:color w:val="000000"/>
              </w:rPr>
              <w:t>ANTY 254</w:t>
            </w:r>
          </w:p>
        </w:tc>
        <w:tc>
          <w:tcPr>
            <w:tcW w:w="6155" w:type="dxa"/>
            <w:shd w:val="clear" w:color="auto" w:fill="auto"/>
            <w:noWrap/>
            <w:vAlign w:val="bottom"/>
            <w:hideMark/>
          </w:tcPr>
          <w:p w:rsidR="00504734" w:rsidRPr="002716F5" w:rsidRDefault="00504734" w:rsidP="00504734">
            <w:pPr>
              <w:spacing w:after="0" w:line="240" w:lineRule="auto"/>
              <w:rPr>
                <w:rFonts w:ascii="Calibri" w:eastAsia="Times New Roman" w:hAnsi="Calibri" w:cs="Calibri"/>
                <w:color w:val="000000"/>
              </w:rPr>
            </w:pPr>
            <w:r w:rsidRPr="002716F5">
              <w:rPr>
                <w:rFonts w:ascii="Calibri" w:eastAsia="Times New Roman" w:hAnsi="Calibri" w:cs="Calibri"/>
                <w:color w:val="000000"/>
              </w:rPr>
              <w:t>Archaeological Wonders of the World</w:t>
            </w:r>
          </w:p>
        </w:tc>
      </w:tr>
    </w:tbl>
    <w:p w:rsidR="00504734" w:rsidRDefault="00504734" w:rsidP="00561BA5">
      <w:pPr>
        <w:ind w:left="720"/>
      </w:pPr>
    </w:p>
    <w:p w:rsidR="008610CF" w:rsidRDefault="008610CF" w:rsidP="00561BA5">
      <w:pPr>
        <w:pStyle w:val="Heading3"/>
        <w:ind w:left="720"/>
      </w:pPr>
      <w:r>
        <w:t>New Advanced Writing Courses</w:t>
      </w:r>
    </w:p>
    <w:tbl>
      <w:tblPr>
        <w:tblW w:w="784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245"/>
      </w:tblGrid>
      <w:tr w:rsidR="008610CF" w:rsidRPr="002716F5" w:rsidTr="00FB40F4">
        <w:trPr>
          <w:trHeight w:val="300"/>
        </w:trPr>
        <w:tc>
          <w:tcPr>
            <w:tcW w:w="1600" w:type="dxa"/>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EDEC 454</w:t>
            </w:r>
          </w:p>
        </w:tc>
        <w:tc>
          <w:tcPr>
            <w:tcW w:w="6245" w:type="dxa"/>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PK-3 Language Arts and Reading Methods</w:t>
            </w:r>
          </w:p>
        </w:tc>
      </w:tr>
      <w:tr w:rsidR="008610CF" w:rsidRPr="002716F5" w:rsidTr="00FB40F4">
        <w:trPr>
          <w:trHeight w:val="300"/>
        </w:trPr>
        <w:tc>
          <w:tcPr>
            <w:tcW w:w="1600" w:type="dxa"/>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EVST 487</w:t>
            </w:r>
          </w:p>
        </w:tc>
        <w:tc>
          <w:tcPr>
            <w:tcW w:w="6245" w:type="dxa"/>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Globalization, Justice and the Environment</w:t>
            </w:r>
          </w:p>
        </w:tc>
      </w:tr>
    </w:tbl>
    <w:p w:rsidR="008610CF" w:rsidRDefault="008610CF" w:rsidP="00561BA5">
      <w:pPr>
        <w:ind w:left="720"/>
      </w:pPr>
    </w:p>
    <w:p w:rsidR="008610CF" w:rsidRDefault="008610CF" w:rsidP="00561BA5">
      <w:pPr>
        <w:pStyle w:val="Heading3"/>
        <w:ind w:left="720"/>
      </w:pPr>
      <w:r>
        <w:t>Rolling Review – Social Science Courses</w:t>
      </w:r>
    </w:p>
    <w:p w:rsidR="008610CF" w:rsidRDefault="008610CF" w:rsidP="00561BA5">
      <w:pPr>
        <w:pStyle w:val="Heading4"/>
        <w:ind w:left="720"/>
      </w:pPr>
      <w:r>
        <w:t xml:space="preserve">  Intermediate Writing Courses </w:t>
      </w:r>
    </w:p>
    <w:tbl>
      <w:tblPr>
        <w:tblW w:w="7845" w:type="dxa"/>
        <w:tblInd w:w="813" w:type="dxa"/>
        <w:tblLook w:val="04A0" w:firstRow="1" w:lastRow="0" w:firstColumn="1" w:lastColumn="0" w:noHBand="0" w:noVBand="1"/>
      </w:tblPr>
      <w:tblGrid>
        <w:gridCol w:w="1600"/>
        <w:gridCol w:w="6245"/>
      </w:tblGrid>
      <w:tr w:rsidR="008610CF" w:rsidRPr="002716F5" w:rsidTr="00FB40F4">
        <w:trPr>
          <w:trHeight w:val="300"/>
        </w:trPr>
        <w:tc>
          <w:tcPr>
            <w:tcW w:w="1600" w:type="dxa"/>
            <w:tcBorders>
              <w:top w:val="nil"/>
              <w:left w:val="nil"/>
              <w:bottom w:val="single" w:sz="4" w:space="0" w:color="auto"/>
              <w:right w:val="nil"/>
            </w:tcBorders>
            <w:shd w:val="clear" w:color="auto" w:fill="auto"/>
            <w:noWrap/>
            <w:vAlign w:val="bottom"/>
          </w:tcPr>
          <w:p w:rsidR="008610CF" w:rsidRPr="002716F5" w:rsidRDefault="008610CF" w:rsidP="008610CF">
            <w:pPr>
              <w:spacing w:after="0" w:line="240" w:lineRule="auto"/>
              <w:rPr>
                <w:rFonts w:ascii="Calibri" w:eastAsia="Times New Roman" w:hAnsi="Calibri" w:cs="Calibri"/>
                <w:color w:val="000000"/>
              </w:rPr>
            </w:pPr>
          </w:p>
        </w:tc>
        <w:tc>
          <w:tcPr>
            <w:tcW w:w="6245" w:type="dxa"/>
            <w:tcBorders>
              <w:top w:val="nil"/>
              <w:left w:val="nil"/>
              <w:bottom w:val="single" w:sz="4" w:space="0" w:color="auto"/>
              <w:right w:val="nil"/>
            </w:tcBorders>
            <w:shd w:val="clear" w:color="auto" w:fill="auto"/>
            <w:noWrap/>
            <w:vAlign w:val="bottom"/>
          </w:tcPr>
          <w:p w:rsidR="008610CF" w:rsidRPr="002716F5" w:rsidRDefault="008610CF" w:rsidP="008610CF">
            <w:pPr>
              <w:spacing w:after="0" w:line="240" w:lineRule="auto"/>
              <w:rPr>
                <w:rFonts w:ascii="Calibri" w:eastAsia="Times New Roman" w:hAnsi="Calibri" w:cs="Calibri"/>
                <w:color w:val="000000"/>
              </w:rPr>
            </w:pPr>
          </w:p>
        </w:tc>
      </w:tr>
      <w:tr w:rsidR="008610CF" w:rsidRPr="002716F5" w:rsidTr="00FB40F4">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ANTY 310</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Human Variation</w:t>
            </w:r>
          </w:p>
        </w:tc>
      </w:tr>
      <w:tr w:rsidR="008610CF" w:rsidRPr="002716F5" w:rsidTr="00FB40F4">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0CF" w:rsidRPr="00000F29" w:rsidRDefault="008610CF" w:rsidP="008610CF">
            <w:pPr>
              <w:spacing w:after="0" w:line="240" w:lineRule="auto"/>
              <w:rPr>
                <w:rFonts w:ascii="Calibri" w:eastAsia="Times New Roman" w:hAnsi="Calibri" w:cs="Calibri"/>
                <w:color w:val="000000"/>
                <w:highlight w:val="yellow"/>
              </w:rPr>
            </w:pPr>
            <w:r w:rsidRPr="00F013BE">
              <w:rPr>
                <w:rFonts w:ascii="Calibri" w:eastAsia="Times New Roman" w:hAnsi="Calibri" w:cs="Calibri"/>
                <w:color w:val="000000"/>
              </w:rPr>
              <w:t>ECNS 433</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0CF" w:rsidRPr="002716F5" w:rsidRDefault="008610CF" w:rsidP="008610CF">
            <w:pPr>
              <w:spacing w:after="0" w:line="240" w:lineRule="auto"/>
              <w:rPr>
                <w:rFonts w:ascii="Calibri" w:eastAsia="Times New Roman" w:hAnsi="Calibri" w:cs="Calibri"/>
                <w:color w:val="000000"/>
              </w:rPr>
            </w:pPr>
            <w:r>
              <w:rPr>
                <w:rFonts w:ascii="Calibri" w:eastAsia="Times New Roman" w:hAnsi="Calibri" w:cs="Calibri"/>
                <w:color w:val="000000"/>
              </w:rPr>
              <w:t xml:space="preserve">Economics of the Environment </w:t>
            </w:r>
            <w:r w:rsidR="00A67606">
              <w:rPr>
                <w:rFonts w:ascii="Calibri" w:eastAsia="Times New Roman" w:hAnsi="Calibri" w:cs="Calibri"/>
                <w:color w:val="000000"/>
              </w:rPr>
              <w:t xml:space="preserve"> (one time only approval before the course is changed to a 200 level intermediate writing course)</w:t>
            </w:r>
          </w:p>
        </w:tc>
      </w:tr>
      <w:tr w:rsidR="008610CF" w:rsidRPr="002716F5" w:rsidTr="00FB40F4">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9D7DB0">
              <w:rPr>
                <w:rFonts w:ascii="Calibri" w:eastAsia="Times New Roman" w:hAnsi="Calibri" w:cs="Calibri"/>
                <w:color w:val="000000"/>
              </w:rPr>
              <w:t>ENST 231</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Nature and Society Seminar</w:t>
            </w:r>
          </w:p>
        </w:tc>
      </w:tr>
      <w:tr w:rsidR="008610CF" w:rsidRPr="002716F5" w:rsidTr="00FB40F4">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rPr>
            </w:pPr>
            <w:r w:rsidRPr="00A41915">
              <w:rPr>
                <w:rFonts w:ascii="Calibri" w:eastAsia="Times New Roman" w:hAnsi="Calibri" w:cs="Calibri"/>
              </w:rPr>
              <w:t>LIT 202</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rPr>
            </w:pPr>
            <w:r w:rsidRPr="002716F5">
              <w:rPr>
                <w:rFonts w:ascii="Calibri" w:eastAsia="Times New Roman" w:hAnsi="Calibri" w:cs="Calibri"/>
              </w:rPr>
              <w:t>The Environmental Imagination</w:t>
            </w:r>
          </w:p>
        </w:tc>
      </w:tr>
      <w:tr w:rsidR="008610CF" w:rsidRPr="002716F5" w:rsidTr="00FB40F4">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A41915">
              <w:rPr>
                <w:rFonts w:ascii="Calibri" w:eastAsia="Times New Roman" w:hAnsi="Calibri" w:cs="Calibri"/>
                <w:color w:val="000000"/>
              </w:rPr>
              <w:t>NASX 280</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Native American Studies Research Theories and Methods</w:t>
            </w:r>
          </w:p>
        </w:tc>
      </w:tr>
    </w:tbl>
    <w:p w:rsidR="008610CF" w:rsidRDefault="008610CF" w:rsidP="00561BA5">
      <w:pPr>
        <w:ind w:left="720"/>
      </w:pPr>
    </w:p>
    <w:p w:rsidR="008610CF" w:rsidRPr="002716F5" w:rsidRDefault="008610CF" w:rsidP="00561BA5">
      <w:pPr>
        <w:pStyle w:val="Heading4"/>
        <w:ind w:left="720"/>
      </w:pPr>
      <w:r>
        <w:t xml:space="preserve">Advanced Writing Courses </w:t>
      </w:r>
      <w:r>
        <w:br/>
      </w:r>
    </w:p>
    <w:tbl>
      <w:tblPr>
        <w:tblW w:w="7845" w:type="dxa"/>
        <w:tblInd w:w="813" w:type="dxa"/>
        <w:tblLook w:val="04A0" w:firstRow="1" w:lastRow="0" w:firstColumn="1" w:lastColumn="0" w:noHBand="0" w:noVBand="1"/>
      </w:tblPr>
      <w:tblGrid>
        <w:gridCol w:w="1815"/>
        <w:gridCol w:w="6030"/>
      </w:tblGrid>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Course number</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title</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F013BE">
              <w:rPr>
                <w:rFonts w:ascii="Calibri" w:eastAsia="Times New Roman" w:hAnsi="Calibri" w:cs="Calibri"/>
                <w:color w:val="000000"/>
              </w:rPr>
              <w:t>ANTY 402</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 xml:space="preserve">Quantitative Ethnographic </w:t>
            </w:r>
            <w:r>
              <w:rPr>
                <w:rFonts w:ascii="Calibri" w:eastAsia="Times New Roman" w:hAnsi="Calibri" w:cs="Calibri"/>
                <w:color w:val="000000"/>
              </w:rPr>
              <w:t>F</w:t>
            </w:r>
            <w:r w:rsidRPr="002716F5">
              <w:rPr>
                <w:rFonts w:ascii="Calibri" w:eastAsia="Times New Roman" w:hAnsi="Calibri" w:cs="Calibri"/>
                <w:color w:val="000000"/>
              </w:rPr>
              <w:t>ield Methods</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ANTY 430</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 xml:space="preserve">Social Anthropology </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ANTY 450</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Archaeological Theory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ANTY 455</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Artifact Analysis</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F013BE">
              <w:rPr>
                <w:rFonts w:ascii="Calibri" w:eastAsia="Times New Roman" w:hAnsi="Calibri" w:cs="Calibri"/>
                <w:color w:val="000000"/>
              </w:rPr>
              <w:t>BGEN 499</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Strategic Management</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COMX 347</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Rhetoric,</w:t>
            </w:r>
            <w:r>
              <w:rPr>
                <w:rFonts w:ascii="Calibri" w:eastAsia="Times New Roman" w:hAnsi="Calibri" w:cs="Calibri"/>
                <w:color w:val="000000"/>
              </w:rPr>
              <w:t xml:space="preserve"> </w:t>
            </w:r>
            <w:r w:rsidRPr="002716F5">
              <w:rPr>
                <w:rFonts w:ascii="Calibri" w:eastAsia="Times New Roman" w:hAnsi="Calibri" w:cs="Calibri"/>
                <w:color w:val="000000"/>
              </w:rPr>
              <w:t>Nature, and Environmentalism</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COMX 413</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 xml:space="preserve">Communication and Conflict </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COMX 414</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Communication in Personal Relationships</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COMX 421</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8610CF">
            <w:pPr>
              <w:spacing w:after="0" w:line="240" w:lineRule="auto"/>
              <w:rPr>
                <w:rFonts w:ascii="Calibri" w:eastAsia="Times New Roman" w:hAnsi="Calibri" w:cs="Calibri"/>
                <w:color w:val="000000"/>
              </w:rPr>
            </w:pPr>
            <w:r w:rsidRPr="002716F5">
              <w:rPr>
                <w:rFonts w:ascii="Calibri" w:eastAsia="Times New Roman" w:hAnsi="Calibri" w:cs="Calibri"/>
                <w:color w:val="000000"/>
              </w:rPr>
              <w:t>Communication in Non-Profit Organizations</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9D7DB0">
              <w:rPr>
                <w:rFonts w:ascii="Calibri" w:eastAsia="Times New Roman" w:hAnsi="Calibri" w:cs="Calibri"/>
                <w:color w:val="000000"/>
              </w:rPr>
              <w:t>COMX 422</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Communication and Technology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F013BE">
              <w:rPr>
                <w:rFonts w:ascii="Calibri" w:eastAsia="Times New Roman" w:hAnsi="Calibri" w:cs="Calibri"/>
                <w:color w:val="000000"/>
              </w:rPr>
              <w:t>COMX 424</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Risk and Crisis Communication</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COMX 445</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 xml:space="preserve">Rhetorical Criticism and Theory </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0CF" w:rsidRPr="00000F29" w:rsidRDefault="008610CF" w:rsidP="00561BA5">
            <w:pPr>
              <w:spacing w:after="0" w:line="240" w:lineRule="auto"/>
              <w:ind w:left="90"/>
              <w:rPr>
                <w:rFonts w:ascii="Calibri" w:eastAsia="Times New Roman" w:hAnsi="Calibri" w:cs="Calibri"/>
                <w:color w:val="000000"/>
                <w:highlight w:val="yellow"/>
              </w:rPr>
            </w:pPr>
            <w:r w:rsidRPr="00F013BE">
              <w:rPr>
                <w:rFonts w:ascii="Calibri" w:eastAsia="Times New Roman" w:hAnsi="Calibri" w:cs="Calibri"/>
                <w:color w:val="000000"/>
              </w:rPr>
              <w:t>ECNS 488 &amp; 489</w:t>
            </w:r>
          </w:p>
        </w:tc>
        <w:tc>
          <w:tcPr>
            <w:tcW w:w="6030" w:type="dxa"/>
            <w:tcBorders>
              <w:top w:val="single" w:sz="4" w:space="0" w:color="auto"/>
              <w:left w:val="single" w:sz="4" w:space="0" w:color="auto"/>
              <w:bottom w:val="single" w:sz="4" w:space="0" w:color="auto"/>
              <w:right w:val="single" w:sz="4" w:space="0" w:color="auto"/>
            </w:tcBorders>
            <w:shd w:val="clear" w:color="auto" w:fill="auto"/>
            <w:noWrap/>
          </w:tcPr>
          <w:p w:rsidR="008610CF" w:rsidRPr="002716F5" w:rsidRDefault="008610CF" w:rsidP="00561BA5">
            <w:pPr>
              <w:spacing w:after="0" w:line="240" w:lineRule="auto"/>
              <w:ind w:left="90"/>
              <w:rPr>
                <w:rFonts w:ascii="Calibri" w:eastAsia="Times New Roman" w:hAnsi="Calibri" w:cs="Calibri"/>
                <w:color w:val="000000"/>
              </w:rPr>
            </w:pPr>
            <w:r>
              <w:rPr>
                <w:rFonts w:ascii="Calibri" w:eastAsia="Times New Roman" w:hAnsi="Calibri" w:cs="Calibri"/>
                <w:color w:val="000000"/>
              </w:rPr>
              <w:t>Research Methods and Senior Thesis</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9D7DB0">
              <w:rPr>
                <w:rFonts w:ascii="Calibri" w:eastAsia="Times New Roman" w:hAnsi="Calibri" w:cs="Calibri"/>
                <w:color w:val="000000"/>
              </w:rPr>
              <w:t>ENST 382</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Environmental Law</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 xml:space="preserve">EVST 335L </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The Environmental Vision: Reading &amp; Writing about Nature and the Environment</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EVST 367</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Environmental Politics and Policy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lastRenderedPageBreak/>
              <w:t>GPHY 335</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Water Policy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GPHY 433</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Cultural Ecology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LING 473</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Language and Culture</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9D7DB0">
              <w:rPr>
                <w:rFonts w:ascii="Calibri" w:eastAsia="Times New Roman" w:hAnsi="Calibri" w:cs="Calibri"/>
                <w:color w:val="000000"/>
              </w:rPr>
              <w:t>LING 484</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North American Indigenous Languages and Linguistics</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PSYX 320</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Research Methods III</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rPr>
            </w:pPr>
            <w:r w:rsidRPr="002716F5">
              <w:rPr>
                <w:rFonts w:ascii="Calibri" w:eastAsia="Times New Roman" w:hAnsi="Calibri" w:cs="Calibri"/>
              </w:rPr>
              <w:t>PSYX 400</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rPr>
            </w:pPr>
            <w:r w:rsidRPr="002716F5">
              <w:rPr>
                <w:rFonts w:ascii="Calibri" w:eastAsia="Times New Roman" w:hAnsi="Calibri" w:cs="Calibri"/>
              </w:rPr>
              <w:t>History and Systems of Psychology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SOCI 438</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Gangs and Society</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SOCI 441</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Capstone: Inequality and Social Justice</w:t>
            </w:r>
          </w:p>
        </w:tc>
      </w:tr>
      <w:tr w:rsidR="008610CF" w:rsidRPr="002716F5" w:rsidTr="009E4B0D">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000F29" w:rsidRDefault="008610CF" w:rsidP="00561BA5">
            <w:pPr>
              <w:spacing w:after="0" w:line="240" w:lineRule="auto"/>
              <w:ind w:left="90"/>
              <w:rPr>
                <w:rFonts w:ascii="Calibri" w:eastAsia="Times New Roman" w:hAnsi="Calibri" w:cs="Calibri"/>
                <w:color w:val="000000"/>
                <w:highlight w:val="yellow"/>
              </w:rPr>
            </w:pPr>
            <w:r w:rsidRPr="009D7DB0">
              <w:rPr>
                <w:rFonts w:ascii="Calibri" w:eastAsia="Times New Roman" w:hAnsi="Calibri" w:cs="Calibri"/>
                <w:color w:val="000000"/>
              </w:rPr>
              <w:t>SOCI 488</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F" w:rsidRPr="002716F5" w:rsidRDefault="008610CF" w:rsidP="00561BA5">
            <w:pPr>
              <w:spacing w:after="0" w:line="240" w:lineRule="auto"/>
              <w:ind w:left="90"/>
              <w:rPr>
                <w:rFonts w:ascii="Calibri" w:eastAsia="Times New Roman" w:hAnsi="Calibri" w:cs="Calibri"/>
                <w:color w:val="000000"/>
              </w:rPr>
            </w:pPr>
            <w:r w:rsidRPr="002716F5">
              <w:rPr>
                <w:rFonts w:ascii="Calibri" w:eastAsia="Times New Roman" w:hAnsi="Calibri" w:cs="Calibri"/>
                <w:color w:val="000000"/>
              </w:rPr>
              <w:t>Writing for Sociology</w:t>
            </w:r>
          </w:p>
        </w:tc>
      </w:tr>
    </w:tbl>
    <w:p w:rsidR="008610CF" w:rsidRDefault="00504734" w:rsidP="00561BA5">
      <w:pPr>
        <w:pStyle w:val="Heading3"/>
      </w:pPr>
      <w:r w:rsidRPr="00FB40F4">
        <w:t>Courses exempt from review</w:t>
      </w:r>
      <w:r w:rsidR="008F6408">
        <w:t xml:space="preserve"> because they were approved last December:</w:t>
      </w:r>
    </w:p>
    <w:p w:rsidR="00FB40F4" w:rsidRDefault="00FB40F4" w:rsidP="00FB40F4">
      <w:pPr>
        <w:pStyle w:val="Heading4"/>
      </w:pPr>
      <w:r>
        <w:t xml:space="preserve">  </w:t>
      </w:r>
      <w:r>
        <w:tab/>
        <w:t>Intermediate Writing Courses</w:t>
      </w:r>
      <w:r>
        <w:br/>
      </w: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6105"/>
      </w:tblGrid>
      <w:tr w:rsidR="00FB40F4" w:rsidRPr="002716F5" w:rsidTr="009E4B0D">
        <w:trPr>
          <w:trHeight w:val="300"/>
        </w:trPr>
        <w:tc>
          <w:tcPr>
            <w:tcW w:w="1833" w:type="dxa"/>
            <w:shd w:val="clear" w:color="auto" w:fill="auto"/>
            <w:noWrap/>
            <w:vAlign w:val="bottom"/>
            <w:hideMark/>
          </w:tcPr>
          <w:p w:rsidR="00FB40F4" w:rsidRPr="002716F5" w:rsidRDefault="00FB40F4" w:rsidP="00FB40F4">
            <w:pPr>
              <w:spacing w:after="0" w:line="240" w:lineRule="auto"/>
              <w:rPr>
                <w:rFonts w:ascii="Calibri" w:eastAsia="Times New Roman" w:hAnsi="Calibri" w:cs="Calibri"/>
                <w:color w:val="000000"/>
              </w:rPr>
            </w:pPr>
            <w:r w:rsidRPr="00AC1D32">
              <w:rPr>
                <w:rFonts w:ascii="Calibri" w:hAnsi="Calibri" w:cs="Calibri"/>
                <w:color w:val="000000"/>
              </w:rPr>
              <w:t>ENST 201</w:t>
            </w:r>
          </w:p>
        </w:tc>
        <w:tc>
          <w:tcPr>
            <w:tcW w:w="6105" w:type="dxa"/>
            <w:shd w:val="clear" w:color="auto" w:fill="auto"/>
            <w:noWrap/>
            <w:vAlign w:val="bottom"/>
            <w:hideMark/>
          </w:tcPr>
          <w:p w:rsidR="00FB40F4" w:rsidRPr="002716F5" w:rsidRDefault="00FB40F4" w:rsidP="00FB40F4">
            <w:pPr>
              <w:spacing w:after="0" w:line="240" w:lineRule="auto"/>
              <w:ind w:left="90"/>
              <w:rPr>
                <w:rFonts w:ascii="Calibri" w:eastAsia="Times New Roman" w:hAnsi="Calibri" w:cs="Calibri"/>
                <w:color w:val="000000"/>
              </w:rPr>
            </w:pPr>
            <w:r w:rsidRPr="00AC1D32">
              <w:rPr>
                <w:rFonts w:ascii="Calibri" w:hAnsi="Calibri" w:cs="Calibri"/>
                <w:color w:val="000000"/>
              </w:rPr>
              <w:t>Environmental information Resources</w:t>
            </w:r>
            <w:r w:rsidRPr="002716F5">
              <w:rPr>
                <w:rFonts w:ascii="Calibri" w:eastAsia="Times New Roman" w:hAnsi="Calibri" w:cs="Calibri"/>
                <w:color w:val="000000"/>
              </w:rPr>
              <w:t xml:space="preserve"> </w:t>
            </w:r>
          </w:p>
        </w:tc>
      </w:tr>
      <w:tr w:rsidR="00FB40F4" w:rsidRPr="002716F5" w:rsidTr="009E4B0D">
        <w:trPr>
          <w:trHeight w:val="300"/>
        </w:trPr>
        <w:tc>
          <w:tcPr>
            <w:tcW w:w="1833" w:type="dxa"/>
            <w:shd w:val="clear" w:color="auto" w:fill="auto"/>
            <w:noWrap/>
            <w:vAlign w:val="center"/>
            <w:hideMark/>
          </w:tcPr>
          <w:p w:rsidR="00FB40F4" w:rsidRPr="00AC1D32" w:rsidRDefault="00FB40F4" w:rsidP="00FB40F4">
            <w:pPr>
              <w:spacing w:line="240" w:lineRule="auto"/>
              <w:rPr>
                <w:rFonts w:ascii="Calibri" w:hAnsi="Calibri" w:cs="Calibri"/>
                <w:color w:val="000000"/>
              </w:rPr>
            </w:pPr>
            <w:r w:rsidRPr="00AC1D32">
              <w:rPr>
                <w:rFonts w:ascii="Calibri" w:hAnsi="Calibri" w:cs="Calibri"/>
                <w:color w:val="000000"/>
              </w:rPr>
              <w:t xml:space="preserve">NASX 235 X </w:t>
            </w:r>
          </w:p>
        </w:tc>
        <w:tc>
          <w:tcPr>
            <w:tcW w:w="6105" w:type="dxa"/>
            <w:shd w:val="clear" w:color="auto" w:fill="auto"/>
            <w:noWrap/>
            <w:vAlign w:val="center"/>
            <w:hideMark/>
          </w:tcPr>
          <w:p w:rsidR="00FB40F4" w:rsidRPr="00AC1D32" w:rsidRDefault="00FB40F4" w:rsidP="00FB40F4">
            <w:pPr>
              <w:spacing w:line="240" w:lineRule="auto"/>
              <w:rPr>
                <w:rFonts w:ascii="Calibri" w:hAnsi="Calibri" w:cs="Calibri"/>
                <w:color w:val="000000"/>
              </w:rPr>
            </w:pPr>
            <w:r>
              <w:rPr>
                <w:rFonts w:ascii="Calibri" w:hAnsi="Calibri" w:cs="Calibri"/>
                <w:color w:val="000000"/>
              </w:rPr>
              <w:t xml:space="preserve">  </w:t>
            </w:r>
            <w:r w:rsidRPr="00AC1D32">
              <w:rPr>
                <w:rFonts w:ascii="Calibri" w:hAnsi="Calibri" w:cs="Calibri"/>
                <w:color w:val="000000"/>
              </w:rPr>
              <w:t>Oral and Written Traditions of Native America</w:t>
            </w:r>
            <w:r>
              <w:rPr>
                <w:rFonts w:ascii="Calibri" w:hAnsi="Calibri" w:cs="Calibri"/>
                <w:color w:val="000000"/>
              </w:rPr>
              <w:t xml:space="preserve"> </w:t>
            </w:r>
          </w:p>
        </w:tc>
      </w:tr>
    </w:tbl>
    <w:p w:rsidR="00FB40F4" w:rsidRDefault="00FB40F4" w:rsidP="00FB40F4">
      <w:pPr>
        <w:pStyle w:val="Heading4"/>
        <w:ind w:firstLine="720"/>
      </w:pPr>
      <w:r>
        <w:t>Advanced Writing Courses</w:t>
      </w:r>
    </w:p>
    <w:tbl>
      <w:tblPr>
        <w:tblW w:w="7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030"/>
      </w:tblGrid>
      <w:tr w:rsidR="00FB40F4" w:rsidRPr="0064044B" w:rsidTr="009E4B0D">
        <w:trPr>
          <w:trHeight w:val="252"/>
        </w:trPr>
        <w:tc>
          <w:tcPr>
            <w:tcW w:w="1890" w:type="dxa"/>
            <w:shd w:val="clear" w:color="auto" w:fill="auto"/>
            <w:vAlign w:val="center"/>
            <w:hideMark/>
          </w:tcPr>
          <w:p w:rsidR="00FB40F4" w:rsidRPr="0064044B" w:rsidRDefault="00FB40F4" w:rsidP="00FB40F4">
            <w:pPr>
              <w:rPr>
                <w:rFonts w:ascii="Calibri" w:hAnsi="Calibri" w:cs="Calibri"/>
                <w:color w:val="000000"/>
              </w:rPr>
            </w:pPr>
            <w:r w:rsidRPr="0064044B">
              <w:rPr>
                <w:rFonts w:ascii="Calibri" w:hAnsi="Calibri" w:cs="Calibri"/>
                <w:color w:val="000000"/>
              </w:rPr>
              <w:t xml:space="preserve">ANTY 408 </w:t>
            </w:r>
          </w:p>
        </w:tc>
        <w:tc>
          <w:tcPr>
            <w:tcW w:w="6030" w:type="dxa"/>
            <w:shd w:val="clear" w:color="auto" w:fill="auto"/>
            <w:vAlign w:val="center"/>
            <w:hideMark/>
          </w:tcPr>
          <w:p w:rsidR="00FB40F4" w:rsidRPr="0064044B" w:rsidRDefault="00FB40F4" w:rsidP="00FB40F4">
            <w:pPr>
              <w:rPr>
                <w:rFonts w:ascii="Calibri" w:hAnsi="Calibri" w:cs="Calibri"/>
                <w:color w:val="000000"/>
              </w:rPr>
            </w:pPr>
            <w:r w:rsidRPr="0064044B">
              <w:rPr>
                <w:rFonts w:ascii="Calibri" w:hAnsi="Calibri" w:cs="Calibri"/>
                <w:color w:val="000000"/>
              </w:rPr>
              <w:t>Advanced Anthropological Statistics</w:t>
            </w:r>
            <w:r>
              <w:rPr>
                <w:rFonts w:ascii="Calibri" w:hAnsi="Calibri" w:cs="Calibri"/>
                <w:color w:val="000000"/>
              </w:rPr>
              <w:t xml:space="preserve"> </w:t>
            </w:r>
          </w:p>
        </w:tc>
      </w:tr>
      <w:tr w:rsidR="00FB40F4" w:rsidRPr="0064044B" w:rsidTr="009E4B0D">
        <w:trPr>
          <w:trHeight w:val="296"/>
        </w:trPr>
        <w:tc>
          <w:tcPr>
            <w:tcW w:w="1890" w:type="dxa"/>
            <w:shd w:val="clear" w:color="auto" w:fill="auto"/>
            <w:vAlign w:val="center"/>
            <w:hideMark/>
          </w:tcPr>
          <w:p w:rsidR="00FB40F4" w:rsidRPr="0064044B" w:rsidRDefault="00FB40F4" w:rsidP="00FB40F4">
            <w:pPr>
              <w:rPr>
                <w:rFonts w:ascii="Calibri" w:hAnsi="Calibri" w:cs="Calibri"/>
                <w:color w:val="000000"/>
              </w:rPr>
            </w:pPr>
            <w:r w:rsidRPr="0064044B">
              <w:rPr>
                <w:rFonts w:ascii="Calibri" w:hAnsi="Calibri" w:cs="Calibri"/>
                <w:color w:val="000000"/>
              </w:rPr>
              <w:t xml:space="preserve">NASX 494 </w:t>
            </w:r>
          </w:p>
        </w:tc>
        <w:tc>
          <w:tcPr>
            <w:tcW w:w="6030" w:type="dxa"/>
            <w:shd w:val="clear" w:color="auto" w:fill="auto"/>
            <w:vAlign w:val="center"/>
            <w:hideMark/>
          </w:tcPr>
          <w:p w:rsidR="00FB40F4" w:rsidRPr="0064044B" w:rsidRDefault="00FB40F4" w:rsidP="00FB40F4">
            <w:pPr>
              <w:rPr>
                <w:rFonts w:ascii="Calibri" w:hAnsi="Calibri" w:cs="Calibri"/>
                <w:color w:val="000000"/>
              </w:rPr>
            </w:pPr>
            <w:r w:rsidRPr="0064044B">
              <w:rPr>
                <w:rFonts w:ascii="Calibri" w:hAnsi="Calibri" w:cs="Calibri"/>
                <w:color w:val="000000"/>
              </w:rPr>
              <w:t>Reading Seminar in Native American Studies</w:t>
            </w:r>
            <w:r>
              <w:rPr>
                <w:rFonts w:ascii="Calibri" w:hAnsi="Calibri" w:cs="Calibri"/>
                <w:color w:val="000000"/>
              </w:rPr>
              <w:t xml:space="preserve"> </w:t>
            </w:r>
          </w:p>
        </w:tc>
      </w:tr>
    </w:tbl>
    <w:p w:rsidR="00561BA5" w:rsidRPr="00561BA5" w:rsidRDefault="00561BA5" w:rsidP="00561BA5"/>
    <w:p w:rsidR="00504734" w:rsidRDefault="00561BA5" w:rsidP="00006CA1">
      <w:pPr>
        <w:pStyle w:val="ListParagraph"/>
        <w:numPr>
          <w:ilvl w:val="0"/>
          <w:numId w:val="17"/>
        </w:numPr>
      </w:pPr>
      <w:r>
        <w:t xml:space="preserve">Chair Manuel summarized the revisions </w:t>
      </w:r>
      <w:r w:rsidR="00471CFD">
        <w:t>proposed in the attached</w:t>
      </w:r>
      <w:r>
        <w:t xml:space="preserve"> Credit Hour Definition </w:t>
      </w:r>
      <w:r w:rsidR="008F32B0">
        <w:t>Procedure 201.35</w:t>
      </w:r>
      <w:r w:rsidR="00471CFD">
        <w:t>.  The revised procedure</w:t>
      </w:r>
      <w:r>
        <w:t xml:space="preserve"> was approved. </w:t>
      </w:r>
      <w:r w:rsidR="008F32B0">
        <w:t xml:space="preserve"> </w:t>
      </w:r>
      <w:r w:rsidR="00471CFD">
        <w:t xml:space="preserve">The need for revision was pointed out by </w:t>
      </w:r>
      <w:r w:rsidR="008F32B0">
        <w:t>Terry Berkhouse of Internship Services</w:t>
      </w:r>
      <w:r w:rsidR="00471CFD">
        <w:t xml:space="preserve">.  He brought the matter to the attention of Associate Provost Nathan Lindsay and ASCRC this </w:t>
      </w:r>
      <w:r w:rsidR="008F32B0">
        <w:t>fall</w:t>
      </w:r>
      <w:r w:rsidR="00471CFD">
        <w:t xml:space="preserve">.  </w:t>
      </w:r>
      <w:r w:rsidR="008F32B0">
        <w:t xml:space="preserve"> </w:t>
      </w:r>
      <w:r w:rsidR="00471CFD">
        <w:t>T</w:t>
      </w:r>
      <w:r w:rsidR="008F32B0">
        <w:t xml:space="preserve">he statement in the existing 201.35 that was adopted by the Faculty Senate in May 0f 2014 </w:t>
      </w:r>
      <w:r w:rsidR="00471CFD">
        <w:t>appeared</w:t>
      </w:r>
      <w:r w:rsidR="008F32B0">
        <w:t xml:space="preserve"> to be in violation of BOR 309.1 and with the Federal (DOE) definition of a credit hour (34 C.F.R. 600.2). The revised policy that was approved </w:t>
      </w:r>
      <w:r w:rsidR="00471CFD">
        <w:t xml:space="preserve">that addresses these concerns </w:t>
      </w:r>
      <w:r w:rsidR="008F32B0">
        <w:t>is attached. Chair Manuel discussed that w</w:t>
      </w:r>
      <w:r w:rsidR="00471CFD">
        <w:t>e are actually NOT bound to apply</w:t>
      </w:r>
      <w:r w:rsidR="008F32B0" w:rsidRPr="008F32B0">
        <w:t xml:space="preserve"> the federal definition of a credit hour.  The fed</w:t>
      </w:r>
      <w:r w:rsidR="00471CFD">
        <w:t>eral</w:t>
      </w:r>
      <w:r w:rsidR="008F32B0" w:rsidRPr="008F32B0">
        <w:t xml:space="preserve"> definition is for purposes of student financial aid and federal funding to the University.  A University can apply a different stand</w:t>
      </w:r>
      <w:r w:rsidR="00471CFD">
        <w:t>ard in its own credit hours, although it</w:t>
      </w:r>
      <w:r w:rsidR="008F32B0" w:rsidRPr="008F32B0">
        <w:t xml:space="preserve"> still may have to count federal credit hours for aid and funding purposes. </w:t>
      </w:r>
      <w:r w:rsidR="00471CFD">
        <w:t xml:space="preserve"> T</w:t>
      </w:r>
      <w:r w:rsidR="008F32B0" w:rsidRPr="008F32B0">
        <w:t xml:space="preserve">here is </w:t>
      </w:r>
      <w:r w:rsidR="00471CFD">
        <w:t xml:space="preserve">also </w:t>
      </w:r>
      <w:r w:rsidR="008F32B0" w:rsidRPr="008F32B0">
        <w:t xml:space="preserve">no requirement that a credit hour </w:t>
      </w:r>
      <w:r w:rsidR="008F32B0" w:rsidRPr="008F32B0">
        <w:rPr>
          <w:i/>
          <w:iCs/>
        </w:rPr>
        <w:t>exactly</w:t>
      </w:r>
      <w:r w:rsidR="008F32B0" w:rsidRPr="008F32B0">
        <w:t xml:space="preserve"> duplicate the amount of work in the definition as is highlighted </w:t>
      </w:r>
      <w:r w:rsidR="008F32B0">
        <w:t>in the new version of the procedure</w:t>
      </w:r>
      <w:r w:rsidR="008F32B0" w:rsidRPr="008F32B0">
        <w:t xml:space="preserve">. The requirement is that a credit hour </w:t>
      </w:r>
      <w:r w:rsidR="00471CFD">
        <w:t xml:space="preserve">at a minimum </w:t>
      </w:r>
      <w:r w:rsidR="008F32B0" w:rsidRPr="008F32B0">
        <w:rPr>
          <w:i/>
          <w:iCs/>
        </w:rPr>
        <w:t>reasonably approximate</w:t>
      </w:r>
      <w:r w:rsidR="00471CFD">
        <w:t xml:space="preserve"> the</w:t>
      </w:r>
      <w:r w:rsidR="008F32B0" w:rsidRPr="008F32B0">
        <w:t xml:space="preserve"> </w:t>
      </w:r>
      <w:r w:rsidR="008F32B0" w:rsidRPr="008F32B0">
        <w:rPr>
          <w:b/>
        </w:rPr>
        <w:t>minimum</w:t>
      </w:r>
      <w:r w:rsidR="008F32B0" w:rsidRPr="008F32B0">
        <w:t xml:space="preserve"> am</w:t>
      </w:r>
      <w:r w:rsidR="008F32B0">
        <w:t xml:space="preserve">ount of work in paragraph stated in the definition of a credit hour. </w:t>
      </w:r>
      <w:r w:rsidR="00471CFD">
        <w:t xml:space="preserve"> Departments and programs can impose a higher workload requirement per credit hour. </w:t>
      </w:r>
      <w:r w:rsidR="008F32B0" w:rsidRPr="008F32B0">
        <w:t xml:space="preserve">BOR 309.1 does constrain us to use the 45 hours per credit requirement </w:t>
      </w:r>
      <w:r w:rsidR="00471CFD">
        <w:t xml:space="preserve">as a minimum </w:t>
      </w:r>
      <w:r w:rsidR="008F32B0" w:rsidRPr="008F32B0">
        <w:t xml:space="preserve">unless we wish to use outcomes based assessment which is allowed by both the BOR and the federal requirements.  </w:t>
      </w:r>
      <w:r w:rsidR="008F32B0">
        <w:t>With outcomes based assessment the University</w:t>
      </w:r>
      <w:r w:rsidR="008F32B0" w:rsidRPr="008F32B0">
        <w:t xml:space="preserve"> would have to </w:t>
      </w:r>
      <w:r w:rsidR="008F32B0" w:rsidRPr="008F32B0">
        <w:lastRenderedPageBreak/>
        <w:t xml:space="preserve">demonstrate that the outcomes </w:t>
      </w:r>
      <w:r w:rsidR="00471CFD">
        <w:t xml:space="preserve">required for credit constitute </w:t>
      </w:r>
      <w:r w:rsidR="008F32B0">
        <w:t xml:space="preserve">approximately </w:t>
      </w:r>
      <w:r w:rsidR="008F32B0" w:rsidRPr="008F32B0">
        <w:t xml:space="preserve">an equivalent amount of work as </w:t>
      </w:r>
      <w:r w:rsidR="00471CFD">
        <w:t xml:space="preserve">implied by </w:t>
      </w:r>
      <w:r w:rsidR="008F32B0" w:rsidRPr="008F32B0">
        <w:t>the credit hour definition.</w:t>
      </w:r>
      <w:r w:rsidR="008F32B0">
        <w:br/>
      </w:r>
    </w:p>
    <w:p w:rsidR="00561BA5" w:rsidRDefault="00561BA5" w:rsidP="000835C9">
      <w:pPr>
        <w:pStyle w:val="ListParagraph"/>
        <w:numPr>
          <w:ilvl w:val="0"/>
          <w:numId w:val="17"/>
        </w:numPr>
      </w:pPr>
      <w:r>
        <w:t xml:space="preserve">Missoula College </w:t>
      </w:r>
      <w:r w:rsidR="00471CFD">
        <w:t>has serious concerns</w:t>
      </w:r>
      <w:r>
        <w:t xml:space="preserve"> with the way the </w:t>
      </w:r>
      <w:r w:rsidR="00471CFD">
        <w:t xml:space="preserve">online </w:t>
      </w:r>
      <w:r>
        <w:t>catalog show’s their course</w:t>
      </w:r>
      <w:r w:rsidR="00A67606">
        <w:t xml:space="preserve"> scheduling</w:t>
      </w:r>
      <w:r>
        <w:t xml:space="preserve"> given common course numbering.  The course descriptions are </w:t>
      </w:r>
      <w:r w:rsidR="00A67606">
        <w:t xml:space="preserve">taken </w:t>
      </w:r>
      <w:r>
        <w:t xml:space="preserve">from </w:t>
      </w:r>
      <w:r w:rsidR="00A67606">
        <w:t xml:space="preserve">Banner and arise from </w:t>
      </w:r>
      <w:r>
        <w:t>the main campus and don’t reflect what may</w:t>
      </w:r>
      <w:r w:rsidR="00A67606">
        <w:t xml:space="preserve"> </w:t>
      </w:r>
      <w:r>
        <w:t>be different at Missoula College such as the semester offered.  This has been very frustrating for students and faculty</w:t>
      </w:r>
      <w:r w:rsidR="00A67606">
        <w:t xml:space="preserve"> at Missoula College</w:t>
      </w:r>
      <w:r>
        <w:t>.  A</w:t>
      </w:r>
      <w:r w:rsidR="00A67606">
        <w:t>SCRC will put this on the agenda at a future meeting and discuss possible workarounds with the Registrar’s Office.</w:t>
      </w:r>
      <w:r w:rsidR="008F32B0">
        <w:t xml:space="preserve"> </w:t>
      </w:r>
      <w:r>
        <w:t xml:space="preserve">Camie will send the excerpt from the ASCRC minutes when the issue was discussed last year. </w:t>
      </w:r>
    </w:p>
    <w:p w:rsidR="00561BA5" w:rsidRDefault="00561BA5" w:rsidP="00561BA5">
      <w:pPr>
        <w:pStyle w:val="ListParagraph"/>
        <w:ind w:left="360"/>
      </w:pPr>
    </w:p>
    <w:p w:rsidR="00561BA5" w:rsidRDefault="00561BA5" w:rsidP="00561BA5">
      <w:pPr>
        <w:pStyle w:val="Heading2"/>
      </w:pPr>
      <w:r>
        <w:t>Good and Welfare</w:t>
      </w:r>
    </w:p>
    <w:p w:rsidR="00561BA5" w:rsidRDefault="00561BA5" w:rsidP="00561BA5">
      <w:pPr>
        <w:pStyle w:val="ListParagraph"/>
        <w:numPr>
          <w:ilvl w:val="0"/>
          <w:numId w:val="18"/>
        </w:numPr>
      </w:pPr>
      <w:r>
        <w:t>There is concern that some faculty insist on setting their own course time and this creates problems for students</w:t>
      </w:r>
      <w:r w:rsidR="00BF6F8C">
        <w:t xml:space="preserve"> and the Registrar’s Office</w:t>
      </w:r>
      <w:r>
        <w:t>.</w:t>
      </w:r>
      <w:r w:rsidR="00BF6F8C">
        <w:t xml:space="preserve">  Professor Weix will send a list o</w:t>
      </w:r>
      <w:r w:rsidR="008F32B0">
        <w:t xml:space="preserve">f such courses to Chair Manuel who will then bring the matter to the attention of ASCRC and ECOS. </w:t>
      </w:r>
    </w:p>
    <w:p w:rsidR="00BF6F8C" w:rsidRDefault="00BF6F8C" w:rsidP="00BF6F8C">
      <w:pPr>
        <w:pStyle w:val="Heading2"/>
      </w:pPr>
      <w:r>
        <w:t>Adjournment</w:t>
      </w:r>
    </w:p>
    <w:p w:rsidR="00BF6F8C" w:rsidRDefault="00BF6F8C" w:rsidP="00BF6F8C">
      <w:r>
        <w:t>The meeting was adjourned at 3:54 p.m.</w:t>
      </w:r>
    </w:p>
    <w:p w:rsidR="008F32B0" w:rsidRDefault="008F32B0" w:rsidP="00BF6F8C"/>
    <w:p w:rsidR="008F32B0" w:rsidRDefault="008F32B0" w:rsidP="00BF6F8C"/>
    <w:p w:rsidR="008F32B0" w:rsidRDefault="008F32B0" w:rsidP="008F32B0">
      <w:pPr>
        <w:pStyle w:val="Heading1"/>
        <w:rPr>
          <w:noProof/>
        </w:rPr>
      </w:pPr>
      <w:r>
        <w:rPr>
          <w:noProof/>
        </w:rPr>
        <w:drawing>
          <wp:anchor distT="0" distB="0" distL="114300" distR="114300" simplePos="0" relativeHeight="251659264" behindDoc="1" locked="0" layoutInCell="1" allowOverlap="1" wp14:anchorId="494FD2CF" wp14:editId="1657357B">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11"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AAB60D7" wp14:editId="0BAED194">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Procedure</w:t>
      </w:r>
      <w:r w:rsidRPr="0092488E">
        <w:rPr>
          <w:rFonts w:cs="Arial"/>
          <w:noProof/>
        </w:rPr>
        <w:t xml:space="preserve"> </w:t>
      </w:r>
      <w:r>
        <w:rPr>
          <w:rFonts w:cs="Arial"/>
          <w:noProof/>
        </w:rPr>
        <w:tab/>
      </w:r>
      <w:r>
        <w:rPr>
          <w:rFonts w:cs="Arial"/>
          <w:noProof/>
        </w:rPr>
        <w:tab/>
        <w:t>Credit Hour Definitions</w:t>
      </w:r>
    </w:p>
    <w:p w:rsidR="008F32B0" w:rsidRPr="00C84E3F" w:rsidRDefault="008F32B0" w:rsidP="008F32B0">
      <w:pPr>
        <w:rPr>
          <w:rFonts w:cs="Arial"/>
          <w:noProof/>
          <w:color w:val="000099"/>
          <w:sz w:val="24"/>
          <w:szCs w:val="24"/>
        </w:rPr>
      </w:pPr>
      <w:r w:rsidRPr="0092488E">
        <w:rPr>
          <w:rStyle w:val="SubtleReference"/>
        </w:rPr>
        <w:t>Procedure Number:</w:t>
      </w:r>
      <w:r>
        <w:rPr>
          <w:rFonts w:cs="Arial"/>
          <w:noProof/>
        </w:rPr>
        <w:tab/>
      </w:r>
      <w:r w:rsidRPr="00F524BA">
        <w:rPr>
          <w:rFonts w:cs="Arial"/>
          <w:noProof/>
        </w:rPr>
        <w:t>201.35</w:t>
      </w:r>
      <w:r w:rsidRPr="00F524BA">
        <w:rPr>
          <w:rFonts w:cs="Arial"/>
          <w:noProof/>
        </w:rPr>
        <w:br/>
      </w:r>
      <w:r w:rsidRPr="00F524BA">
        <w:rPr>
          <w:rStyle w:val="SubtleReference"/>
        </w:rPr>
        <w:t>Date Adopted:</w:t>
      </w:r>
      <w:r w:rsidRPr="00F524BA">
        <w:rPr>
          <w:rStyle w:val="Heading2Char"/>
          <w:rFonts w:asciiTheme="minorHAnsi" w:eastAsiaTheme="majorEastAsia" w:hAnsiTheme="minorHAnsi"/>
        </w:rPr>
        <w:tab/>
      </w:r>
      <w:r w:rsidRPr="00F524BA">
        <w:rPr>
          <w:rStyle w:val="Heading2Char"/>
          <w:rFonts w:asciiTheme="minorHAnsi" w:eastAsiaTheme="majorEastAsia" w:hAnsiTheme="minorHAnsi"/>
        </w:rPr>
        <w:tab/>
      </w:r>
      <w:r w:rsidRPr="00F524BA">
        <w:rPr>
          <w:rFonts w:cs="Arial"/>
          <w:noProof/>
        </w:rPr>
        <w:t xml:space="preserve">5/8/14  </w:t>
      </w:r>
      <w:r w:rsidRPr="00F524BA">
        <w:rPr>
          <w:rFonts w:cs="Arial"/>
          <w:noProof/>
        </w:rPr>
        <w:br/>
      </w:r>
      <w:r w:rsidRPr="00F524BA">
        <w:rPr>
          <w:rStyle w:val="SubtleReference"/>
        </w:rPr>
        <w:t>Last Revision:</w:t>
      </w:r>
      <w:r w:rsidRPr="00F524BA">
        <w:rPr>
          <w:rStyle w:val="SubtleReference"/>
        </w:rPr>
        <w:tab/>
      </w:r>
      <w:r w:rsidRPr="00F524BA">
        <w:rPr>
          <w:rFonts w:cs="Arial"/>
          <w:noProof/>
        </w:rPr>
        <w:tab/>
      </w:r>
      <w:r w:rsidRPr="00F524BA">
        <w:rPr>
          <w:rFonts w:cs="Arial"/>
          <w:strike/>
          <w:noProof/>
        </w:rPr>
        <w:t>5//8/14</w:t>
      </w:r>
      <w:r>
        <w:rPr>
          <w:rFonts w:cs="Arial"/>
          <w:noProof/>
          <w:color w:val="FF0000"/>
        </w:rPr>
        <w:t>11/18/15</w:t>
      </w:r>
      <w:r w:rsidRPr="003229C4">
        <w:rPr>
          <w:rFonts w:cs="Arial"/>
          <w:noProof/>
          <w:sz w:val="24"/>
          <w:szCs w:val="24"/>
        </w:rPr>
        <w:br/>
      </w:r>
      <w:r w:rsidRPr="0092488E">
        <w:rPr>
          <w:rStyle w:val="SubtleReference"/>
        </w:rPr>
        <w:t>References:</w:t>
      </w:r>
      <w:r w:rsidRPr="003200C4">
        <w:rPr>
          <w:rStyle w:val="Heading2Char"/>
          <w:rFonts w:asciiTheme="minorHAnsi" w:eastAsiaTheme="majorEastAsia" w:hAnsiTheme="minorHAnsi"/>
        </w:rPr>
        <w:t xml:space="preserve"> </w:t>
      </w:r>
      <w:r w:rsidRPr="003200C4">
        <w:rPr>
          <w:rStyle w:val="Heading2Char"/>
          <w:rFonts w:asciiTheme="minorHAnsi" w:eastAsiaTheme="majorEastAsia" w:hAnsiTheme="minorHAnsi"/>
        </w:rPr>
        <w:tab/>
      </w:r>
      <w:r w:rsidRPr="003200C4">
        <w:rPr>
          <w:rFonts w:cs="Arial"/>
          <w:noProof/>
          <w:sz w:val="24"/>
          <w:szCs w:val="24"/>
        </w:rPr>
        <w:t xml:space="preserve"> </w:t>
      </w:r>
      <w:r w:rsidRPr="003200C4">
        <w:rPr>
          <w:rFonts w:cs="Arial"/>
          <w:noProof/>
          <w:sz w:val="24"/>
          <w:szCs w:val="24"/>
        </w:rPr>
        <w:tab/>
      </w:r>
      <w:r>
        <w:rPr>
          <w:rFonts w:cs="Arial"/>
          <w:noProof/>
        </w:rPr>
        <w:t xml:space="preserve">ASCRC Procedure 201.40, 201.55, 203.6, BOR Policy 303.3, 309.1, Code of </w:t>
      </w:r>
      <w:r>
        <w:rPr>
          <w:rFonts w:cs="Arial"/>
          <w:noProof/>
        </w:rPr>
        <w:tab/>
      </w:r>
      <w:r>
        <w:rPr>
          <w:rFonts w:cs="Arial"/>
          <w:noProof/>
        </w:rPr>
        <w:tab/>
      </w:r>
      <w:r>
        <w:rPr>
          <w:rFonts w:cs="Arial"/>
          <w:noProof/>
        </w:rPr>
        <w:tab/>
      </w:r>
      <w:r>
        <w:rPr>
          <w:rFonts w:cs="Arial"/>
          <w:noProof/>
        </w:rPr>
        <w:tab/>
        <w:t xml:space="preserve">Federal </w:t>
      </w:r>
      <w:r>
        <w:rPr>
          <w:rFonts w:cs="Arial"/>
          <w:noProof/>
        </w:rPr>
        <w:tab/>
        <w:t>Regulations  34 (C.F.R.)  600.2</w:t>
      </w:r>
      <w:r w:rsidRPr="003200C4">
        <w:rPr>
          <w:rFonts w:cs="Arial"/>
          <w:noProof/>
          <w:sz w:val="24"/>
          <w:szCs w:val="24"/>
        </w:rPr>
        <w:br/>
      </w:r>
      <w:r w:rsidRPr="0092488E">
        <w:rPr>
          <w:rStyle w:val="SubtleReference"/>
        </w:rPr>
        <w:t>Approved by:</w:t>
      </w:r>
      <w:r w:rsidRPr="003200C4">
        <w:rPr>
          <w:rStyle w:val="Heading2Char"/>
          <w:rFonts w:asciiTheme="minorHAnsi" w:eastAsiaTheme="majorEastAsia" w:hAnsiTheme="minorHAnsi"/>
        </w:rPr>
        <w:t xml:space="preserve"> </w:t>
      </w:r>
      <w:r w:rsidRPr="003200C4">
        <w:rPr>
          <w:rStyle w:val="Heading2Char"/>
          <w:rFonts w:asciiTheme="minorHAnsi" w:eastAsiaTheme="majorEastAsia" w:hAnsiTheme="minorHAnsi"/>
        </w:rPr>
        <w:tab/>
      </w:r>
      <w:r w:rsidRPr="003200C4">
        <w:rPr>
          <w:rFonts w:cs="Arial"/>
          <w:noProof/>
          <w:sz w:val="24"/>
          <w:szCs w:val="24"/>
        </w:rPr>
        <w:tab/>
      </w:r>
      <w:r w:rsidRPr="00C84E3F">
        <w:rPr>
          <w:rFonts w:cs="Arial"/>
          <w:noProof/>
          <w:color w:val="000099"/>
        </w:rPr>
        <w:t>ASCRC, Graduate Council, Faculty Senate</w:t>
      </w:r>
      <w:r>
        <w:rPr>
          <w:rFonts w:cs="Arial"/>
          <w:noProof/>
          <w:color w:val="000099"/>
        </w:rPr>
        <w:t xml:space="preserve">  (All Three Pending)</w:t>
      </w:r>
    </w:p>
    <w:p w:rsidR="008F32B0" w:rsidRDefault="008F32B0" w:rsidP="008F32B0">
      <w:pPr>
        <w:rPr>
          <w:rFonts w:cs="Arial"/>
          <w:sz w:val="24"/>
          <w:szCs w:val="24"/>
        </w:rPr>
      </w:pPr>
      <w:r w:rsidRPr="00E67679">
        <w:rPr>
          <w:rStyle w:val="Heading2Char"/>
          <w:rFonts w:eastAsiaTheme="majorEastAsia"/>
          <w:noProof/>
        </w:rPr>
        <mc:AlternateContent>
          <mc:Choice Requires="wps">
            <w:drawing>
              <wp:anchor distT="0" distB="0" distL="114300" distR="114300" simplePos="0" relativeHeight="251661312" behindDoc="0" locked="0" layoutInCell="0" allowOverlap="1" wp14:anchorId="4CAADA74" wp14:editId="518B7D1D">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1451B"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8F32B0" w:rsidRDefault="008F32B0" w:rsidP="008F32B0">
      <w:pPr>
        <w:ind w:left="360"/>
        <w:rPr>
          <w:rFonts w:eastAsia="Times New Roman"/>
        </w:rPr>
      </w:pPr>
    </w:p>
    <w:p w:rsidR="008F32B0" w:rsidRDefault="008F32B0" w:rsidP="008F32B0">
      <w:pPr>
        <w:pStyle w:val="Heading2"/>
      </w:pPr>
      <w:r>
        <w:t>Definition of Credit Hour</w:t>
      </w:r>
    </w:p>
    <w:p w:rsidR="008F32B0" w:rsidRDefault="008F32B0" w:rsidP="008F32B0">
      <w:pPr>
        <w:rPr>
          <w:color w:val="000000" w:themeColor="text1"/>
        </w:rPr>
      </w:pPr>
      <w:r>
        <w:t xml:space="preserve">Credits for all coursework completed at the University of Montana shall be awarded in accordance with the Department of Education's regulations as set forth in 34 C.F.R. </w:t>
      </w:r>
      <w:hyperlink r:id="rId13" w:history="1">
        <w:r>
          <w:rPr>
            <w:rStyle w:val="Hyperlink"/>
          </w:rPr>
          <w:t>§ 600.2</w:t>
        </w:r>
      </w:hyperlink>
      <w:r>
        <w:rPr>
          <w:color w:val="000000" w:themeColor="text1"/>
        </w:rPr>
        <w:t>.</w:t>
      </w:r>
    </w:p>
    <w:p w:rsidR="008F32B0" w:rsidRPr="003627B3" w:rsidRDefault="008F32B0" w:rsidP="008F32B0">
      <w:pPr>
        <w:rPr>
          <w:strike/>
          <w:color w:val="FF0000"/>
        </w:rPr>
      </w:pPr>
      <w:r w:rsidRPr="003627B3">
        <w:rPr>
          <w:strike/>
          <w:color w:val="FF0000"/>
        </w:rPr>
        <w:lastRenderedPageBreak/>
        <w:t xml:space="preserve">Laboratory work, internships, </w:t>
      </w:r>
      <w:proofErr w:type="spellStart"/>
      <w:r w:rsidRPr="003627B3">
        <w:rPr>
          <w:strike/>
          <w:color w:val="FF0000"/>
        </w:rPr>
        <w:t>practica</w:t>
      </w:r>
      <w:proofErr w:type="spellEnd"/>
      <w:r w:rsidRPr="003627B3">
        <w:rPr>
          <w:strike/>
          <w:color w:val="FF0000"/>
        </w:rPr>
        <w:t xml:space="preserve">, studio work, and similar activities shall be awarded 1 credit for 2 hours of organized activity per week.  </w:t>
      </w:r>
    </w:p>
    <w:p w:rsidR="008F32B0" w:rsidRPr="003627B3" w:rsidRDefault="008F32B0" w:rsidP="008F32B0">
      <w:pPr>
        <w:rPr>
          <w:u w:val="single"/>
        </w:rPr>
      </w:pPr>
      <w:r w:rsidRPr="003627B3">
        <w:rPr>
          <w:u w:val="single"/>
        </w:rPr>
        <w:t>A credit hour is an amount of work represented in intended learning outcomes and verified by evidence of student achievement that is an institutionally established equivalency that reasonably approximates not less than:</w:t>
      </w:r>
    </w:p>
    <w:p w:rsidR="008F32B0" w:rsidRPr="003627B3" w:rsidRDefault="008F32B0" w:rsidP="008F32B0">
      <w:pPr>
        <w:rPr>
          <w:u w:val="single"/>
        </w:rPr>
      </w:pPr>
      <w:r w:rsidRPr="003627B3">
        <w:rPr>
          <w:u w:val="single"/>
        </w:rPr>
        <w:t>1. One hour of classroom or direct faculty instruction and a minimum of two hours of out-of-class student work each week for approximately fifteen weeks for one semester; or</w:t>
      </w:r>
    </w:p>
    <w:p w:rsidR="008F32B0" w:rsidRPr="003627B3" w:rsidRDefault="008F32B0" w:rsidP="008F32B0">
      <w:pPr>
        <w:rPr>
          <w:u w:val="single"/>
        </w:rPr>
      </w:pPr>
      <w:r w:rsidRPr="003627B3">
        <w:rPr>
          <w:u w:val="single"/>
        </w:rPr>
        <w:t xml:space="preserve">2. At least an equivalent amount of work for other academic activities as established by the institution, including laboratory work, internships, </w:t>
      </w:r>
      <w:proofErr w:type="spellStart"/>
      <w:r w:rsidRPr="003627B3">
        <w:rPr>
          <w:u w:val="single"/>
        </w:rPr>
        <w:t>practica</w:t>
      </w:r>
      <w:proofErr w:type="spellEnd"/>
      <w:r w:rsidRPr="003627B3">
        <w:rPr>
          <w:u w:val="single"/>
        </w:rPr>
        <w:t>, studio work, and other academic work leading to the award of credit hours.</w:t>
      </w:r>
    </w:p>
    <w:p w:rsidR="008F32B0" w:rsidRPr="00595D4C" w:rsidRDefault="008F32B0" w:rsidP="008F32B0">
      <w:pPr>
        <w:rPr>
          <w:u w:val="single"/>
        </w:rPr>
      </w:pPr>
      <w:r w:rsidRPr="00595D4C">
        <w:rPr>
          <w:u w:val="single"/>
        </w:rPr>
        <w:t>The one hour of work</w:t>
      </w:r>
      <w:r>
        <w:rPr>
          <w:u w:val="single"/>
        </w:rPr>
        <w:t xml:space="preserve"> referred to above</w:t>
      </w:r>
      <w:r w:rsidRPr="00595D4C">
        <w:rPr>
          <w:u w:val="single"/>
        </w:rPr>
        <w:t xml:space="preserve"> is approximate and may be reasonably met with a 50-60 minute </w:t>
      </w:r>
      <w:r>
        <w:rPr>
          <w:u w:val="single"/>
        </w:rPr>
        <w:t xml:space="preserve">time </w:t>
      </w:r>
      <w:r w:rsidRPr="00595D4C">
        <w:rPr>
          <w:u w:val="single"/>
        </w:rPr>
        <w:t>period.</w:t>
      </w:r>
    </w:p>
    <w:p w:rsidR="008F32B0" w:rsidRPr="00595D4C" w:rsidRDefault="008F32B0" w:rsidP="008F32B0">
      <w:pPr>
        <w:rPr>
          <w:u w:val="single"/>
        </w:rPr>
      </w:pPr>
      <w:r w:rsidRPr="00595D4C">
        <w:rPr>
          <w:u w:val="single"/>
        </w:rPr>
        <w:t xml:space="preserve">This definition is not intended to require a minimum amount of time in class, nor limit the scope or distribution over time of activities that may count toward the credit hour.  Moreover, it only specifies the minimum amount of time.  Departments and programs are free to apply higher workload requirements per credit hour. </w:t>
      </w:r>
      <w:r w:rsidRPr="00595D4C">
        <w:rPr>
          <w:u w:val="single"/>
        </w:rPr>
        <w:br/>
      </w:r>
    </w:p>
    <w:p w:rsidR="008F32B0" w:rsidRDefault="008F32B0" w:rsidP="008F32B0">
      <w:pPr>
        <w:pStyle w:val="Heading2"/>
      </w:pPr>
      <w:r>
        <w:t>Applications of the Definition</w:t>
      </w:r>
    </w:p>
    <w:p w:rsidR="008F32B0" w:rsidRDefault="008F32B0" w:rsidP="008F32B0">
      <w:r>
        <w:t xml:space="preserve">Credits awarded for short courses and workshops shall comply with ASCRC procedure </w:t>
      </w:r>
      <w:hyperlink r:id="rId14" w:history="1">
        <w:r w:rsidRPr="00A16E84">
          <w:rPr>
            <w:rStyle w:val="Hyperlink"/>
          </w:rPr>
          <w:t>201.40</w:t>
        </w:r>
      </w:hyperlink>
      <w:r>
        <w:t xml:space="preserve"> and BOR policy </w:t>
      </w:r>
      <w:hyperlink r:id="rId15" w:history="1">
        <w:r>
          <w:rPr>
            <w:rStyle w:val="Hyperlink"/>
          </w:rPr>
          <w:t>309.1</w:t>
        </w:r>
      </w:hyperlink>
      <w:r>
        <w:t>.</w:t>
      </w:r>
    </w:p>
    <w:p w:rsidR="008F32B0" w:rsidRPr="003627B3" w:rsidRDefault="008F32B0" w:rsidP="008F32B0">
      <w:pPr>
        <w:rPr>
          <w:u w:val="single"/>
        </w:rPr>
      </w:pPr>
      <w:r w:rsidRPr="003627B3">
        <w:rPr>
          <w:u w:val="single"/>
        </w:rPr>
        <w:t xml:space="preserve">Laboratory work, </w:t>
      </w:r>
      <w:proofErr w:type="spellStart"/>
      <w:r w:rsidRPr="003627B3">
        <w:rPr>
          <w:u w:val="single"/>
        </w:rPr>
        <w:t>practica</w:t>
      </w:r>
      <w:proofErr w:type="spellEnd"/>
      <w:r w:rsidRPr="003627B3">
        <w:rPr>
          <w:u w:val="single"/>
        </w:rPr>
        <w:t>, studio work, and similar activities may be awarded 1 credit per at least 3 hours of organized or independent academic activity per week for 15 weeks.  Departments may establish a higher minimum time requirement per academic credit hour earned.</w:t>
      </w:r>
    </w:p>
    <w:p w:rsidR="008F32B0" w:rsidRPr="003627B3" w:rsidRDefault="008F32B0" w:rsidP="008F32B0">
      <w:pPr>
        <w:rPr>
          <w:u w:val="single"/>
        </w:rPr>
      </w:pPr>
      <w:r w:rsidRPr="003627B3">
        <w:rPr>
          <w:u w:val="single"/>
        </w:rPr>
        <w:t xml:space="preserve">One hour of academic credit for internships in courses numbered 198, 298, 398 and 498 may be earned for the equivalent of </w:t>
      </w:r>
      <w:r w:rsidRPr="003627B3">
        <w:rPr>
          <w:rFonts w:eastAsia="Times New Roman"/>
          <w:u w:val="single"/>
        </w:rPr>
        <w:t xml:space="preserve">not less than 45 hours of work in a 15 week semester upon demonstration of student achievement consistent with </w:t>
      </w:r>
      <w:r>
        <w:rPr>
          <w:rFonts w:eastAsia="Times New Roman"/>
          <w:u w:val="single"/>
        </w:rPr>
        <w:t>institution</w:t>
      </w:r>
      <w:r w:rsidRPr="003627B3">
        <w:rPr>
          <w:rFonts w:eastAsia="Times New Roman"/>
          <w:u w:val="single"/>
        </w:rPr>
        <w:t xml:space="preserve"> or program learning goals</w:t>
      </w:r>
      <w:r>
        <w:rPr>
          <w:rFonts w:eastAsia="Times New Roman"/>
          <w:u w:val="single"/>
        </w:rPr>
        <w:t xml:space="preserve"> (see ASCRC procedure </w:t>
      </w:r>
      <w:hyperlink r:id="rId16" w:history="1">
        <w:r w:rsidRPr="00A16E84">
          <w:rPr>
            <w:rStyle w:val="Hyperlink"/>
            <w:rFonts w:eastAsia="Times New Roman"/>
          </w:rPr>
          <w:t>203.60</w:t>
        </w:r>
      </w:hyperlink>
      <w:r>
        <w:rPr>
          <w:rFonts w:eastAsia="Times New Roman"/>
          <w:u w:val="single"/>
        </w:rPr>
        <w:t>)</w:t>
      </w:r>
      <w:r w:rsidRPr="003627B3">
        <w:rPr>
          <w:rFonts w:eastAsia="Times New Roman"/>
          <w:u w:val="single"/>
        </w:rPr>
        <w:t xml:space="preserve">.   </w:t>
      </w:r>
      <w:r w:rsidRPr="003627B3">
        <w:rPr>
          <w:u w:val="single"/>
        </w:rPr>
        <w:t>Departments may establish a higher minimum time requirement per academic credit hour earned.  The amount of internship credit which may be counted toward the minimum credit requirements for the bachelor (B.A</w:t>
      </w:r>
      <w:proofErr w:type="gramStart"/>
      <w:r w:rsidRPr="003627B3">
        <w:rPr>
          <w:u w:val="single"/>
        </w:rPr>
        <w:t>./</w:t>
      </w:r>
      <w:proofErr w:type="gramEnd"/>
      <w:r w:rsidRPr="003627B3">
        <w:rPr>
          <w:u w:val="single"/>
        </w:rPr>
        <w:t>B.S.), associate of science (A.S.), and associate of arts (A.A.) degrees is limited to 6 credit hours.</w:t>
      </w:r>
      <w:r>
        <w:t xml:space="preserve"> </w:t>
      </w:r>
      <w:r w:rsidRPr="003627B3">
        <w:rPr>
          <w:u w:val="single"/>
        </w:rPr>
        <w:t>Credits attempted in these areas which are beyond the maximum applicable will remain on the students' permanent record but cannot be used toward graduation.</w:t>
      </w:r>
    </w:p>
    <w:p w:rsidR="008F32B0" w:rsidRPr="003627B3" w:rsidRDefault="008F32B0" w:rsidP="008F32B0">
      <w:pPr>
        <w:rPr>
          <w:u w:val="single"/>
        </w:rPr>
      </w:pPr>
      <w:r w:rsidRPr="003627B3">
        <w:rPr>
          <w:u w:val="single"/>
        </w:rPr>
        <w:t xml:space="preserve">Activities may include a variety of items, but they should develop or apply student abilities consistent with the </w:t>
      </w:r>
      <w:proofErr w:type="gramStart"/>
      <w:r w:rsidRPr="003627B3">
        <w:rPr>
          <w:u w:val="single"/>
        </w:rPr>
        <w:t>institution’s</w:t>
      </w:r>
      <w:proofErr w:type="gramEnd"/>
      <w:r w:rsidRPr="003627B3">
        <w:rPr>
          <w:u w:val="single"/>
        </w:rPr>
        <w:t xml:space="preserve"> or program’s learning objectives.</w:t>
      </w:r>
    </w:p>
    <w:p w:rsidR="008F32B0" w:rsidRDefault="008F32B0" w:rsidP="008F32B0">
      <w:pPr>
        <w:keepNext/>
        <w:keepLines/>
      </w:pPr>
    </w:p>
    <w:p w:rsidR="008F32B0" w:rsidRDefault="008F32B0" w:rsidP="008F32B0">
      <w:pPr>
        <w:pStyle w:val="Heading2"/>
      </w:pPr>
      <w:r>
        <w:t>Evaluation of Compliance</w:t>
      </w:r>
    </w:p>
    <w:p w:rsidR="008F32B0" w:rsidRDefault="008F32B0" w:rsidP="008F32B0">
      <w:r>
        <w:t xml:space="preserve">Compliance with the federal credit-hour policy is evaluated when a course is proposed, when a course is changed, and as part of regular </w:t>
      </w:r>
      <w:hyperlink r:id="rId17" w:history="1">
        <w:r>
          <w:rPr>
            <w:rStyle w:val="Hyperlink"/>
          </w:rPr>
          <w:t>program review</w:t>
        </w:r>
      </w:hyperlink>
      <w:r>
        <w:t>.</w:t>
      </w:r>
    </w:p>
    <w:sectPr w:rsidR="008F32B0" w:rsidSect="009E4B0D">
      <w:footerReference w:type="default" r:id="rId18"/>
      <w:pgSz w:w="12240" w:h="15840"/>
      <w:pgMar w:top="1440" w:right="24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87" w:rsidRDefault="009B0787" w:rsidP="00775EC7">
      <w:pPr>
        <w:spacing w:after="0" w:line="240" w:lineRule="auto"/>
      </w:pPr>
      <w:r>
        <w:separator/>
      </w:r>
    </w:p>
  </w:endnote>
  <w:endnote w:type="continuationSeparator" w:id="0">
    <w:p w:rsidR="009B0787" w:rsidRDefault="009B0787" w:rsidP="007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37090"/>
      <w:docPartObj>
        <w:docPartGallery w:val="Page Numbers (Bottom of Page)"/>
        <w:docPartUnique/>
      </w:docPartObj>
    </w:sdtPr>
    <w:sdtEndPr>
      <w:rPr>
        <w:noProof/>
      </w:rPr>
    </w:sdtEndPr>
    <w:sdtContent>
      <w:p w:rsidR="00FB40F4" w:rsidRDefault="00FB40F4">
        <w:pPr>
          <w:pStyle w:val="Footer"/>
          <w:jc w:val="center"/>
        </w:pPr>
        <w:r>
          <w:fldChar w:fldCharType="begin"/>
        </w:r>
        <w:r>
          <w:instrText xml:space="preserve"> PAGE   \* MERGEFORMAT </w:instrText>
        </w:r>
        <w:r>
          <w:fldChar w:fldCharType="separate"/>
        </w:r>
        <w:r w:rsidR="00F553AE">
          <w:rPr>
            <w:noProof/>
          </w:rPr>
          <w:t>3</w:t>
        </w:r>
        <w:r>
          <w:rPr>
            <w:noProof/>
          </w:rPr>
          <w:fldChar w:fldCharType="end"/>
        </w:r>
      </w:p>
    </w:sdtContent>
  </w:sdt>
  <w:p w:rsidR="00FB40F4" w:rsidRDefault="00FB4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87" w:rsidRDefault="009B0787" w:rsidP="00775EC7">
      <w:pPr>
        <w:spacing w:after="0" w:line="240" w:lineRule="auto"/>
      </w:pPr>
      <w:r>
        <w:separator/>
      </w:r>
    </w:p>
  </w:footnote>
  <w:footnote w:type="continuationSeparator" w:id="0">
    <w:p w:rsidR="009B0787" w:rsidRDefault="009B0787" w:rsidP="0077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A"/>
    <w:multiLevelType w:val="hybridMultilevel"/>
    <w:tmpl w:val="5B42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A2F38"/>
    <w:multiLevelType w:val="hybridMultilevel"/>
    <w:tmpl w:val="63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0AA7"/>
    <w:multiLevelType w:val="hybridMultilevel"/>
    <w:tmpl w:val="B9905B8C"/>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1A37534B"/>
    <w:multiLevelType w:val="hybridMultilevel"/>
    <w:tmpl w:val="5F3E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623471"/>
    <w:multiLevelType w:val="hybridMultilevel"/>
    <w:tmpl w:val="60B2F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BA64DA"/>
    <w:multiLevelType w:val="hybridMultilevel"/>
    <w:tmpl w:val="B4E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D1A13"/>
    <w:multiLevelType w:val="hybridMultilevel"/>
    <w:tmpl w:val="ED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5738D"/>
    <w:multiLevelType w:val="hybridMultilevel"/>
    <w:tmpl w:val="50E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B1547C"/>
    <w:multiLevelType w:val="hybridMultilevel"/>
    <w:tmpl w:val="C052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91618"/>
    <w:multiLevelType w:val="hybridMultilevel"/>
    <w:tmpl w:val="98101718"/>
    <w:lvl w:ilvl="0" w:tplc="49E410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3D347E"/>
    <w:multiLevelType w:val="hybridMultilevel"/>
    <w:tmpl w:val="0106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E23A1"/>
    <w:multiLevelType w:val="hybridMultilevel"/>
    <w:tmpl w:val="2C18E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A1304"/>
    <w:multiLevelType w:val="hybridMultilevel"/>
    <w:tmpl w:val="61B03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1337E8"/>
    <w:multiLevelType w:val="hybridMultilevel"/>
    <w:tmpl w:val="5BB4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5B1EB9"/>
    <w:multiLevelType w:val="hybridMultilevel"/>
    <w:tmpl w:val="A3F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50934"/>
    <w:multiLevelType w:val="hybridMultilevel"/>
    <w:tmpl w:val="3710B2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893E00"/>
    <w:multiLevelType w:val="hybridMultilevel"/>
    <w:tmpl w:val="5464D1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0A7724"/>
    <w:multiLevelType w:val="hybridMultilevel"/>
    <w:tmpl w:val="C4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73A4A"/>
    <w:multiLevelType w:val="hybridMultilevel"/>
    <w:tmpl w:val="2AA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7"/>
  </w:num>
  <w:num w:numId="5">
    <w:abstractNumId w:val="9"/>
  </w:num>
  <w:num w:numId="6">
    <w:abstractNumId w:val="0"/>
  </w:num>
  <w:num w:numId="7">
    <w:abstractNumId w:val="7"/>
  </w:num>
  <w:num w:numId="8">
    <w:abstractNumId w:val="18"/>
  </w:num>
  <w:num w:numId="9">
    <w:abstractNumId w:val="5"/>
  </w:num>
  <w:num w:numId="10">
    <w:abstractNumId w:val="16"/>
  </w:num>
  <w:num w:numId="11">
    <w:abstractNumId w:val="8"/>
  </w:num>
  <w:num w:numId="12">
    <w:abstractNumId w:val="10"/>
  </w:num>
  <w:num w:numId="13">
    <w:abstractNumId w:val="4"/>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6"/>
    <w:rsid w:val="000029D4"/>
    <w:rsid w:val="000042DD"/>
    <w:rsid w:val="0001006E"/>
    <w:rsid w:val="00010614"/>
    <w:rsid w:val="0001265F"/>
    <w:rsid w:val="00013529"/>
    <w:rsid w:val="00015D8E"/>
    <w:rsid w:val="00017FDD"/>
    <w:rsid w:val="00020F16"/>
    <w:rsid w:val="00024D7A"/>
    <w:rsid w:val="00026092"/>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76AE"/>
    <w:rsid w:val="00080869"/>
    <w:rsid w:val="00082349"/>
    <w:rsid w:val="00083BC6"/>
    <w:rsid w:val="00084A32"/>
    <w:rsid w:val="00084F5A"/>
    <w:rsid w:val="00086E81"/>
    <w:rsid w:val="0009207C"/>
    <w:rsid w:val="000930EE"/>
    <w:rsid w:val="00094216"/>
    <w:rsid w:val="00097D90"/>
    <w:rsid w:val="000A1363"/>
    <w:rsid w:val="000A3E89"/>
    <w:rsid w:val="000A686E"/>
    <w:rsid w:val="000B1EF0"/>
    <w:rsid w:val="000B7E48"/>
    <w:rsid w:val="000C32A2"/>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24FE"/>
    <w:rsid w:val="000F3B09"/>
    <w:rsid w:val="000F46C9"/>
    <w:rsid w:val="000F4739"/>
    <w:rsid w:val="000F5E70"/>
    <w:rsid w:val="000F65B5"/>
    <w:rsid w:val="00100B83"/>
    <w:rsid w:val="00101793"/>
    <w:rsid w:val="00101B64"/>
    <w:rsid w:val="00102436"/>
    <w:rsid w:val="00102C86"/>
    <w:rsid w:val="00104BD5"/>
    <w:rsid w:val="00105631"/>
    <w:rsid w:val="00105873"/>
    <w:rsid w:val="00106F13"/>
    <w:rsid w:val="00107C47"/>
    <w:rsid w:val="00111DEE"/>
    <w:rsid w:val="00115D45"/>
    <w:rsid w:val="00117BD0"/>
    <w:rsid w:val="001204B0"/>
    <w:rsid w:val="001222ED"/>
    <w:rsid w:val="00127D71"/>
    <w:rsid w:val="001319AA"/>
    <w:rsid w:val="00133313"/>
    <w:rsid w:val="0013479C"/>
    <w:rsid w:val="0013587B"/>
    <w:rsid w:val="00140A82"/>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5B6"/>
    <w:rsid w:val="001810DA"/>
    <w:rsid w:val="00186DD0"/>
    <w:rsid w:val="001904CF"/>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52E"/>
    <w:rsid w:val="001C0952"/>
    <w:rsid w:val="001C3032"/>
    <w:rsid w:val="001C3BB0"/>
    <w:rsid w:val="001C5B5C"/>
    <w:rsid w:val="001D668C"/>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19F1"/>
    <w:rsid w:val="002B32B2"/>
    <w:rsid w:val="002B7082"/>
    <w:rsid w:val="002C0371"/>
    <w:rsid w:val="002C0845"/>
    <w:rsid w:val="002C0A94"/>
    <w:rsid w:val="002C4CB1"/>
    <w:rsid w:val="002C4F75"/>
    <w:rsid w:val="002C5FA7"/>
    <w:rsid w:val="002C72BB"/>
    <w:rsid w:val="002D1A26"/>
    <w:rsid w:val="002D556F"/>
    <w:rsid w:val="002D6E09"/>
    <w:rsid w:val="002E184D"/>
    <w:rsid w:val="002F3462"/>
    <w:rsid w:val="002F3AFD"/>
    <w:rsid w:val="002F4650"/>
    <w:rsid w:val="002F7A2E"/>
    <w:rsid w:val="00300702"/>
    <w:rsid w:val="003021B6"/>
    <w:rsid w:val="0030462D"/>
    <w:rsid w:val="00306C82"/>
    <w:rsid w:val="00310810"/>
    <w:rsid w:val="00310C67"/>
    <w:rsid w:val="00314890"/>
    <w:rsid w:val="00317BD0"/>
    <w:rsid w:val="0032006B"/>
    <w:rsid w:val="00321D14"/>
    <w:rsid w:val="003227C5"/>
    <w:rsid w:val="00324693"/>
    <w:rsid w:val="00330226"/>
    <w:rsid w:val="0033091B"/>
    <w:rsid w:val="003312D5"/>
    <w:rsid w:val="003345DA"/>
    <w:rsid w:val="003355CB"/>
    <w:rsid w:val="00342209"/>
    <w:rsid w:val="003446E7"/>
    <w:rsid w:val="0034676A"/>
    <w:rsid w:val="0035100C"/>
    <w:rsid w:val="00352B2B"/>
    <w:rsid w:val="00353F2B"/>
    <w:rsid w:val="00355EEF"/>
    <w:rsid w:val="0035707B"/>
    <w:rsid w:val="00361E18"/>
    <w:rsid w:val="00361EF0"/>
    <w:rsid w:val="003647E2"/>
    <w:rsid w:val="00365527"/>
    <w:rsid w:val="003707EA"/>
    <w:rsid w:val="003719BA"/>
    <w:rsid w:val="003739F2"/>
    <w:rsid w:val="00373DC3"/>
    <w:rsid w:val="0038494D"/>
    <w:rsid w:val="00385C63"/>
    <w:rsid w:val="003900DD"/>
    <w:rsid w:val="003929A2"/>
    <w:rsid w:val="00393C53"/>
    <w:rsid w:val="00395721"/>
    <w:rsid w:val="00396398"/>
    <w:rsid w:val="00396CE5"/>
    <w:rsid w:val="003A0E24"/>
    <w:rsid w:val="003A2AA6"/>
    <w:rsid w:val="003A393C"/>
    <w:rsid w:val="003A4413"/>
    <w:rsid w:val="003A538C"/>
    <w:rsid w:val="003A5C51"/>
    <w:rsid w:val="003A5E77"/>
    <w:rsid w:val="003B1084"/>
    <w:rsid w:val="003B28E0"/>
    <w:rsid w:val="003B3061"/>
    <w:rsid w:val="003C568D"/>
    <w:rsid w:val="003D52B1"/>
    <w:rsid w:val="003E3CAD"/>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4F1"/>
    <w:rsid w:val="00424CE7"/>
    <w:rsid w:val="0043149A"/>
    <w:rsid w:val="00431E14"/>
    <w:rsid w:val="00433793"/>
    <w:rsid w:val="004346C6"/>
    <w:rsid w:val="00434EF5"/>
    <w:rsid w:val="004350AE"/>
    <w:rsid w:val="00435C6A"/>
    <w:rsid w:val="00443C57"/>
    <w:rsid w:val="004519C2"/>
    <w:rsid w:val="00454F47"/>
    <w:rsid w:val="00454FA9"/>
    <w:rsid w:val="0045527A"/>
    <w:rsid w:val="00460D6D"/>
    <w:rsid w:val="00460FBF"/>
    <w:rsid w:val="00463064"/>
    <w:rsid w:val="00465684"/>
    <w:rsid w:val="00465CA2"/>
    <w:rsid w:val="00466801"/>
    <w:rsid w:val="00466F52"/>
    <w:rsid w:val="00471CFD"/>
    <w:rsid w:val="00471DF8"/>
    <w:rsid w:val="00473C62"/>
    <w:rsid w:val="00476650"/>
    <w:rsid w:val="00476764"/>
    <w:rsid w:val="00483F4F"/>
    <w:rsid w:val="00486D69"/>
    <w:rsid w:val="00487FA0"/>
    <w:rsid w:val="004901AA"/>
    <w:rsid w:val="004904EC"/>
    <w:rsid w:val="00490691"/>
    <w:rsid w:val="004920F0"/>
    <w:rsid w:val="00493A78"/>
    <w:rsid w:val="004943CD"/>
    <w:rsid w:val="004963A0"/>
    <w:rsid w:val="00496708"/>
    <w:rsid w:val="004A0333"/>
    <w:rsid w:val="004A0672"/>
    <w:rsid w:val="004A0FF9"/>
    <w:rsid w:val="004A3A71"/>
    <w:rsid w:val="004A76F0"/>
    <w:rsid w:val="004B1722"/>
    <w:rsid w:val="004C02A7"/>
    <w:rsid w:val="004C267D"/>
    <w:rsid w:val="004C4BB9"/>
    <w:rsid w:val="004C78B9"/>
    <w:rsid w:val="004C7E1E"/>
    <w:rsid w:val="004D53BD"/>
    <w:rsid w:val="004D7262"/>
    <w:rsid w:val="004D7992"/>
    <w:rsid w:val="004E25EE"/>
    <w:rsid w:val="004E27C4"/>
    <w:rsid w:val="004F245E"/>
    <w:rsid w:val="004F3BC7"/>
    <w:rsid w:val="004F5165"/>
    <w:rsid w:val="004F6AF1"/>
    <w:rsid w:val="004F7FCC"/>
    <w:rsid w:val="0050032C"/>
    <w:rsid w:val="0050348E"/>
    <w:rsid w:val="00503516"/>
    <w:rsid w:val="00504734"/>
    <w:rsid w:val="00505E57"/>
    <w:rsid w:val="00505E62"/>
    <w:rsid w:val="00512B43"/>
    <w:rsid w:val="00514DAD"/>
    <w:rsid w:val="00516A0E"/>
    <w:rsid w:val="005215E3"/>
    <w:rsid w:val="0052180B"/>
    <w:rsid w:val="005227FD"/>
    <w:rsid w:val="005236B4"/>
    <w:rsid w:val="00524CF1"/>
    <w:rsid w:val="00526D41"/>
    <w:rsid w:val="005310C6"/>
    <w:rsid w:val="00532876"/>
    <w:rsid w:val="0053307C"/>
    <w:rsid w:val="005332E5"/>
    <w:rsid w:val="005343A9"/>
    <w:rsid w:val="005370FB"/>
    <w:rsid w:val="00542120"/>
    <w:rsid w:val="0055162C"/>
    <w:rsid w:val="00553905"/>
    <w:rsid w:val="0055482A"/>
    <w:rsid w:val="005556CC"/>
    <w:rsid w:val="00555870"/>
    <w:rsid w:val="00555902"/>
    <w:rsid w:val="00561BA5"/>
    <w:rsid w:val="00562B89"/>
    <w:rsid w:val="00562F03"/>
    <w:rsid w:val="00563BAA"/>
    <w:rsid w:val="00566CBF"/>
    <w:rsid w:val="00567266"/>
    <w:rsid w:val="00570704"/>
    <w:rsid w:val="00572CAB"/>
    <w:rsid w:val="00576678"/>
    <w:rsid w:val="005767D7"/>
    <w:rsid w:val="005854E7"/>
    <w:rsid w:val="00586E17"/>
    <w:rsid w:val="005877CE"/>
    <w:rsid w:val="00595D78"/>
    <w:rsid w:val="00597FF4"/>
    <w:rsid w:val="005A3DAA"/>
    <w:rsid w:val="005A6CD6"/>
    <w:rsid w:val="005B379E"/>
    <w:rsid w:val="005B51AA"/>
    <w:rsid w:val="005C3E52"/>
    <w:rsid w:val="005D40AC"/>
    <w:rsid w:val="005D4766"/>
    <w:rsid w:val="005D5D6D"/>
    <w:rsid w:val="005E398C"/>
    <w:rsid w:val="005E440F"/>
    <w:rsid w:val="005E7704"/>
    <w:rsid w:val="005E7BDE"/>
    <w:rsid w:val="005F3250"/>
    <w:rsid w:val="005F451F"/>
    <w:rsid w:val="005F5467"/>
    <w:rsid w:val="0060057C"/>
    <w:rsid w:val="00601716"/>
    <w:rsid w:val="00603C94"/>
    <w:rsid w:val="00604180"/>
    <w:rsid w:val="006116AD"/>
    <w:rsid w:val="00614194"/>
    <w:rsid w:val="00616963"/>
    <w:rsid w:val="006257A6"/>
    <w:rsid w:val="00630C50"/>
    <w:rsid w:val="006315EF"/>
    <w:rsid w:val="00631FDF"/>
    <w:rsid w:val="006333A7"/>
    <w:rsid w:val="006370E2"/>
    <w:rsid w:val="00642DC7"/>
    <w:rsid w:val="00644778"/>
    <w:rsid w:val="00646268"/>
    <w:rsid w:val="00653814"/>
    <w:rsid w:val="00654556"/>
    <w:rsid w:val="00655C21"/>
    <w:rsid w:val="00656BCF"/>
    <w:rsid w:val="0066154A"/>
    <w:rsid w:val="00662034"/>
    <w:rsid w:val="006646E4"/>
    <w:rsid w:val="0066528C"/>
    <w:rsid w:val="0066651B"/>
    <w:rsid w:val="006712D8"/>
    <w:rsid w:val="00673164"/>
    <w:rsid w:val="0067501E"/>
    <w:rsid w:val="00675DBA"/>
    <w:rsid w:val="00676585"/>
    <w:rsid w:val="00677ED5"/>
    <w:rsid w:val="00680C0D"/>
    <w:rsid w:val="006819A1"/>
    <w:rsid w:val="006859F7"/>
    <w:rsid w:val="00686E98"/>
    <w:rsid w:val="0069269C"/>
    <w:rsid w:val="006949D2"/>
    <w:rsid w:val="006950A2"/>
    <w:rsid w:val="006A1A9E"/>
    <w:rsid w:val="006A7400"/>
    <w:rsid w:val="006A79E4"/>
    <w:rsid w:val="006B42B0"/>
    <w:rsid w:val="006B4DB9"/>
    <w:rsid w:val="006C0774"/>
    <w:rsid w:val="006C1B9D"/>
    <w:rsid w:val="006C40CA"/>
    <w:rsid w:val="006D060B"/>
    <w:rsid w:val="006D07CE"/>
    <w:rsid w:val="006D124D"/>
    <w:rsid w:val="006D43DB"/>
    <w:rsid w:val="006D48DA"/>
    <w:rsid w:val="006D4B6C"/>
    <w:rsid w:val="006E0510"/>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00B"/>
    <w:rsid w:val="00736B23"/>
    <w:rsid w:val="00742E16"/>
    <w:rsid w:val="0074329D"/>
    <w:rsid w:val="007440F1"/>
    <w:rsid w:val="0074475D"/>
    <w:rsid w:val="007447EC"/>
    <w:rsid w:val="00744AAE"/>
    <w:rsid w:val="00750D54"/>
    <w:rsid w:val="00750E92"/>
    <w:rsid w:val="00753746"/>
    <w:rsid w:val="007569AA"/>
    <w:rsid w:val="00757CBD"/>
    <w:rsid w:val="00763A68"/>
    <w:rsid w:val="00763AC8"/>
    <w:rsid w:val="00767123"/>
    <w:rsid w:val="00770268"/>
    <w:rsid w:val="00770912"/>
    <w:rsid w:val="00773598"/>
    <w:rsid w:val="00775B1E"/>
    <w:rsid w:val="00775EC7"/>
    <w:rsid w:val="00777D8D"/>
    <w:rsid w:val="00780A45"/>
    <w:rsid w:val="00780E51"/>
    <w:rsid w:val="00785720"/>
    <w:rsid w:val="0079209A"/>
    <w:rsid w:val="00795DEC"/>
    <w:rsid w:val="00797008"/>
    <w:rsid w:val="00797505"/>
    <w:rsid w:val="007A11A1"/>
    <w:rsid w:val="007A23C6"/>
    <w:rsid w:val="007A4089"/>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3D53"/>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0CF"/>
    <w:rsid w:val="00861F90"/>
    <w:rsid w:val="00864538"/>
    <w:rsid w:val="00865003"/>
    <w:rsid w:val="00865966"/>
    <w:rsid w:val="008662E9"/>
    <w:rsid w:val="008737A9"/>
    <w:rsid w:val="0087668A"/>
    <w:rsid w:val="008823E4"/>
    <w:rsid w:val="00882F17"/>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5301"/>
    <w:rsid w:val="008C5AD1"/>
    <w:rsid w:val="008C65E2"/>
    <w:rsid w:val="008D437B"/>
    <w:rsid w:val="008D4AB7"/>
    <w:rsid w:val="008E1A96"/>
    <w:rsid w:val="008E647E"/>
    <w:rsid w:val="008E6594"/>
    <w:rsid w:val="008F01E3"/>
    <w:rsid w:val="008F2E32"/>
    <w:rsid w:val="008F32B0"/>
    <w:rsid w:val="008F6408"/>
    <w:rsid w:val="00910C2F"/>
    <w:rsid w:val="00912A76"/>
    <w:rsid w:val="00912BB6"/>
    <w:rsid w:val="00924AF9"/>
    <w:rsid w:val="0092539A"/>
    <w:rsid w:val="00930202"/>
    <w:rsid w:val="009437BD"/>
    <w:rsid w:val="00945419"/>
    <w:rsid w:val="00945870"/>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0787"/>
    <w:rsid w:val="009B0C35"/>
    <w:rsid w:val="009B1ED2"/>
    <w:rsid w:val="009B4C6E"/>
    <w:rsid w:val="009B5FE7"/>
    <w:rsid w:val="009C3C48"/>
    <w:rsid w:val="009C65B3"/>
    <w:rsid w:val="009D552D"/>
    <w:rsid w:val="009D7A25"/>
    <w:rsid w:val="009E0DEE"/>
    <w:rsid w:val="009E3FD5"/>
    <w:rsid w:val="009E403F"/>
    <w:rsid w:val="009E45D1"/>
    <w:rsid w:val="009E4B0D"/>
    <w:rsid w:val="009E4B8F"/>
    <w:rsid w:val="009E5126"/>
    <w:rsid w:val="009F119A"/>
    <w:rsid w:val="009F1602"/>
    <w:rsid w:val="009F3AF7"/>
    <w:rsid w:val="009F5107"/>
    <w:rsid w:val="009F57B3"/>
    <w:rsid w:val="00A02E9E"/>
    <w:rsid w:val="00A067DE"/>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FB1"/>
    <w:rsid w:val="00A41785"/>
    <w:rsid w:val="00A42069"/>
    <w:rsid w:val="00A4242C"/>
    <w:rsid w:val="00A435D0"/>
    <w:rsid w:val="00A43F4A"/>
    <w:rsid w:val="00A440E0"/>
    <w:rsid w:val="00A45DBB"/>
    <w:rsid w:val="00A4636C"/>
    <w:rsid w:val="00A509A1"/>
    <w:rsid w:val="00A51C4F"/>
    <w:rsid w:val="00A5472F"/>
    <w:rsid w:val="00A610C9"/>
    <w:rsid w:val="00A633CA"/>
    <w:rsid w:val="00A6365D"/>
    <w:rsid w:val="00A63702"/>
    <w:rsid w:val="00A6491E"/>
    <w:rsid w:val="00A667C8"/>
    <w:rsid w:val="00A67606"/>
    <w:rsid w:val="00A677D3"/>
    <w:rsid w:val="00A6785C"/>
    <w:rsid w:val="00A7006D"/>
    <w:rsid w:val="00A715CF"/>
    <w:rsid w:val="00A71D06"/>
    <w:rsid w:val="00A73C2F"/>
    <w:rsid w:val="00A750A4"/>
    <w:rsid w:val="00A826FA"/>
    <w:rsid w:val="00A82B41"/>
    <w:rsid w:val="00A84637"/>
    <w:rsid w:val="00A87307"/>
    <w:rsid w:val="00A92AD7"/>
    <w:rsid w:val="00A948D1"/>
    <w:rsid w:val="00A94CCB"/>
    <w:rsid w:val="00A9714F"/>
    <w:rsid w:val="00A97609"/>
    <w:rsid w:val="00AA0087"/>
    <w:rsid w:val="00AA2458"/>
    <w:rsid w:val="00AA3D1C"/>
    <w:rsid w:val="00AA4206"/>
    <w:rsid w:val="00AA4B4A"/>
    <w:rsid w:val="00AA50CD"/>
    <w:rsid w:val="00AB19B7"/>
    <w:rsid w:val="00AB3A48"/>
    <w:rsid w:val="00AB4160"/>
    <w:rsid w:val="00AB4570"/>
    <w:rsid w:val="00AC45A4"/>
    <w:rsid w:val="00AD1E98"/>
    <w:rsid w:val="00AD5921"/>
    <w:rsid w:val="00AD7D8B"/>
    <w:rsid w:val="00AE1E2C"/>
    <w:rsid w:val="00AE20FF"/>
    <w:rsid w:val="00AE328F"/>
    <w:rsid w:val="00AF0086"/>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04FD"/>
    <w:rsid w:val="00B428F7"/>
    <w:rsid w:val="00B429D8"/>
    <w:rsid w:val="00B44AF9"/>
    <w:rsid w:val="00B4675B"/>
    <w:rsid w:val="00B5311A"/>
    <w:rsid w:val="00B561CA"/>
    <w:rsid w:val="00B5620D"/>
    <w:rsid w:val="00B6014C"/>
    <w:rsid w:val="00B60D59"/>
    <w:rsid w:val="00B610C4"/>
    <w:rsid w:val="00B62888"/>
    <w:rsid w:val="00B656D4"/>
    <w:rsid w:val="00B66ED7"/>
    <w:rsid w:val="00B674A6"/>
    <w:rsid w:val="00B72282"/>
    <w:rsid w:val="00B7292A"/>
    <w:rsid w:val="00B73921"/>
    <w:rsid w:val="00B7444C"/>
    <w:rsid w:val="00B749A9"/>
    <w:rsid w:val="00B80D32"/>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417"/>
    <w:rsid w:val="00BC5546"/>
    <w:rsid w:val="00BC7E9E"/>
    <w:rsid w:val="00BD09EB"/>
    <w:rsid w:val="00BD0D47"/>
    <w:rsid w:val="00BD12B1"/>
    <w:rsid w:val="00BD7BA8"/>
    <w:rsid w:val="00BE1793"/>
    <w:rsid w:val="00BE39D4"/>
    <w:rsid w:val="00BE3E1D"/>
    <w:rsid w:val="00BE4627"/>
    <w:rsid w:val="00BE7EE2"/>
    <w:rsid w:val="00BF1A4F"/>
    <w:rsid w:val="00BF2C8B"/>
    <w:rsid w:val="00BF67DF"/>
    <w:rsid w:val="00BF6F8C"/>
    <w:rsid w:val="00BF7700"/>
    <w:rsid w:val="00C04C79"/>
    <w:rsid w:val="00C13542"/>
    <w:rsid w:val="00C1559D"/>
    <w:rsid w:val="00C179CA"/>
    <w:rsid w:val="00C20276"/>
    <w:rsid w:val="00C245C3"/>
    <w:rsid w:val="00C269DA"/>
    <w:rsid w:val="00C31BC2"/>
    <w:rsid w:val="00C3544D"/>
    <w:rsid w:val="00C35EF4"/>
    <w:rsid w:val="00C4000D"/>
    <w:rsid w:val="00C4063C"/>
    <w:rsid w:val="00C40AF0"/>
    <w:rsid w:val="00C432BD"/>
    <w:rsid w:val="00C47504"/>
    <w:rsid w:val="00C51867"/>
    <w:rsid w:val="00C51E94"/>
    <w:rsid w:val="00C5364D"/>
    <w:rsid w:val="00C54B20"/>
    <w:rsid w:val="00C56145"/>
    <w:rsid w:val="00C566D8"/>
    <w:rsid w:val="00C64A5A"/>
    <w:rsid w:val="00C65010"/>
    <w:rsid w:val="00C660C6"/>
    <w:rsid w:val="00C71D3F"/>
    <w:rsid w:val="00C7238A"/>
    <w:rsid w:val="00C72F55"/>
    <w:rsid w:val="00C75F50"/>
    <w:rsid w:val="00C76006"/>
    <w:rsid w:val="00C82AFE"/>
    <w:rsid w:val="00C8448C"/>
    <w:rsid w:val="00C85B23"/>
    <w:rsid w:val="00C86D3F"/>
    <w:rsid w:val="00C966F1"/>
    <w:rsid w:val="00C9697B"/>
    <w:rsid w:val="00CA212F"/>
    <w:rsid w:val="00CA3736"/>
    <w:rsid w:val="00CA7260"/>
    <w:rsid w:val="00CB2849"/>
    <w:rsid w:val="00CB373A"/>
    <w:rsid w:val="00CB3B4B"/>
    <w:rsid w:val="00CB4660"/>
    <w:rsid w:val="00CC0AF8"/>
    <w:rsid w:val="00CC2B00"/>
    <w:rsid w:val="00CC480F"/>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07FD9"/>
    <w:rsid w:val="00D104CC"/>
    <w:rsid w:val="00D118CC"/>
    <w:rsid w:val="00D118F9"/>
    <w:rsid w:val="00D12209"/>
    <w:rsid w:val="00D153B9"/>
    <w:rsid w:val="00D164AC"/>
    <w:rsid w:val="00D16817"/>
    <w:rsid w:val="00D16CFF"/>
    <w:rsid w:val="00D16FAA"/>
    <w:rsid w:val="00D17904"/>
    <w:rsid w:val="00D21345"/>
    <w:rsid w:val="00D24F04"/>
    <w:rsid w:val="00D25421"/>
    <w:rsid w:val="00D25E7E"/>
    <w:rsid w:val="00D30049"/>
    <w:rsid w:val="00D31C40"/>
    <w:rsid w:val="00D34842"/>
    <w:rsid w:val="00D34888"/>
    <w:rsid w:val="00D4092E"/>
    <w:rsid w:val="00D42489"/>
    <w:rsid w:val="00D426E7"/>
    <w:rsid w:val="00D42E5F"/>
    <w:rsid w:val="00D4333B"/>
    <w:rsid w:val="00D45C18"/>
    <w:rsid w:val="00D502CB"/>
    <w:rsid w:val="00D522DD"/>
    <w:rsid w:val="00D525DF"/>
    <w:rsid w:val="00D53769"/>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3BE6"/>
    <w:rsid w:val="00DB424C"/>
    <w:rsid w:val="00DB68A1"/>
    <w:rsid w:val="00DB6DB6"/>
    <w:rsid w:val="00DC536E"/>
    <w:rsid w:val="00DD11F7"/>
    <w:rsid w:val="00DD2433"/>
    <w:rsid w:val="00DD24CE"/>
    <w:rsid w:val="00DD6B7D"/>
    <w:rsid w:val="00DD6EBA"/>
    <w:rsid w:val="00DD72C9"/>
    <w:rsid w:val="00DD7F4E"/>
    <w:rsid w:val="00DE06AF"/>
    <w:rsid w:val="00DE09B9"/>
    <w:rsid w:val="00DE5C91"/>
    <w:rsid w:val="00DF0038"/>
    <w:rsid w:val="00DF0199"/>
    <w:rsid w:val="00DF0369"/>
    <w:rsid w:val="00DF4411"/>
    <w:rsid w:val="00DF5929"/>
    <w:rsid w:val="00DF7889"/>
    <w:rsid w:val="00E00FAC"/>
    <w:rsid w:val="00E046CF"/>
    <w:rsid w:val="00E06D7F"/>
    <w:rsid w:val="00E06E02"/>
    <w:rsid w:val="00E153F6"/>
    <w:rsid w:val="00E17715"/>
    <w:rsid w:val="00E21D2A"/>
    <w:rsid w:val="00E228E9"/>
    <w:rsid w:val="00E23B31"/>
    <w:rsid w:val="00E23E3B"/>
    <w:rsid w:val="00E24EFA"/>
    <w:rsid w:val="00E25CC8"/>
    <w:rsid w:val="00E26670"/>
    <w:rsid w:val="00E301BB"/>
    <w:rsid w:val="00E31B47"/>
    <w:rsid w:val="00E32A6F"/>
    <w:rsid w:val="00E332C4"/>
    <w:rsid w:val="00E33A80"/>
    <w:rsid w:val="00E347D5"/>
    <w:rsid w:val="00E35325"/>
    <w:rsid w:val="00E366ED"/>
    <w:rsid w:val="00E36D61"/>
    <w:rsid w:val="00E42638"/>
    <w:rsid w:val="00E44DFB"/>
    <w:rsid w:val="00E44E53"/>
    <w:rsid w:val="00E50FEE"/>
    <w:rsid w:val="00E54FFE"/>
    <w:rsid w:val="00E61E67"/>
    <w:rsid w:val="00E629B4"/>
    <w:rsid w:val="00E62CED"/>
    <w:rsid w:val="00E665C8"/>
    <w:rsid w:val="00E67960"/>
    <w:rsid w:val="00E8070A"/>
    <w:rsid w:val="00E82DBE"/>
    <w:rsid w:val="00E83501"/>
    <w:rsid w:val="00E84519"/>
    <w:rsid w:val="00E8567B"/>
    <w:rsid w:val="00E90405"/>
    <w:rsid w:val="00E90CDB"/>
    <w:rsid w:val="00E92D3D"/>
    <w:rsid w:val="00E95203"/>
    <w:rsid w:val="00E968D5"/>
    <w:rsid w:val="00EB0915"/>
    <w:rsid w:val="00EB0BD9"/>
    <w:rsid w:val="00EB1579"/>
    <w:rsid w:val="00EB1A91"/>
    <w:rsid w:val="00EB1E1D"/>
    <w:rsid w:val="00EB3705"/>
    <w:rsid w:val="00EC06C8"/>
    <w:rsid w:val="00EC0FA1"/>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25279"/>
    <w:rsid w:val="00F3098A"/>
    <w:rsid w:val="00F311CA"/>
    <w:rsid w:val="00F32FB6"/>
    <w:rsid w:val="00F34EE9"/>
    <w:rsid w:val="00F4199F"/>
    <w:rsid w:val="00F42854"/>
    <w:rsid w:val="00F4447A"/>
    <w:rsid w:val="00F47EDE"/>
    <w:rsid w:val="00F539BB"/>
    <w:rsid w:val="00F5435E"/>
    <w:rsid w:val="00F5517B"/>
    <w:rsid w:val="00F553AE"/>
    <w:rsid w:val="00F56D1F"/>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B12F2"/>
    <w:rsid w:val="00FB34C5"/>
    <w:rsid w:val="00FB40F4"/>
    <w:rsid w:val="00FC205F"/>
    <w:rsid w:val="00FC6193"/>
    <w:rsid w:val="00FD02D0"/>
    <w:rsid w:val="00FD10F8"/>
    <w:rsid w:val="00FD1706"/>
    <w:rsid w:val="00FD2938"/>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 w:type="table" w:styleId="TableGrid">
    <w:name w:val="Table Grid"/>
    <w:basedOn w:val="TableNormal"/>
    <w:uiPriority w:val="59"/>
    <w:rsid w:val="0086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9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7B"/>
    <w:rPr>
      <w:rFonts w:ascii="Calibri" w:hAnsi="Calibri"/>
      <w:szCs w:val="21"/>
    </w:rPr>
  </w:style>
  <w:style w:type="character" w:customStyle="1" w:styleId="Heading4Char">
    <w:name w:val="Heading 4 Char"/>
    <w:basedOn w:val="DefaultParagraphFont"/>
    <w:link w:val="Heading4"/>
    <w:uiPriority w:val="9"/>
    <w:rsid w:val="00561B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5"/>
  </w:style>
  <w:style w:type="paragraph" w:styleId="Footer">
    <w:name w:val="footer"/>
    <w:basedOn w:val="Normal"/>
    <w:link w:val="FooterChar"/>
    <w:uiPriority w:val="99"/>
    <w:unhideWhenUsed/>
    <w:rsid w:val="0067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5"/>
  </w:style>
  <w:style w:type="paragraph" w:styleId="NoSpacing">
    <w:name w:val="No Spacing"/>
    <w:uiPriority w:val="1"/>
    <w:qFormat/>
    <w:rsid w:val="00473C62"/>
    <w:pPr>
      <w:spacing w:after="0" w:line="240" w:lineRule="auto"/>
    </w:pPr>
    <w:rPr>
      <w:rFonts w:eastAsiaTheme="minorEastAsia"/>
      <w:lang w:eastAsia="zh-CN"/>
    </w:rPr>
  </w:style>
  <w:style w:type="table" w:styleId="TableGrid">
    <w:name w:val="Table Grid"/>
    <w:basedOn w:val="TableNormal"/>
    <w:uiPriority w:val="59"/>
    <w:rsid w:val="0086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96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7B"/>
    <w:rPr>
      <w:rFonts w:ascii="Calibri" w:hAnsi="Calibri"/>
      <w:szCs w:val="21"/>
    </w:rPr>
  </w:style>
  <w:style w:type="character" w:customStyle="1" w:styleId="Heading4Char">
    <w:name w:val="Heading 4 Char"/>
    <w:basedOn w:val="DefaultParagraphFont"/>
    <w:link w:val="Heading4"/>
    <w:uiPriority w:val="9"/>
    <w:rsid w:val="00561B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3381">
      <w:bodyDiv w:val="1"/>
      <w:marLeft w:val="0"/>
      <w:marRight w:val="0"/>
      <w:marTop w:val="0"/>
      <w:marBottom w:val="0"/>
      <w:divBdr>
        <w:top w:val="none" w:sz="0" w:space="0" w:color="auto"/>
        <w:left w:val="none" w:sz="0" w:space="0" w:color="auto"/>
        <w:bottom w:val="none" w:sz="0" w:space="0" w:color="auto"/>
        <w:right w:val="none" w:sz="0" w:space="0" w:color="auto"/>
      </w:divBdr>
    </w:div>
    <w:div w:id="623390938">
      <w:bodyDiv w:val="1"/>
      <w:marLeft w:val="0"/>
      <w:marRight w:val="0"/>
      <w:marTop w:val="0"/>
      <w:marBottom w:val="0"/>
      <w:divBdr>
        <w:top w:val="none" w:sz="0" w:space="0" w:color="auto"/>
        <w:left w:val="none" w:sz="0" w:space="0" w:color="auto"/>
        <w:bottom w:val="none" w:sz="0" w:space="0" w:color="auto"/>
        <w:right w:val="none" w:sz="0" w:space="0" w:color="auto"/>
      </w:divBdr>
    </w:div>
    <w:div w:id="816652166">
      <w:bodyDiv w:val="1"/>
      <w:marLeft w:val="0"/>
      <w:marRight w:val="0"/>
      <w:marTop w:val="0"/>
      <w:marBottom w:val="0"/>
      <w:divBdr>
        <w:top w:val="none" w:sz="0" w:space="0" w:color="auto"/>
        <w:left w:val="none" w:sz="0" w:space="0" w:color="auto"/>
        <w:bottom w:val="none" w:sz="0" w:space="0" w:color="auto"/>
        <w:right w:val="none" w:sz="0" w:space="0" w:color="auto"/>
      </w:divBdr>
    </w:div>
    <w:div w:id="1219588996">
      <w:bodyDiv w:val="1"/>
      <w:marLeft w:val="0"/>
      <w:marRight w:val="0"/>
      <w:marTop w:val="0"/>
      <w:marBottom w:val="0"/>
      <w:divBdr>
        <w:top w:val="none" w:sz="0" w:space="0" w:color="auto"/>
        <w:left w:val="none" w:sz="0" w:space="0" w:color="auto"/>
        <w:bottom w:val="none" w:sz="0" w:space="0" w:color="auto"/>
        <w:right w:val="none" w:sz="0" w:space="0" w:color="auto"/>
      </w:divBdr>
    </w:div>
    <w:div w:id="19246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996" TargetMode="External"/><Relationship Id="rId13" Type="http://schemas.openxmlformats.org/officeDocument/2006/relationships/hyperlink" Target="http://www.ecfr.gov/cgi-bin/text-idx?rgn=div8&amp;node=34:3.1.3.1.1.1.23.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mt.edu/provost/faculty/progreview/default.php" TargetMode="External"/><Relationship Id="rId2" Type="http://schemas.openxmlformats.org/officeDocument/2006/relationships/styles" Target="styles.xml"/><Relationship Id="rId16" Type="http://schemas.openxmlformats.org/officeDocument/2006/relationships/hyperlink" Target="http://www.umt.edu/facultysenate/procedures/ASCRC_200/203.60_Internship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mus.edu/borpol/bor300/309-1.pdf" TargetMode="External"/><Relationship Id="rId10" Type="http://schemas.openxmlformats.org/officeDocument/2006/relationships/hyperlink" Target="http://www.umt.edu/winapps/media2/facultysenate/committees/ASCRC/curriculumreview/GLI%20Cert/Level%201%20GLI_12.01.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winapps/adminfin/eCurr/CourseForm/Index/966" TargetMode="External"/><Relationship Id="rId14" Type="http://schemas.openxmlformats.org/officeDocument/2006/relationships/hyperlink" Target="http://www.umt.edu/facultysenate/procedures/ASCRC_200/201.40_CompressedCours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2015-12-04T20:16:00Z</cp:lastPrinted>
  <dcterms:created xsi:type="dcterms:W3CDTF">2015-12-09T04:44:00Z</dcterms:created>
  <dcterms:modified xsi:type="dcterms:W3CDTF">2015-12-09T04:44:00Z</dcterms:modified>
</cp:coreProperties>
</file>