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C46487">
        <w:rPr>
          <w:rStyle w:val="Heading1Char"/>
          <w:rFonts w:eastAsiaTheme="minorHAnsi"/>
        </w:rPr>
        <w:t>1</w:t>
      </w:r>
      <w:r w:rsidR="00FC25E9">
        <w:rPr>
          <w:rStyle w:val="Heading1Char"/>
          <w:rFonts w:eastAsiaTheme="minorHAnsi"/>
        </w:rPr>
        <w:t>1</w:t>
      </w:r>
      <w:r w:rsidR="00C46487">
        <w:rPr>
          <w:rStyle w:val="Heading1Char"/>
          <w:rFonts w:eastAsiaTheme="minorHAnsi"/>
        </w:rPr>
        <w:t>/</w:t>
      </w:r>
      <w:r w:rsidR="00FC25E9">
        <w:rPr>
          <w:rStyle w:val="Heading1Char"/>
          <w:rFonts w:eastAsiaTheme="minorHAnsi"/>
        </w:rPr>
        <w:t>1</w:t>
      </w:r>
      <w:r w:rsidR="0050051C">
        <w:rPr>
          <w:rStyle w:val="Heading1Char"/>
          <w:rFonts w:eastAsiaTheme="minorHAnsi"/>
        </w:rPr>
        <w:t>5</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936DE1">
        <w:rPr>
          <w:rFonts w:ascii="Arial" w:hAnsi="Arial" w:cs="Arial"/>
        </w:rPr>
        <w:t>Skaggs 174</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50051C" w:rsidRDefault="00503914" w:rsidP="00503914">
      <w:r>
        <w:t>Members Present:</w:t>
      </w:r>
      <w:r w:rsidR="00FC1AA9">
        <w:t xml:space="preserve"> </w:t>
      </w:r>
      <w:r w:rsidR="0050051C">
        <w:t xml:space="preserve">C. Chestnut, </w:t>
      </w:r>
      <w:r>
        <w:t xml:space="preserve">D. Coffin, J. Eglin, </w:t>
      </w:r>
      <w:r w:rsidR="0050051C">
        <w:t xml:space="preserve">C. Fitzpatrick </w:t>
      </w:r>
      <w:r w:rsidR="00A461FB">
        <w:t>C. Greenfield,</w:t>
      </w:r>
      <w:r w:rsidR="00FE129C">
        <w:t xml:space="preserve"> </w:t>
      </w:r>
      <w:r w:rsidR="00FC25E9">
        <w:t xml:space="preserve">I. Crummy, </w:t>
      </w:r>
      <w:r w:rsidR="00A461FB">
        <w:t>T. Missett</w:t>
      </w:r>
      <w:r w:rsidR="003A40A8">
        <w:t>,</w:t>
      </w:r>
      <w:r w:rsidR="00A461FB">
        <w:t xml:space="preserve"> </w:t>
      </w:r>
      <w:r w:rsidR="009F1EF2">
        <w:t xml:space="preserve">D. Morell, </w:t>
      </w:r>
      <w:r>
        <w:t>M. Semanoff,  G. St. George,</w:t>
      </w:r>
      <w:r w:rsidRPr="008D6282">
        <w:t xml:space="preserve"> </w:t>
      </w:r>
      <w:r>
        <w:t>E. Uchimoto</w:t>
      </w:r>
      <w:r>
        <w:br/>
        <w:t xml:space="preserve">Ex-Officio Present:  </w:t>
      </w:r>
      <w:r w:rsidR="00375625" w:rsidRPr="00375625">
        <w:t xml:space="preserve"> </w:t>
      </w:r>
      <w:r w:rsidR="0050051C">
        <w:t xml:space="preserve">B. French, </w:t>
      </w:r>
      <w:r w:rsidR="00FC25E9">
        <w:t xml:space="preserve">B. </w:t>
      </w:r>
      <w:r w:rsidR="00FC25E9" w:rsidRPr="009C7A48">
        <w:t>Holzworth</w:t>
      </w:r>
      <w:r w:rsidR="00FC25E9">
        <w:t xml:space="preserve">, </w:t>
      </w:r>
      <w:r w:rsidR="00375625">
        <w:t>N. Lindsay</w:t>
      </w:r>
    </w:p>
    <w:p w:rsidR="001B119C" w:rsidRDefault="00503914" w:rsidP="00503914">
      <w:r>
        <w:t xml:space="preserve">Members Excused: </w:t>
      </w:r>
      <w:r w:rsidR="003A40A8" w:rsidRPr="008D6282">
        <w:t>M. Boller</w:t>
      </w:r>
      <w:r w:rsidR="00F15179">
        <w:t>,</w:t>
      </w:r>
      <w:r w:rsidR="003A40A8" w:rsidRPr="009F1EF2">
        <w:t xml:space="preserve"> </w:t>
      </w:r>
      <w:r w:rsidR="0050051C">
        <w:t>J. Hickman,</w:t>
      </w:r>
      <w:r w:rsidR="00C46487" w:rsidRPr="00C46487">
        <w:t xml:space="preserve"> </w:t>
      </w:r>
      <w:r w:rsidR="0050051C">
        <w:t xml:space="preserve">B. Hillman, </w:t>
      </w:r>
      <w:r w:rsidR="003A40A8">
        <w:t>K. Lamar</w:t>
      </w:r>
      <w:r w:rsidR="0050051C">
        <w:t>,</w:t>
      </w:r>
      <w:r w:rsidR="0050051C" w:rsidRPr="008D6282">
        <w:t xml:space="preserve"> G.G. Weix</w:t>
      </w:r>
      <w:r w:rsidR="00D501CE">
        <w:br/>
      </w:r>
      <w:r w:rsidR="00623E4A">
        <w:t xml:space="preserve">Guest: </w:t>
      </w:r>
      <w:r w:rsidR="0014228A">
        <w:t>K</w:t>
      </w:r>
      <w:r w:rsidR="00623E4A">
        <w:t>rist</w:t>
      </w:r>
      <w:r w:rsidR="0014228A">
        <w:t>i</w:t>
      </w:r>
      <w:r w:rsidR="00623E4A">
        <w:t xml:space="preserve"> Murphy</w:t>
      </w:r>
      <w:r w:rsidR="0014228A">
        <w:t>, Licensure and Assessment Manager, Teacher Education Services</w:t>
      </w:r>
    </w:p>
    <w:p w:rsidR="00503914" w:rsidRDefault="00503914" w:rsidP="00503914">
      <w:r w:rsidRPr="002F0AD7">
        <w:t>The minutes from</w:t>
      </w:r>
      <w:r>
        <w:t xml:space="preserve"> </w:t>
      </w:r>
      <w:r w:rsidR="00A461FB">
        <w:t>1</w:t>
      </w:r>
      <w:r w:rsidR="0050051C">
        <w:t>1</w:t>
      </w:r>
      <w:r w:rsidR="009F1EF2">
        <w:t>/</w:t>
      </w:r>
      <w:r w:rsidR="003A40A8">
        <w:t>1</w:t>
      </w:r>
      <w:r w:rsidRPr="002F0AD7">
        <w:t>/16 were</w:t>
      </w:r>
      <w:r w:rsidR="001B119C">
        <w:t xml:space="preserve"> </w:t>
      </w:r>
      <w:r w:rsidRPr="002F0AD7">
        <w:t xml:space="preserve">approved. </w:t>
      </w:r>
    </w:p>
    <w:p w:rsidR="00747F3D" w:rsidRDefault="00747F3D" w:rsidP="000B1392">
      <w:pPr>
        <w:pStyle w:val="Heading2"/>
      </w:pPr>
      <w:r>
        <w:t xml:space="preserve">Communication: </w:t>
      </w:r>
      <w:r w:rsidR="000B1392">
        <w:br/>
      </w:r>
    </w:p>
    <w:p w:rsidR="00747F3D" w:rsidRPr="00747F3D" w:rsidRDefault="000B1392" w:rsidP="0050051C">
      <w:pPr>
        <w:pStyle w:val="ListParagraph"/>
        <w:numPr>
          <w:ilvl w:val="0"/>
          <w:numId w:val="27"/>
        </w:numPr>
      </w:pPr>
      <w:r>
        <w:t>Members were reminded that there will be a meeting next week</w:t>
      </w:r>
      <w:r w:rsidR="0050051C">
        <w:t>, even though it is Thanksgiving week.  Only two meetings remain to approve curriculum for the fall.   ECOS needs to approve the consent agenda on December 1</w:t>
      </w:r>
      <w:r w:rsidR="0050051C" w:rsidRPr="0050051C">
        <w:rPr>
          <w:vertAlign w:val="superscript"/>
        </w:rPr>
        <w:t>st</w:t>
      </w:r>
      <w:r w:rsidR="0050051C">
        <w:t xml:space="preserve"> for the Faculty Senate meeting.</w:t>
      </w:r>
    </w:p>
    <w:p w:rsidR="00260E8E" w:rsidRDefault="00BB37EF" w:rsidP="00BB37EF">
      <w:pPr>
        <w:pStyle w:val="Heading2"/>
      </w:pPr>
      <w:r>
        <w:t>Business Items</w:t>
      </w:r>
    </w:p>
    <w:p w:rsidR="00B87EBA" w:rsidRDefault="00B87EBA" w:rsidP="00B87EBA">
      <w:pPr>
        <w:pStyle w:val="ListParagraph"/>
        <w:ind w:left="360"/>
      </w:pPr>
    </w:p>
    <w:p w:rsidR="006971BA" w:rsidRDefault="006971BA" w:rsidP="006971BA">
      <w:pPr>
        <w:pStyle w:val="ListParagraph"/>
        <w:numPr>
          <w:ilvl w:val="0"/>
          <w:numId w:val="29"/>
        </w:numPr>
      </w:pPr>
      <w:r>
        <w:t xml:space="preserve">The follow-up items from the </w:t>
      </w:r>
      <w:r w:rsidR="0050051C">
        <w:t xml:space="preserve">education and Fine Arts Subcommittee were approved. </w:t>
      </w:r>
      <w:r w:rsidR="0014228A">
        <w:t xml:space="preserve"> Kristi Murphy spoke to the need to have different prerequisites on different sections of AERZ 302A.  She will send catalog language that makes the preference for elementary education majors. </w:t>
      </w:r>
    </w:p>
    <w:p w:rsidR="00703EF2" w:rsidRDefault="00703EF2" w:rsidP="006971BA">
      <w:pPr>
        <w:pStyle w:val="ListParagraph"/>
        <w:ind w:left="360"/>
      </w:pPr>
    </w:p>
    <w:tbl>
      <w:tblPr>
        <w:tblW w:w="8640" w:type="dxa"/>
        <w:tblInd w:w="55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50"/>
        <w:gridCol w:w="3510"/>
        <w:gridCol w:w="2880"/>
      </w:tblGrid>
      <w:tr w:rsidR="00703EF2" w:rsidRPr="00B2364F" w:rsidTr="00623E4A">
        <w:tc>
          <w:tcPr>
            <w:tcW w:w="8640" w:type="dxa"/>
            <w:gridSpan w:val="3"/>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703EF2" w:rsidRPr="00703EF2" w:rsidRDefault="00703EF2" w:rsidP="00703EF2">
            <w:pPr>
              <w:widowControl w:val="0"/>
              <w:autoSpaceDE w:val="0"/>
              <w:autoSpaceDN w:val="0"/>
              <w:adjustRightInd w:val="0"/>
              <w:jc w:val="center"/>
              <w:rPr>
                <w:rFonts w:ascii="Calibri" w:hAnsi="Calibri" w:cs="Calibri"/>
                <w:b/>
                <w:bCs/>
              </w:rPr>
            </w:pPr>
            <w:r>
              <w:rPr>
                <w:rFonts w:ascii="Calibri" w:hAnsi="Calibri" w:cs="Calibri"/>
                <w:b/>
                <w:bCs/>
              </w:rPr>
              <w:t>Art</w:t>
            </w:r>
          </w:p>
        </w:tc>
      </w:tr>
      <w:tr w:rsidR="00623E4A" w:rsidRPr="00B2364F" w:rsidTr="00623E4A">
        <w:tblPrEx>
          <w:tblBorders>
            <w:top w:val="none" w:sz="0" w:space="0" w:color="auto"/>
          </w:tblBorders>
        </w:tblPrEx>
        <w:trPr>
          <w:trHeight w:val="232"/>
        </w:trPr>
        <w:tc>
          <w:tcPr>
            <w:tcW w:w="225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623E4A">
            <w:pPr>
              <w:widowControl w:val="0"/>
              <w:autoSpaceDE w:val="0"/>
              <w:autoSpaceDN w:val="0"/>
              <w:adjustRightInd w:val="0"/>
              <w:rPr>
                <w:rFonts w:ascii="Calibri" w:hAnsi="Calibri" w:cs="Calibri"/>
              </w:rPr>
            </w:pPr>
            <w:r>
              <w:rPr>
                <w:rFonts w:ascii="Calibri" w:hAnsi="Calibri" w:cs="Calibri"/>
              </w:rPr>
              <w:t>ARTZ 302A</w:t>
            </w:r>
          </w:p>
        </w:tc>
        <w:tc>
          <w:tcPr>
            <w:tcW w:w="35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623E4A">
            <w:pPr>
              <w:widowControl w:val="0"/>
              <w:autoSpaceDE w:val="0"/>
              <w:autoSpaceDN w:val="0"/>
              <w:adjustRightInd w:val="0"/>
              <w:rPr>
                <w:rFonts w:ascii="Calibri" w:hAnsi="Calibri" w:cs="Calibri"/>
              </w:rPr>
            </w:pPr>
            <w:r>
              <w:rPr>
                <w:rFonts w:ascii="Calibri" w:hAnsi="Calibri" w:cs="Calibri"/>
              </w:rPr>
              <w:t>Elementary Arts</w:t>
            </w:r>
          </w:p>
        </w:tc>
        <w:tc>
          <w:tcPr>
            <w:tcW w:w="2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623E4A">
            <w:pPr>
              <w:widowControl w:val="0"/>
              <w:autoSpaceDE w:val="0"/>
              <w:autoSpaceDN w:val="0"/>
              <w:adjustRightInd w:val="0"/>
              <w:rPr>
                <w:rFonts w:ascii="Calibri" w:hAnsi="Calibri" w:cs="Calibri"/>
              </w:rPr>
            </w:pPr>
            <w:r>
              <w:rPr>
                <w:rFonts w:ascii="Calibri" w:hAnsi="Calibri" w:cs="Calibri"/>
              </w:rPr>
              <w:t xml:space="preserve">New </w:t>
            </w:r>
            <w:proofErr w:type="spellStart"/>
            <w:r>
              <w:rPr>
                <w:rFonts w:ascii="Calibri" w:hAnsi="Calibri" w:cs="Calibri"/>
              </w:rPr>
              <w:t>Prereqs</w:t>
            </w:r>
            <w:proofErr w:type="spellEnd"/>
          </w:p>
        </w:tc>
      </w:tr>
      <w:tr w:rsidR="00623E4A" w:rsidRPr="00B2364F" w:rsidTr="00623E4A">
        <w:tc>
          <w:tcPr>
            <w:tcW w:w="8640" w:type="dxa"/>
            <w:gridSpan w:val="3"/>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jc w:val="center"/>
              <w:rPr>
                <w:rFonts w:ascii="Calibri" w:hAnsi="Calibri" w:cs="Calibri"/>
              </w:rPr>
            </w:pPr>
            <w:r w:rsidRPr="00B2364F">
              <w:rPr>
                <w:rFonts w:ascii="Calibri" w:hAnsi="Calibri" w:cs="Calibri"/>
                <w:b/>
                <w:bCs/>
              </w:rPr>
              <w:t>Theatre &amp; Dance</w:t>
            </w:r>
          </w:p>
        </w:tc>
      </w:tr>
      <w:tr w:rsidR="00623E4A" w:rsidRPr="00B2364F" w:rsidTr="00623E4A">
        <w:tblPrEx>
          <w:tblBorders>
            <w:top w:val="none" w:sz="0" w:space="0" w:color="auto"/>
          </w:tblBorders>
        </w:tblPrEx>
        <w:trPr>
          <w:trHeight w:val="358"/>
        </w:trPr>
        <w:tc>
          <w:tcPr>
            <w:tcW w:w="225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457DCB" w:rsidP="00703EF2">
            <w:pPr>
              <w:widowControl w:val="0"/>
              <w:autoSpaceDE w:val="0"/>
              <w:autoSpaceDN w:val="0"/>
              <w:adjustRightInd w:val="0"/>
              <w:rPr>
                <w:rFonts w:ascii="Calibri" w:hAnsi="Calibri" w:cs="Calibri"/>
              </w:rPr>
            </w:pPr>
            <w:hyperlink r:id="rId5" w:history="1">
              <w:r w:rsidR="00623E4A" w:rsidRPr="00B2364F">
                <w:rPr>
                  <w:rFonts w:ascii="Calibri" w:hAnsi="Calibri" w:cs="Calibri"/>
                  <w:color w:val="0000FF"/>
                  <w:u w:val="single" w:color="0000FF"/>
                </w:rPr>
                <w:t>THTR 211 U</w:t>
              </w:r>
            </w:hyperlink>
          </w:p>
        </w:tc>
        <w:tc>
          <w:tcPr>
            <w:tcW w:w="35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sidRPr="00B2364F">
              <w:rPr>
                <w:rFonts w:ascii="Calibri" w:hAnsi="Calibri" w:cs="Calibri"/>
              </w:rPr>
              <w:t>Voice &amp; Speech II</w:t>
            </w:r>
          </w:p>
        </w:tc>
        <w:tc>
          <w:tcPr>
            <w:tcW w:w="2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sidRPr="00B2364F">
              <w:rPr>
                <w:rFonts w:ascii="Calibri" w:hAnsi="Calibri" w:cs="Calibri"/>
              </w:rPr>
              <w:t>Change description</w:t>
            </w:r>
          </w:p>
        </w:tc>
      </w:tr>
      <w:tr w:rsidR="00623E4A" w:rsidRPr="00B2364F" w:rsidTr="00623E4A">
        <w:tblPrEx>
          <w:tblBorders>
            <w:top w:val="none" w:sz="0" w:space="0" w:color="auto"/>
          </w:tblBorders>
        </w:tblPrEx>
        <w:trPr>
          <w:trHeight w:val="268"/>
        </w:trPr>
        <w:tc>
          <w:tcPr>
            <w:tcW w:w="225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457DCB" w:rsidP="00703EF2">
            <w:pPr>
              <w:widowControl w:val="0"/>
              <w:autoSpaceDE w:val="0"/>
              <w:autoSpaceDN w:val="0"/>
              <w:adjustRightInd w:val="0"/>
              <w:rPr>
                <w:rFonts w:ascii="Calibri" w:hAnsi="Calibri" w:cs="Calibri"/>
              </w:rPr>
            </w:pPr>
            <w:hyperlink r:id="rId6" w:history="1">
              <w:r w:rsidR="00623E4A" w:rsidRPr="00B2364F">
                <w:rPr>
                  <w:rFonts w:ascii="Calibri" w:hAnsi="Calibri" w:cs="Calibri"/>
                  <w:color w:val="0000FF"/>
                  <w:u w:val="single" w:color="0000FF"/>
                </w:rPr>
                <w:t>THTR 310 U</w:t>
              </w:r>
            </w:hyperlink>
          </w:p>
        </w:tc>
        <w:tc>
          <w:tcPr>
            <w:tcW w:w="35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sidRPr="00B2364F">
              <w:rPr>
                <w:rFonts w:ascii="Calibri" w:hAnsi="Calibri" w:cs="Calibri"/>
              </w:rPr>
              <w:t>Voice and Speech III</w:t>
            </w:r>
          </w:p>
        </w:tc>
        <w:tc>
          <w:tcPr>
            <w:tcW w:w="2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sidRPr="00B2364F">
              <w:rPr>
                <w:rFonts w:ascii="Calibri" w:hAnsi="Calibri" w:cs="Calibri"/>
              </w:rPr>
              <w:t xml:space="preserve">Change description, </w:t>
            </w:r>
            <w:proofErr w:type="spellStart"/>
            <w:r w:rsidRPr="00B2364F">
              <w:rPr>
                <w:rFonts w:ascii="Calibri" w:hAnsi="Calibri" w:cs="Calibri"/>
              </w:rPr>
              <w:t>prereqs</w:t>
            </w:r>
            <w:proofErr w:type="spellEnd"/>
          </w:p>
        </w:tc>
      </w:tr>
      <w:tr w:rsidR="00623E4A" w:rsidRPr="00B2364F" w:rsidTr="00623E4A">
        <w:tblPrEx>
          <w:tblBorders>
            <w:top w:val="none" w:sz="0" w:space="0" w:color="auto"/>
            <w:bottom w:val="single" w:sz="8" w:space="0" w:color="6D6D6D"/>
          </w:tblBorders>
        </w:tblPrEx>
        <w:trPr>
          <w:trHeight w:val="277"/>
        </w:trPr>
        <w:tc>
          <w:tcPr>
            <w:tcW w:w="225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457DCB" w:rsidP="00703EF2">
            <w:pPr>
              <w:widowControl w:val="0"/>
              <w:autoSpaceDE w:val="0"/>
              <w:autoSpaceDN w:val="0"/>
              <w:adjustRightInd w:val="0"/>
              <w:rPr>
                <w:rFonts w:ascii="Calibri" w:hAnsi="Calibri" w:cs="Calibri"/>
              </w:rPr>
            </w:pPr>
            <w:hyperlink r:id="rId7" w:history="1">
              <w:r w:rsidR="00623E4A" w:rsidRPr="00B2364F">
                <w:rPr>
                  <w:rFonts w:ascii="Calibri" w:hAnsi="Calibri" w:cs="Calibri"/>
                  <w:color w:val="0000FF"/>
                  <w:u w:val="single" w:color="0000FF"/>
                </w:rPr>
                <w:t>THTR 385 U</w:t>
              </w:r>
            </w:hyperlink>
          </w:p>
        </w:tc>
        <w:tc>
          <w:tcPr>
            <w:tcW w:w="35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sidRPr="00B2364F">
              <w:rPr>
                <w:rFonts w:ascii="Calibri" w:hAnsi="Calibri" w:cs="Calibri"/>
              </w:rPr>
              <w:t>Theatre for Social Justice</w:t>
            </w:r>
          </w:p>
        </w:tc>
        <w:tc>
          <w:tcPr>
            <w:tcW w:w="2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sidRPr="00B2364F">
              <w:rPr>
                <w:rFonts w:ascii="Calibri" w:hAnsi="Calibri" w:cs="Calibri"/>
              </w:rPr>
              <w:t>New course</w:t>
            </w:r>
          </w:p>
        </w:tc>
      </w:tr>
      <w:tr w:rsidR="00623E4A" w:rsidRPr="00B2364F" w:rsidTr="00623E4A">
        <w:tc>
          <w:tcPr>
            <w:tcW w:w="8640" w:type="dxa"/>
            <w:gridSpan w:val="3"/>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jc w:val="center"/>
              <w:rPr>
                <w:rFonts w:ascii="Calibri" w:hAnsi="Calibri" w:cs="Calibri"/>
              </w:rPr>
            </w:pPr>
            <w:r>
              <w:rPr>
                <w:rFonts w:ascii="Calibri" w:hAnsi="Calibri" w:cs="Calibri"/>
                <w:b/>
                <w:bCs/>
              </w:rPr>
              <w:t>Teaching &amp; Learning</w:t>
            </w:r>
          </w:p>
        </w:tc>
      </w:tr>
      <w:tr w:rsidR="00623E4A" w:rsidRPr="00B2364F" w:rsidTr="00623E4A">
        <w:tblPrEx>
          <w:tblBorders>
            <w:top w:val="none" w:sz="0" w:space="0" w:color="auto"/>
          </w:tblBorders>
        </w:tblPrEx>
        <w:trPr>
          <w:trHeight w:val="313"/>
        </w:trPr>
        <w:tc>
          <w:tcPr>
            <w:tcW w:w="225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Pr>
                <w:rFonts w:ascii="Calibri" w:hAnsi="Calibri" w:cs="Calibri"/>
              </w:rPr>
              <w:t>EDU 455</w:t>
            </w:r>
          </w:p>
        </w:tc>
        <w:tc>
          <w:tcPr>
            <w:tcW w:w="35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14228A" w:rsidP="00703EF2">
            <w:pPr>
              <w:widowControl w:val="0"/>
              <w:autoSpaceDE w:val="0"/>
              <w:autoSpaceDN w:val="0"/>
              <w:adjustRightInd w:val="0"/>
              <w:rPr>
                <w:rFonts w:ascii="Calibri" w:hAnsi="Calibri" w:cs="Calibri"/>
              </w:rPr>
            </w:pPr>
            <w:r>
              <w:rPr>
                <w:rFonts w:ascii="Calibri" w:hAnsi="Calibri" w:cs="Calibri"/>
              </w:rPr>
              <w:t>Teacher Professional Development Workshop</w:t>
            </w:r>
          </w:p>
        </w:tc>
        <w:tc>
          <w:tcPr>
            <w:tcW w:w="28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623E4A" w:rsidRPr="00B2364F" w:rsidRDefault="00623E4A" w:rsidP="00703EF2">
            <w:pPr>
              <w:widowControl w:val="0"/>
              <w:autoSpaceDE w:val="0"/>
              <w:autoSpaceDN w:val="0"/>
              <w:adjustRightInd w:val="0"/>
              <w:rPr>
                <w:rFonts w:ascii="Calibri" w:hAnsi="Calibri" w:cs="Calibri"/>
              </w:rPr>
            </w:pPr>
            <w:r>
              <w:rPr>
                <w:rFonts w:ascii="Calibri" w:hAnsi="Calibri" w:cs="Calibri"/>
              </w:rPr>
              <w:t>New Course</w:t>
            </w:r>
          </w:p>
        </w:tc>
      </w:tr>
    </w:tbl>
    <w:p w:rsidR="00703EF2" w:rsidRDefault="00703EF2" w:rsidP="006971BA">
      <w:pPr>
        <w:pStyle w:val="ListParagraph"/>
        <w:ind w:left="360"/>
      </w:pPr>
    </w:p>
    <w:p w:rsidR="006971BA" w:rsidRDefault="00623E4A" w:rsidP="00623E4A">
      <w:pPr>
        <w:pStyle w:val="ListParagraph"/>
        <w:numPr>
          <w:ilvl w:val="0"/>
          <w:numId w:val="29"/>
        </w:numPr>
      </w:pPr>
      <w:r>
        <w:t xml:space="preserve">The Science </w:t>
      </w:r>
      <w:r w:rsidR="0015302C">
        <w:t xml:space="preserve">and Math Subcommittee Consent agenda appended was approved. </w:t>
      </w:r>
    </w:p>
    <w:p w:rsidR="00560818" w:rsidRDefault="00560818" w:rsidP="00623E4A">
      <w:pPr>
        <w:pStyle w:val="ListParagraph"/>
        <w:numPr>
          <w:ilvl w:val="0"/>
          <w:numId w:val="29"/>
        </w:numPr>
      </w:pPr>
      <w:r>
        <w:t>The revised</w:t>
      </w:r>
      <w:r w:rsidR="00626FAE">
        <w:t xml:space="preserve"> Writing Course Exemption Appeal Guidelines appended were approved.  ECOS sent the policy back to committee to consider alternative language to transfer equivalency.   The procedure is to determine whether the transfer course had similar learning outcomes. </w:t>
      </w:r>
      <w:r w:rsidR="00626FAE">
        <w:br/>
      </w:r>
    </w:p>
    <w:p w:rsidR="00626FAE" w:rsidRDefault="00626FAE" w:rsidP="00623E4A">
      <w:pPr>
        <w:pStyle w:val="ListParagraph"/>
        <w:numPr>
          <w:ilvl w:val="0"/>
          <w:numId w:val="29"/>
        </w:numPr>
      </w:pPr>
      <w:r>
        <w:t xml:space="preserve">The Writing Committee approved four courses.  ASCRC approved the three listed below.  There was a question regarding the title of LIT 201, which did </w:t>
      </w:r>
      <w:r w:rsidR="0014228A">
        <w:t>not match the common course numbering title</w:t>
      </w:r>
      <w:r>
        <w:t>.</w:t>
      </w:r>
      <w:r w:rsidR="0014228A">
        <w:t xml:space="preserve">  [Camie sent a message to the department to clarify.  It turns out the form was withdrawn.]</w:t>
      </w:r>
      <w:r>
        <w:t xml:space="preserve"> </w:t>
      </w:r>
    </w:p>
    <w:p w:rsidR="0014228A" w:rsidRDefault="0014228A" w:rsidP="0014228A">
      <w:pPr>
        <w:pStyle w:val="Heading3"/>
        <w:ind w:firstLine="720"/>
      </w:pPr>
      <w:r>
        <w:t>Intermediate Writing Courses</w:t>
      </w:r>
    </w:p>
    <w:tbl>
      <w:tblPr>
        <w:tblW w:w="7920" w:type="dxa"/>
        <w:tblInd w:w="1278" w:type="dxa"/>
        <w:tblLook w:val="04A0" w:firstRow="1" w:lastRow="0" w:firstColumn="1" w:lastColumn="0" w:noHBand="0" w:noVBand="1"/>
      </w:tblPr>
      <w:tblGrid>
        <w:gridCol w:w="1350"/>
        <w:gridCol w:w="6570"/>
      </w:tblGrid>
      <w:tr w:rsidR="0014228A" w:rsidRPr="00E17EF2" w:rsidTr="0014228A">
        <w:trPr>
          <w:trHeight w:val="300"/>
        </w:trPr>
        <w:tc>
          <w:tcPr>
            <w:tcW w:w="1350" w:type="dxa"/>
            <w:shd w:val="clear" w:color="auto" w:fill="auto"/>
            <w:noWrap/>
            <w:vAlign w:val="bottom"/>
            <w:hideMark/>
          </w:tcPr>
          <w:p w:rsidR="0014228A" w:rsidRPr="00E17EF2" w:rsidRDefault="0014228A" w:rsidP="0014228A">
            <w:pPr>
              <w:spacing w:after="0" w:line="240" w:lineRule="auto"/>
              <w:rPr>
                <w:rFonts w:ascii="Calibri" w:eastAsia="Times New Roman" w:hAnsi="Calibri" w:cs="Times New Roman"/>
                <w:color w:val="000000"/>
              </w:rPr>
            </w:pPr>
            <w:r w:rsidRPr="00E17EF2">
              <w:rPr>
                <w:rFonts w:ascii="Calibri" w:eastAsia="Times New Roman" w:hAnsi="Calibri" w:cs="Times New Roman"/>
                <w:color w:val="000000"/>
              </w:rPr>
              <w:t>CSCI 104</w:t>
            </w:r>
          </w:p>
        </w:tc>
        <w:tc>
          <w:tcPr>
            <w:tcW w:w="6570" w:type="dxa"/>
            <w:shd w:val="clear" w:color="auto" w:fill="auto"/>
            <w:noWrap/>
            <w:vAlign w:val="bottom"/>
            <w:hideMark/>
          </w:tcPr>
          <w:p w:rsidR="0014228A" w:rsidRPr="00E17EF2" w:rsidRDefault="0014228A" w:rsidP="0014228A">
            <w:pPr>
              <w:spacing w:after="0" w:line="240" w:lineRule="auto"/>
              <w:rPr>
                <w:rFonts w:ascii="Calibri" w:eastAsia="Times New Roman" w:hAnsi="Calibri" w:cs="Times New Roman"/>
                <w:color w:val="000000"/>
              </w:rPr>
            </w:pPr>
            <w:r w:rsidRPr="00E17EF2">
              <w:rPr>
                <w:rFonts w:ascii="Calibri" w:eastAsia="Times New Roman" w:hAnsi="Calibri" w:cs="Times New Roman"/>
                <w:color w:val="000000"/>
              </w:rPr>
              <w:t>Interdisciplinary Computing:</w:t>
            </w:r>
            <w:r>
              <w:rPr>
                <w:rFonts w:ascii="Calibri" w:eastAsia="Times New Roman" w:hAnsi="Calibri" w:cs="Times New Roman"/>
                <w:color w:val="000000"/>
              </w:rPr>
              <w:t xml:space="preserve"> </w:t>
            </w:r>
            <w:r w:rsidRPr="00E17EF2">
              <w:rPr>
                <w:rFonts w:ascii="Calibri" w:eastAsia="Times New Roman" w:hAnsi="Calibri" w:cs="Times New Roman"/>
                <w:color w:val="000000"/>
              </w:rPr>
              <w:t>Practical Computational Problem Solving</w:t>
            </w:r>
          </w:p>
        </w:tc>
      </w:tr>
      <w:tr w:rsidR="0014228A" w:rsidRPr="00E17EF2" w:rsidTr="0014228A">
        <w:trPr>
          <w:trHeight w:val="300"/>
        </w:trPr>
        <w:tc>
          <w:tcPr>
            <w:tcW w:w="1350" w:type="dxa"/>
            <w:shd w:val="clear" w:color="auto" w:fill="auto"/>
            <w:noWrap/>
            <w:vAlign w:val="bottom"/>
          </w:tcPr>
          <w:p w:rsidR="0014228A" w:rsidRPr="00E17EF2" w:rsidRDefault="0014228A" w:rsidP="0014228A">
            <w:pPr>
              <w:spacing w:after="0" w:line="240" w:lineRule="auto"/>
              <w:rPr>
                <w:rFonts w:ascii="Calibri" w:eastAsia="Times New Roman" w:hAnsi="Calibri" w:cs="Times New Roman"/>
                <w:color w:val="000000"/>
              </w:rPr>
            </w:pPr>
          </w:p>
        </w:tc>
        <w:tc>
          <w:tcPr>
            <w:tcW w:w="6570" w:type="dxa"/>
            <w:shd w:val="clear" w:color="auto" w:fill="auto"/>
            <w:noWrap/>
            <w:vAlign w:val="bottom"/>
          </w:tcPr>
          <w:p w:rsidR="0014228A" w:rsidRPr="00E17EF2" w:rsidRDefault="0014228A" w:rsidP="0014228A">
            <w:pPr>
              <w:spacing w:after="0" w:line="240" w:lineRule="auto"/>
              <w:rPr>
                <w:rFonts w:ascii="Calibri" w:eastAsia="Times New Roman" w:hAnsi="Calibri" w:cs="Times New Roman"/>
                <w:color w:val="000000"/>
              </w:rPr>
            </w:pPr>
          </w:p>
        </w:tc>
      </w:tr>
    </w:tbl>
    <w:p w:rsidR="0014228A" w:rsidRDefault="0014228A" w:rsidP="0014228A">
      <w:pPr>
        <w:pStyle w:val="Heading3"/>
        <w:ind w:firstLine="720"/>
      </w:pPr>
      <w:r>
        <w:t>Advanced Writing Courses</w:t>
      </w:r>
    </w:p>
    <w:tbl>
      <w:tblPr>
        <w:tblW w:w="6480" w:type="dxa"/>
        <w:tblInd w:w="1368" w:type="dxa"/>
        <w:tblLook w:val="04A0" w:firstRow="1" w:lastRow="0" w:firstColumn="1" w:lastColumn="0" w:noHBand="0" w:noVBand="1"/>
      </w:tblPr>
      <w:tblGrid>
        <w:gridCol w:w="1350"/>
        <w:gridCol w:w="5130"/>
      </w:tblGrid>
      <w:tr w:rsidR="0014228A" w:rsidRPr="007C4C3F" w:rsidTr="0014228A">
        <w:trPr>
          <w:trHeight w:val="300"/>
        </w:trPr>
        <w:tc>
          <w:tcPr>
            <w:tcW w:w="1350" w:type="dxa"/>
            <w:tcBorders>
              <w:top w:val="nil"/>
              <w:left w:val="nil"/>
              <w:bottom w:val="nil"/>
              <w:right w:val="nil"/>
            </w:tcBorders>
            <w:shd w:val="clear" w:color="auto" w:fill="auto"/>
            <w:noWrap/>
            <w:vAlign w:val="bottom"/>
            <w:hideMark/>
          </w:tcPr>
          <w:p w:rsidR="0014228A" w:rsidRPr="007C4C3F" w:rsidRDefault="0014228A" w:rsidP="0014228A">
            <w:pPr>
              <w:spacing w:after="0" w:line="240" w:lineRule="auto"/>
              <w:rPr>
                <w:rFonts w:ascii="Calibri" w:eastAsia="Times New Roman" w:hAnsi="Calibri" w:cs="Times New Roman"/>
                <w:color w:val="000000"/>
              </w:rPr>
            </w:pPr>
            <w:r w:rsidRPr="007C4C3F">
              <w:rPr>
                <w:rFonts w:ascii="Calibri" w:eastAsia="Times New Roman" w:hAnsi="Calibri" w:cs="Times New Roman"/>
                <w:color w:val="000000"/>
              </w:rPr>
              <w:t>CLAS 399</w:t>
            </w:r>
          </w:p>
        </w:tc>
        <w:tc>
          <w:tcPr>
            <w:tcW w:w="5130" w:type="dxa"/>
            <w:tcBorders>
              <w:top w:val="nil"/>
              <w:left w:val="nil"/>
              <w:bottom w:val="nil"/>
              <w:right w:val="nil"/>
            </w:tcBorders>
            <w:shd w:val="clear" w:color="auto" w:fill="auto"/>
            <w:noWrap/>
            <w:vAlign w:val="bottom"/>
            <w:hideMark/>
          </w:tcPr>
          <w:p w:rsidR="0014228A" w:rsidRPr="007C4C3F" w:rsidRDefault="0014228A" w:rsidP="0014228A">
            <w:pPr>
              <w:spacing w:after="0" w:line="240" w:lineRule="auto"/>
              <w:rPr>
                <w:rFonts w:ascii="Calibri" w:eastAsia="Times New Roman" w:hAnsi="Calibri" w:cs="Times New Roman"/>
                <w:color w:val="000000"/>
              </w:rPr>
            </w:pPr>
            <w:r w:rsidRPr="007C4C3F">
              <w:rPr>
                <w:rFonts w:ascii="Calibri" w:eastAsia="Times New Roman" w:hAnsi="Calibri" w:cs="Times New Roman"/>
                <w:color w:val="000000"/>
              </w:rPr>
              <w:t xml:space="preserve">Classics </w:t>
            </w:r>
            <w:proofErr w:type="spellStart"/>
            <w:r w:rsidRPr="007C4C3F">
              <w:rPr>
                <w:rFonts w:ascii="Calibri" w:eastAsia="Times New Roman" w:hAnsi="Calibri" w:cs="Times New Roman"/>
                <w:color w:val="000000"/>
              </w:rPr>
              <w:t>Proseminar</w:t>
            </w:r>
            <w:proofErr w:type="spellEnd"/>
          </w:p>
        </w:tc>
      </w:tr>
      <w:tr w:rsidR="0014228A" w:rsidRPr="007C4C3F" w:rsidTr="0014228A">
        <w:trPr>
          <w:trHeight w:val="300"/>
        </w:trPr>
        <w:tc>
          <w:tcPr>
            <w:tcW w:w="1350" w:type="dxa"/>
            <w:tcBorders>
              <w:top w:val="nil"/>
              <w:left w:val="nil"/>
              <w:bottom w:val="nil"/>
              <w:right w:val="nil"/>
            </w:tcBorders>
            <w:shd w:val="clear" w:color="auto" w:fill="auto"/>
            <w:noWrap/>
            <w:vAlign w:val="bottom"/>
            <w:hideMark/>
          </w:tcPr>
          <w:p w:rsidR="0014228A" w:rsidRPr="007C4C3F" w:rsidRDefault="0014228A" w:rsidP="0014228A">
            <w:pPr>
              <w:spacing w:after="0" w:line="240" w:lineRule="auto"/>
              <w:rPr>
                <w:rFonts w:ascii="Calibri" w:eastAsia="Times New Roman" w:hAnsi="Calibri" w:cs="Times New Roman"/>
                <w:color w:val="000000"/>
              </w:rPr>
            </w:pPr>
            <w:r w:rsidRPr="007C4C3F">
              <w:rPr>
                <w:rFonts w:ascii="Calibri" w:eastAsia="Times New Roman" w:hAnsi="Calibri" w:cs="Times New Roman"/>
                <w:color w:val="000000"/>
              </w:rPr>
              <w:t>ECNS 481</w:t>
            </w:r>
          </w:p>
        </w:tc>
        <w:tc>
          <w:tcPr>
            <w:tcW w:w="5130" w:type="dxa"/>
            <w:tcBorders>
              <w:top w:val="nil"/>
              <w:left w:val="nil"/>
              <w:bottom w:val="nil"/>
              <w:right w:val="nil"/>
            </w:tcBorders>
            <w:shd w:val="clear" w:color="auto" w:fill="auto"/>
            <w:noWrap/>
            <w:vAlign w:val="bottom"/>
            <w:hideMark/>
          </w:tcPr>
          <w:p w:rsidR="0014228A" w:rsidRPr="007C4C3F" w:rsidRDefault="0014228A" w:rsidP="0014228A">
            <w:pPr>
              <w:spacing w:after="0" w:line="240" w:lineRule="auto"/>
              <w:rPr>
                <w:rFonts w:ascii="Calibri" w:eastAsia="Times New Roman" w:hAnsi="Calibri" w:cs="Times New Roman"/>
                <w:color w:val="000000"/>
              </w:rPr>
            </w:pPr>
            <w:r w:rsidRPr="007C4C3F">
              <w:rPr>
                <w:rFonts w:ascii="Calibri" w:eastAsia="Times New Roman" w:hAnsi="Calibri" w:cs="Times New Roman"/>
                <w:color w:val="000000"/>
              </w:rPr>
              <w:t>Communicating Economics</w:t>
            </w:r>
          </w:p>
        </w:tc>
      </w:tr>
    </w:tbl>
    <w:p w:rsidR="0014228A" w:rsidRDefault="0014228A" w:rsidP="0014228A"/>
    <w:p w:rsidR="00BE64F2" w:rsidRDefault="007D13B0">
      <w:r>
        <w:t xml:space="preserve">The meeting was adjourned at </w:t>
      </w:r>
      <w:r w:rsidR="0014228A">
        <w:t>2</w:t>
      </w:r>
      <w:r w:rsidR="00BE64F2">
        <w:t>:</w:t>
      </w:r>
      <w:r w:rsidR="0014228A">
        <w:t>55</w:t>
      </w:r>
      <w:r>
        <w:t xml:space="preserve"> p.m.</w:t>
      </w:r>
    </w:p>
    <w:p w:rsidR="0015302C" w:rsidRDefault="0015302C"/>
    <w:p w:rsidR="0015302C" w:rsidRDefault="0015302C" w:rsidP="0015302C">
      <w:pPr>
        <w:rPr>
          <w:b/>
          <w:sz w:val="36"/>
          <w:szCs w:val="36"/>
        </w:rPr>
      </w:pPr>
      <w:r w:rsidRPr="00560818">
        <w:rPr>
          <w:rStyle w:val="Heading2Char"/>
          <w:rFonts w:eastAsiaTheme="minorHAnsi"/>
        </w:rPr>
        <w:t xml:space="preserve">Science &amp; Math Subcommittee </w:t>
      </w:r>
      <w:r w:rsidR="00560818">
        <w:rPr>
          <w:rStyle w:val="Heading2Char"/>
          <w:rFonts w:eastAsiaTheme="minorHAnsi"/>
        </w:rPr>
        <w:t>Consent Agenda</w:t>
      </w:r>
      <w:r>
        <w:rPr>
          <w:b/>
          <w:sz w:val="36"/>
          <w:szCs w:val="36"/>
        </w:rPr>
        <w:t xml:space="preserve"> </w:t>
      </w:r>
    </w:p>
    <w:tbl>
      <w:tblPr>
        <w:tblW w:w="9100" w:type="dxa"/>
        <w:tblInd w:w="103" w:type="dxa"/>
        <w:tblLook w:val="04A0" w:firstRow="1" w:lastRow="0" w:firstColumn="1" w:lastColumn="0" w:noHBand="0" w:noVBand="1"/>
      </w:tblPr>
      <w:tblGrid>
        <w:gridCol w:w="2180"/>
        <w:gridCol w:w="2800"/>
        <w:gridCol w:w="4120"/>
      </w:tblGrid>
      <w:tr w:rsidR="0015302C" w:rsidTr="0015302C">
        <w:trPr>
          <w:trHeight w:val="300"/>
        </w:trPr>
        <w:tc>
          <w:tcPr>
            <w:tcW w:w="9100" w:type="dxa"/>
            <w:gridSpan w:val="3"/>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Chemistry</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8" w:history="1">
              <w:r w:rsidR="0015302C">
                <w:rPr>
                  <w:rStyle w:val="Hyperlink"/>
                  <w:rFonts w:ascii="Calibri" w:hAnsi="Calibri"/>
                </w:rPr>
                <w:t>CHMY 141N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College Chemistry I</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credits  (5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xml:space="preserve">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4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9" w:history="1">
              <w:r w:rsidR="0015302C">
                <w:rPr>
                  <w:rStyle w:val="Hyperlink"/>
                  <w:rFonts w:ascii="Calibri" w:hAnsi="Calibri"/>
                </w:rPr>
                <w:t>CHMY 142N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General Chemistry Lab I</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 (lab part of old CHMY 141N)</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0" w:history="1">
              <w:r w:rsidR="0015302C">
                <w:rPr>
                  <w:rStyle w:val="Hyperlink"/>
                  <w:rFonts w:ascii="Calibri" w:hAnsi="Calibri"/>
                </w:rPr>
                <w:t>CHMY 143N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College Chemistry II</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credits (5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xml:space="preserve">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4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1" w:history="1">
              <w:r w:rsidR="0015302C">
                <w:rPr>
                  <w:rStyle w:val="Hyperlink"/>
                  <w:rFonts w:ascii="Calibri" w:hAnsi="Calibri"/>
                </w:rPr>
                <w:t>CHMY 144N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General Chemistry Lab II</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 (lab part of old CHMY 143N)</w:t>
            </w:r>
          </w:p>
        </w:tc>
      </w:tr>
      <w:tr w:rsidR="0015302C" w:rsidTr="0015302C">
        <w:trPr>
          <w:trHeight w:val="495"/>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2" w:history="1">
              <w:r w:rsidR="0015302C">
                <w:rPr>
                  <w:rStyle w:val="Hyperlink"/>
                  <w:rFonts w:ascii="Calibri" w:hAnsi="Calibri"/>
                </w:rPr>
                <w:t>CHMY 302E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Ethics and Writing in Science</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 title</w:t>
            </w:r>
          </w:p>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(Old title: Chemistry Literature and Science Writing)</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3" w:history="1">
              <w:r w:rsidR="0015302C">
                <w:rPr>
                  <w:rStyle w:val="Hyperlink"/>
                  <w:rFonts w:ascii="Calibri" w:hAnsi="Calibri"/>
                </w:rPr>
                <w:t>CHMY 485 UG</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Laboratory Safety</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w:t>
            </w:r>
          </w:p>
        </w:tc>
      </w:tr>
      <w:tr w:rsidR="0015302C" w:rsidTr="0015302C">
        <w:trPr>
          <w:trHeight w:val="300"/>
        </w:trPr>
        <w:tc>
          <w:tcPr>
            <w:tcW w:w="2180" w:type="dxa"/>
            <w:noWrap/>
            <w:vAlign w:val="bottom"/>
            <w:hideMark/>
          </w:tcPr>
          <w:p w:rsidR="0015302C" w:rsidRDefault="0015302C">
            <w:pPr>
              <w:spacing w:after="0"/>
              <w:rPr>
                <w:rFonts w:cs="Times New Roman"/>
              </w:rPr>
            </w:pPr>
          </w:p>
        </w:tc>
        <w:tc>
          <w:tcPr>
            <w:tcW w:w="2800" w:type="dxa"/>
            <w:noWrap/>
            <w:vAlign w:val="bottom"/>
            <w:hideMark/>
          </w:tcPr>
          <w:p w:rsidR="0015302C" w:rsidRDefault="0015302C">
            <w:pPr>
              <w:spacing w:after="0"/>
              <w:rPr>
                <w:rFonts w:cs="Times New Roman"/>
              </w:rPr>
            </w:pPr>
          </w:p>
        </w:tc>
        <w:tc>
          <w:tcPr>
            <w:tcW w:w="4120" w:type="dxa"/>
            <w:noWrap/>
            <w:vAlign w:val="bottom"/>
            <w:hideMark/>
          </w:tcPr>
          <w:p w:rsidR="0015302C" w:rsidRDefault="0015302C">
            <w:pPr>
              <w:spacing w:after="0"/>
              <w:rPr>
                <w:rFonts w:cs="Times New Roman"/>
              </w:rPr>
            </w:pPr>
          </w:p>
        </w:tc>
      </w:tr>
      <w:tr w:rsidR="0015302C" w:rsidTr="0015302C">
        <w:trPr>
          <w:trHeight w:val="300"/>
        </w:trPr>
        <w:tc>
          <w:tcPr>
            <w:tcW w:w="9100" w:type="dxa"/>
            <w:gridSpan w:val="3"/>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Computer Science</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4" w:history="1">
              <w:r w:rsidR="0015302C">
                <w:rPr>
                  <w:rStyle w:val="Hyperlink"/>
                  <w:rFonts w:ascii="Calibri" w:hAnsi="Calibri"/>
                </w:rPr>
                <w:t>CSCI 104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Interdisciplinary Computing</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    Syllabus need be expanded</w:t>
            </w:r>
          </w:p>
        </w:tc>
      </w:tr>
      <w:tr w:rsidR="0015302C" w:rsidTr="0015302C">
        <w:trPr>
          <w:trHeight w:val="300"/>
        </w:trPr>
        <w:tc>
          <w:tcPr>
            <w:tcW w:w="9100" w:type="dxa"/>
            <w:gridSpan w:val="3"/>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Forest Management</w:t>
            </w:r>
          </w:p>
        </w:tc>
      </w:tr>
      <w:tr w:rsidR="0015302C" w:rsidTr="0015302C">
        <w:trPr>
          <w:trHeight w:val="6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5" w:history="1">
              <w:r w:rsidR="0015302C">
                <w:rPr>
                  <w:rStyle w:val="Hyperlink"/>
                  <w:rFonts w:ascii="Calibri" w:hAnsi="Calibri"/>
                </w:rPr>
                <w:t>FORS 230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Fire </w:t>
            </w:r>
            <w:proofErr w:type="spellStart"/>
            <w:r>
              <w:rPr>
                <w:rFonts w:ascii="Calibri" w:eastAsia="Times New Roman" w:hAnsi="Calibri" w:cs="Times New Roman"/>
                <w:color w:val="000000"/>
              </w:rPr>
              <w:t>Mgmt</w:t>
            </w:r>
            <w:proofErr w:type="spellEnd"/>
            <w:r>
              <w:rPr>
                <w:rFonts w:ascii="Calibri" w:eastAsia="Times New Roman" w:hAnsi="Calibri" w:cs="Times New Roman"/>
                <w:color w:val="000000"/>
              </w:rPr>
              <w:t xml:space="preserve"> &amp; Environ</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credits (2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xml:space="preserve">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3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description, learning outcome, title</w:t>
            </w:r>
          </w:p>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(Old title: Forest Fire Management)</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6" w:history="1">
              <w:r w:rsidR="0015302C">
                <w:rPr>
                  <w:rStyle w:val="Hyperlink"/>
                  <w:rFonts w:ascii="Calibri" w:hAnsi="Calibri"/>
                </w:rPr>
                <w:t>FORS 333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Fire Ecology</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description, </w:t>
            </w:r>
            <w:proofErr w:type="spellStart"/>
            <w:r>
              <w:rPr>
                <w:rFonts w:ascii="Calibri" w:eastAsia="Times New Roman" w:hAnsi="Calibri" w:cs="Times New Roman"/>
                <w:color w:val="000000"/>
              </w:rPr>
              <w:t>prereqs</w:t>
            </w:r>
            <w:proofErr w:type="spellEnd"/>
            <w:r>
              <w:rPr>
                <w:rFonts w:ascii="Calibri" w:eastAsia="Times New Roman" w:hAnsi="Calibri" w:cs="Times New Roman"/>
                <w:color w:val="000000"/>
              </w:rPr>
              <w:t>, title</w:t>
            </w:r>
          </w:p>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(Old title: Basic &amp; Applied Fire Ecology)</w:t>
            </w:r>
          </w:p>
        </w:tc>
      </w:tr>
      <w:tr w:rsidR="0015302C" w:rsidTr="0015302C">
        <w:trPr>
          <w:trHeight w:val="300"/>
        </w:trPr>
        <w:tc>
          <w:tcPr>
            <w:tcW w:w="2180" w:type="dxa"/>
            <w:noWrap/>
            <w:vAlign w:val="bottom"/>
            <w:hideMark/>
          </w:tcPr>
          <w:p w:rsidR="0015302C" w:rsidRDefault="0015302C">
            <w:pPr>
              <w:spacing w:after="0"/>
              <w:rPr>
                <w:rFonts w:cs="Times New Roman"/>
              </w:rPr>
            </w:pPr>
          </w:p>
        </w:tc>
        <w:tc>
          <w:tcPr>
            <w:tcW w:w="2800" w:type="dxa"/>
            <w:noWrap/>
            <w:vAlign w:val="bottom"/>
            <w:hideMark/>
          </w:tcPr>
          <w:p w:rsidR="0015302C" w:rsidRDefault="0015302C">
            <w:pPr>
              <w:spacing w:after="0"/>
              <w:rPr>
                <w:rFonts w:cs="Times New Roman"/>
              </w:rPr>
            </w:pPr>
          </w:p>
        </w:tc>
        <w:tc>
          <w:tcPr>
            <w:tcW w:w="4120" w:type="dxa"/>
            <w:noWrap/>
            <w:vAlign w:val="bottom"/>
            <w:hideMark/>
          </w:tcPr>
          <w:p w:rsidR="0015302C" w:rsidRDefault="0015302C">
            <w:pPr>
              <w:spacing w:after="0"/>
              <w:rPr>
                <w:rFonts w:cs="Times New Roman"/>
              </w:rPr>
            </w:pPr>
          </w:p>
        </w:tc>
      </w:tr>
      <w:tr w:rsidR="0015302C" w:rsidTr="0015302C">
        <w:trPr>
          <w:trHeight w:val="300"/>
        </w:trPr>
        <w:tc>
          <w:tcPr>
            <w:tcW w:w="9100" w:type="dxa"/>
            <w:gridSpan w:val="3"/>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Geosciences</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7" w:history="1">
              <w:r w:rsidR="0015302C">
                <w:rPr>
                  <w:rStyle w:val="Hyperlink"/>
                  <w:rFonts w:ascii="Calibri" w:hAnsi="Calibri"/>
                </w:rPr>
                <w:t>GEO 103N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Intr</w:t>
            </w:r>
            <w:proofErr w:type="spellEnd"/>
            <w:r>
              <w:rPr>
                <w:rFonts w:ascii="Calibri" w:eastAsia="Times New Roman" w:hAnsi="Calibri" w:cs="Times New Roman"/>
                <w:color w:val="000000"/>
              </w:rPr>
              <w:t xml:space="preserve"> Environmental Geology</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r>
      <w:tr w:rsidR="0015302C" w:rsidTr="0015302C">
        <w:trPr>
          <w:trHeight w:val="6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8" w:history="1">
              <w:r w:rsidR="0015302C">
                <w:rPr>
                  <w:rStyle w:val="Hyperlink"/>
                  <w:rFonts w:ascii="Calibri" w:hAnsi="Calibri"/>
                </w:rPr>
                <w:t>GEO 104N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Intr</w:t>
            </w:r>
            <w:proofErr w:type="spellEnd"/>
            <w:r>
              <w:rPr>
                <w:rFonts w:ascii="Calibri" w:eastAsia="Times New Roman" w:hAnsi="Calibri" w:cs="Times New Roman"/>
                <w:color w:val="000000"/>
              </w:rPr>
              <w:t xml:space="preserve"> Environmental Geology Lab</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r>
      <w:tr w:rsidR="0015302C" w:rsidTr="0015302C">
        <w:trPr>
          <w:trHeight w:val="6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19" w:history="1">
              <w:r w:rsidR="0015302C">
                <w:rPr>
                  <w:rStyle w:val="Hyperlink"/>
                  <w:rFonts w:ascii="Calibri" w:hAnsi="Calibri"/>
                </w:rPr>
                <w:t>GEO 318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Climate Dynamics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 learning outcome, title</w:t>
            </w:r>
          </w:p>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(Old title: Surface Processes)</w:t>
            </w:r>
          </w:p>
        </w:tc>
      </w:tr>
      <w:tr w:rsidR="0015302C" w:rsidTr="0015302C">
        <w:trPr>
          <w:trHeight w:val="300"/>
        </w:trPr>
        <w:tc>
          <w:tcPr>
            <w:tcW w:w="2180" w:type="dxa"/>
            <w:noWrap/>
            <w:vAlign w:val="bottom"/>
            <w:hideMark/>
          </w:tcPr>
          <w:p w:rsidR="0015302C" w:rsidRDefault="0015302C">
            <w:pPr>
              <w:spacing w:after="0"/>
              <w:rPr>
                <w:rFonts w:cs="Times New Roman"/>
              </w:rPr>
            </w:pPr>
          </w:p>
        </w:tc>
        <w:tc>
          <w:tcPr>
            <w:tcW w:w="2800" w:type="dxa"/>
            <w:noWrap/>
            <w:vAlign w:val="bottom"/>
            <w:hideMark/>
          </w:tcPr>
          <w:p w:rsidR="0015302C" w:rsidRDefault="0015302C">
            <w:pPr>
              <w:spacing w:after="0"/>
              <w:rPr>
                <w:rFonts w:cs="Times New Roman"/>
              </w:rPr>
            </w:pPr>
          </w:p>
        </w:tc>
        <w:tc>
          <w:tcPr>
            <w:tcW w:w="4120" w:type="dxa"/>
            <w:noWrap/>
            <w:vAlign w:val="bottom"/>
            <w:hideMark/>
          </w:tcPr>
          <w:p w:rsidR="0015302C" w:rsidRDefault="0015302C">
            <w:pPr>
              <w:spacing w:after="0"/>
              <w:rPr>
                <w:rFonts w:cs="Times New Roman"/>
              </w:rPr>
            </w:pPr>
          </w:p>
        </w:tc>
      </w:tr>
      <w:tr w:rsidR="0015302C" w:rsidTr="0015302C">
        <w:trPr>
          <w:trHeight w:val="300"/>
        </w:trPr>
        <w:tc>
          <w:tcPr>
            <w:tcW w:w="9100" w:type="dxa"/>
            <w:gridSpan w:val="3"/>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Mathematical Sciences</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0" w:history="1">
              <w:r w:rsidR="0015302C">
                <w:rPr>
                  <w:rStyle w:val="Hyperlink"/>
                  <w:rFonts w:ascii="Calibri" w:hAnsi="Calibri"/>
                </w:rPr>
                <w:t>M 181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Honors Calculus I</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other: Deletion of a </w:t>
            </w:r>
            <w:proofErr w:type="spellStart"/>
            <w:r>
              <w:rPr>
                <w:rFonts w:ascii="Calibri" w:eastAsia="Times New Roman" w:hAnsi="Calibri" w:cs="Times New Roman"/>
                <w:color w:val="000000"/>
              </w:rPr>
              <w:t>corequisite</w:t>
            </w:r>
            <w:proofErr w:type="spellEnd"/>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1" w:history="1">
              <w:r w:rsidR="0015302C">
                <w:rPr>
                  <w:rStyle w:val="Hyperlink"/>
                  <w:rFonts w:ascii="Calibri" w:hAnsi="Calibri"/>
                </w:rPr>
                <w:t>M 182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Honors Calculus II</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other: Deletion of a </w:t>
            </w:r>
            <w:proofErr w:type="spellStart"/>
            <w:r>
              <w:rPr>
                <w:rFonts w:ascii="Calibri" w:eastAsia="Times New Roman" w:hAnsi="Calibri" w:cs="Times New Roman"/>
                <w:color w:val="000000"/>
              </w:rPr>
              <w:t>corequisite</w:t>
            </w:r>
            <w:proofErr w:type="spellEnd"/>
          </w:p>
        </w:tc>
      </w:tr>
      <w:tr w:rsidR="0015302C" w:rsidTr="0015302C">
        <w:trPr>
          <w:trHeight w:val="6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2" w:history="1">
              <w:r w:rsidR="0015302C">
                <w:rPr>
                  <w:rStyle w:val="Hyperlink"/>
                  <w:rFonts w:ascii="Calibri" w:hAnsi="Calibri"/>
                </w:rPr>
                <w:t>M 300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Undergraduate Mathematics </w:t>
            </w:r>
            <w:proofErr w:type="spellStart"/>
            <w:r>
              <w:rPr>
                <w:rFonts w:ascii="Calibri" w:eastAsia="Times New Roman" w:hAnsi="Calibri" w:cs="Times New Roman"/>
                <w:color w:val="000000"/>
              </w:rPr>
              <w:t>Sem</w:t>
            </w:r>
            <w:proofErr w:type="spellEnd"/>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Change other: Permit traditional &amp; CR/NCR grading, repeatability</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3" w:history="1">
              <w:r w:rsidR="0015302C">
                <w:rPr>
                  <w:rStyle w:val="Hyperlink"/>
                  <w:rFonts w:ascii="Calibri" w:hAnsi="Calibri"/>
                </w:rPr>
                <w:t>M 440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Numerical Analysis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description, level (UG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U)</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4" w:history="1">
              <w:r w:rsidR="0015302C">
                <w:rPr>
                  <w:rStyle w:val="Hyperlink"/>
                  <w:rFonts w:ascii="Calibri" w:hAnsi="Calibri"/>
                </w:rPr>
                <w:t>M 461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Practical Big Data Analytics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description, level (UG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U)</w:t>
            </w:r>
          </w:p>
        </w:tc>
      </w:tr>
      <w:tr w:rsidR="0015302C" w:rsidTr="0015302C">
        <w:trPr>
          <w:trHeight w:val="6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5" w:history="1">
              <w:r w:rsidR="0015302C">
                <w:rPr>
                  <w:rStyle w:val="Hyperlink"/>
                  <w:rFonts w:ascii="Calibri" w:hAnsi="Calibri"/>
                </w:rPr>
                <w:t>M 462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Theoretical Big Data Analytics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level (UG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U)</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6" w:history="1">
              <w:r w:rsidR="0015302C">
                <w:rPr>
                  <w:rStyle w:val="Hyperlink"/>
                  <w:rFonts w:ascii="Calibri" w:hAnsi="Calibri"/>
                </w:rPr>
                <w:t>M 467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Big Data Analytic Projects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level (UG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U)</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7" w:history="1">
              <w:r w:rsidR="0015302C">
                <w:rPr>
                  <w:rStyle w:val="Hyperlink"/>
                  <w:rFonts w:ascii="Calibri" w:hAnsi="Calibri"/>
                </w:rPr>
                <w:t>STAT 421 UG</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Probability Theory</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8" w:history="1">
              <w:r w:rsidR="0015302C">
                <w:rPr>
                  <w:rStyle w:val="Hyperlink"/>
                  <w:rFonts w:ascii="Calibri" w:hAnsi="Calibri"/>
                </w:rPr>
                <w:t>STAT 422 UG</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Mathematical Statistics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Change description</w:t>
            </w:r>
          </w:p>
        </w:tc>
      </w:tr>
      <w:tr w:rsidR="0015302C" w:rsidTr="0015302C">
        <w:trPr>
          <w:trHeight w:val="300"/>
        </w:trPr>
        <w:tc>
          <w:tcPr>
            <w:tcW w:w="2180" w:type="dxa"/>
            <w:noWrap/>
            <w:vAlign w:val="bottom"/>
            <w:hideMark/>
          </w:tcPr>
          <w:p w:rsidR="0015302C" w:rsidRDefault="0015302C" w:rsidP="00297352">
            <w:pPr>
              <w:rPr>
                <w:rFonts w:cs="Times New Roman"/>
              </w:rPr>
            </w:pPr>
          </w:p>
        </w:tc>
        <w:tc>
          <w:tcPr>
            <w:tcW w:w="2800" w:type="dxa"/>
            <w:noWrap/>
            <w:vAlign w:val="bottom"/>
          </w:tcPr>
          <w:p w:rsidR="0015302C" w:rsidRDefault="0015302C">
            <w:pPr>
              <w:spacing w:after="0" w:line="240" w:lineRule="auto"/>
              <w:rPr>
                <w:rFonts w:ascii="Calibri" w:eastAsia="Times New Roman" w:hAnsi="Calibri" w:cs="Times New Roman"/>
                <w:color w:val="000000"/>
              </w:rPr>
            </w:pPr>
          </w:p>
          <w:p w:rsidR="0015302C" w:rsidRDefault="0015302C">
            <w:pPr>
              <w:spacing w:after="0" w:line="240" w:lineRule="auto"/>
              <w:rPr>
                <w:rFonts w:ascii="Calibri" w:eastAsia="Times New Roman" w:hAnsi="Calibri" w:cs="Times New Roman"/>
                <w:color w:val="000000"/>
              </w:rPr>
            </w:pPr>
          </w:p>
        </w:tc>
        <w:tc>
          <w:tcPr>
            <w:tcW w:w="4120" w:type="dxa"/>
            <w:noWrap/>
            <w:vAlign w:val="bottom"/>
            <w:hideMark/>
          </w:tcPr>
          <w:p w:rsidR="0015302C" w:rsidRDefault="0015302C">
            <w:pPr>
              <w:spacing w:after="0"/>
              <w:rPr>
                <w:rFonts w:cs="Times New Roman"/>
              </w:rPr>
            </w:pPr>
          </w:p>
        </w:tc>
      </w:tr>
      <w:tr w:rsidR="0015302C" w:rsidTr="0015302C">
        <w:trPr>
          <w:trHeight w:val="300"/>
        </w:trPr>
        <w:tc>
          <w:tcPr>
            <w:tcW w:w="9100" w:type="dxa"/>
            <w:gridSpan w:val="3"/>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Physics and Astronomy</w:t>
            </w:r>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29" w:history="1">
              <w:r w:rsidR="0015302C">
                <w:rPr>
                  <w:rStyle w:val="Hyperlink"/>
                  <w:rFonts w:ascii="Calibri" w:hAnsi="Calibri"/>
                </w:rPr>
                <w:t>PHSX 320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Classical Mechanics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w:t>
            </w:r>
            <w:proofErr w:type="spellStart"/>
            <w:r>
              <w:rPr>
                <w:rFonts w:ascii="Calibri" w:eastAsia="Times New Roman" w:hAnsi="Calibri" w:cs="Times New Roman"/>
                <w:color w:val="000000"/>
              </w:rPr>
              <w:t>prereqs</w:t>
            </w:r>
            <w:proofErr w:type="spellEnd"/>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0" w:history="1">
              <w:r w:rsidR="0015302C">
                <w:rPr>
                  <w:rStyle w:val="Hyperlink"/>
                  <w:rFonts w:ascii="Calibri" w:hAnsi="Calibri"/>
                </w:rPr>
                <w:t>PHSX 446 U</w:t>
              </w:r>
            </w:hyperlink>
            <w:r w:rsidR="0015302C">
              <w:rPr>
                <w:rFonts w:ascii="Calibri" w:eastAsia="Times New Roman" w:hAnsi="Calibri" w:cs="Times New Roman"/>
                <w:color w:val="0000FF"/>
                <w:u w:val="single"/>
              </w:rPr>
              <w:t>G</w:t>
            </w:r>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Thermodyn</w:t>
            </w:r>
            <w:proofErr w:type="spellEnd"/>
            <w:r>
              <w:rPr>
                <w:rFonts w:ascii="Calibri" w:eastAsia="Times New Roman" w:hAnsi="Calibri" w:cs="Times New Roman"/>
                <w:color w:val="000000"/>
              </w:rPr>
              <w:t xml:space="preserve"> &amp; Stat </w:t>
            </w:r>
            <w:proofErr w:type="spellStart"/>
            <w:r>
              <w:rPr>
                <w:rFonts w:ascii="Calibri" w:eastAsia="Times New Roman" w:hAnsi="Calibri" w:cs="Times New Roman"/>
                <w:color w:val="000000"/>
              </w:rPr>
              <w:t>Mech</w:t>
            </w:r>
            <w:proofErr w:type="spellEnd"/>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w:t>
            </w:r>
            <w:proofErr w:type="spellStart"/>
            <w:r>
              <w:rPr>
                <w:rFonts w:ascii="Calibri" w:eastAsia="Times New Roman" w:hAnsi="Calibri" w:cs="Times New Roman"/>
                <w:color w:val="000000"/>
              </w:rPr>
              <w:t>prereqs</w:t>
            </w:r>
            <w:proofErr w:type="spellEnd"/>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1" w:history="1">
              <w:r w:rsidR="0015302C">
                <w:rPr>
                  <w:rStyle w:val="Hyperlink"/>
                  <w:rFonts w:ascii="Calibri" w:hAnsi="Calibri"/>
                </w:rPr>
                <w:t>PHSX 461 U</w:t>
              </w:r>
            </w:hyperlink>
            <w:r w:rsidR="0015302C">
              <w:rPr>
                <w:rFonts w:ascii="Calibri" w:eastAsia="Times New Roman" w:hAnsi="Calibri" w:cs="Times New Roman"/>
                <w:color w:val="0000FF"/>
                <w:u w:val="single"/>
              </w:rPr>
              <w:t>G</w:t>
            </w:r>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Quantum Mechanics I</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w:t>
            </w:r>
            <w:proofErr w:type="spellStart"/>
            <w:r>
              <w:rPr>
                <w:rFonts w:ascii="Calibri" w:eastAsia="Times New Roman" w:hAnsi="Calibri" w:cs="Times New Roman"/>
                <w:color w:val="000000"/>
              </w:rPr>
              <w:t>prereqs</w:t>
            </w:r>
            <w:proofErr w:type="spellEnd"/>
          </w:p>
        </w:tc>
      </w:tr>
      <w:tr w:rsidR="0015302C" w:rsidTr="0015302C">
        <w:trPr>
          <w:trHeight w:val="300"/>
        </w:trPr>
        <w:tc>
          <w:tcPr>
            <w:tcW w:w="218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2" w:history="1">
              <w:r w:rsidR="0015302C">
                <w:rPr>
                  <w:rStyle w:val="Hyperlink"/>
                  <w:rFonts w:ascii="Calibri" w:hAnsi="Calibri"/>
                </w:rPr>
                <w:t>PHSX 491 U</w:t>
              </w:r>
            </w:hyperlink>
            <w:r w:rsidR="0015302C">
              <w:rPr>
                <w:rFonts w:ascii="Calibri" w:eastAsia="Times New Roman" w:hAnsi="Calibri" w:cs="Times New Roman"/>
                <w:color w:val="0000FF"/>
                <w:u w:val="single"/>
              </w:rPr>
              <w:t>G</w:t>
            </w:r>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Special Topics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description, </w:t>
            </w:r>
            <w:proofErr w:type="spellStart"/>
            <w:r>
              <w:rPr>
                <w:rFonts w:ascii="Calibri" w:eastAsia="Times New Roman" w:hAnsi="Calibri" w:cs="Times New Roman"/>
                <w:color w:val="000000"/>
              </w:rPr>
              <w:t>prereqs</w:t>
            </w:r>
            <w:proofErr w:type="spellEnd"/>
          </w:p>
        </w:tc>
      </w:tr>
    </w:tbl>
    <w:p w:rsidR="0015302C" w:rsidRDefault="0015302C" w:rsidP="0015302C"/>
    <w:tbl>
      <w:tblPr>
        <w:tblW w:w="9100" w:type="dxa"/>
        <w:tblInd w:w="103" w:type="dxa"/>
        <w:tblLook w:val="04A0" w:firstRow="1" w:lastRow="0" w:firstColumn="1" w:lastColumn="0" w:noHBand="0" w:noVBand="1"/>
      </w:tblPr>
      <w:tblGrid>
        <w:gridCol w:w="2100"/>
        <w:gridCol w:w="80"/>
        <w:gridCol w:w="2800"/>
        <w:gridCol w:w="4120"/>
      </w:tblGrid>
      <w:tr w:rsidR="0015302C" w:rsidTr="0015302C">
        <w:trPr>
          <w:trHeight w:val="300"/>
        </w:trPr>
        <w:tc>
          <w:tcPr>
            <w:tcW w:w="9100" w:type="dxa"/>
            <w:gridSpan w:val="4"/>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MC: Applied Arts and Science - Mathematics &amp; Science</w:t>
            </w:r>
          </w:p>
        </w:tc>
      </w:tr>
      <w:tr w:rsidR="0015302C" w:rsidTr="0015302C">
        <w:trPr>
          <w:trHeight w:val="503"/>
        </w:trPr>
        <w:tc>
          <w:tcPr>
            <w:tcW w:w="2100" w:type="dxa"/>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3" w:tgtFrame="_blank" w:history="1">
              <w:r w:rsidR="0015302C">
                <w:rPr>
                  <w:rStyle w:val="Hyperlink"/>
                  <w:rFonts w:ascii="Calibri" w:hAnsi="Calibri"/>
                </w:rPr>
                <w:t>BIOH 108 U</w:t>
              </w:r>
            </w:hyperlink>
          </w:p>
        </w:tc>
        <w:tc>
          <w:tcPr>
            <w:tcW w:w="2880" w:type="dxa"/>
            <w:gridSpan w:val="2"/>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Basic Anatomy</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credits (3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xml:space="preserve">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4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 description, other: added laboratory</w:t>
            </w:r>
          </w:p>
        </w:tc>
      </w:tr>
      <w:tr w:rsidR="0015302C" w:rsidTr="0015302C">
        <w:trPr>
          <w:trHeight w:val="300"/>
        </w:trPr>
        <w:tc>
          <w:tcPr>
            <w:tcW w:w="2180" w:type="dxa"/>
            <w:gridSpan w:val="2"/>
            <w:noWrap/>
            <w:vAlign w:val="bottom"/>
          </w:tcPr>
          <w:p w:rsidR="0015302C" w:rsidRDefault="0015302C">
            <w:pPr>
              <w:spacing w:after="0" w:line="240" w:lineRule="auto"/>
              <w:rPr>
                <w:rFonts w:ascii="Calibri" w:eastAsia="Times New Roman" w:hAnsi="Calibri" w:cs="Times New Roman"/>
                <w:color w:val="000000"/>
              </w:rPr>
            </w:pPr>
          </w:p>
        </w:tc>
        <w:tc>
          <w:tcPr>
            <w:tcW w:w="2800" w:type="dxa"/>
            <w:noWrap/>
            <w:vAlign w:val="bottom"/>
            <w:hideMark/>
          </w:tcPr>
          <w:p w:rsidR="0015302C" w:rsidRDefault="0015302C">
            <w:pPr>
              <w:spacing w:after="0"/>
              <w:rPr>
                <w:rFonts w:cs="Times New Roman"/>
              </w:rPr>
            </w:pPr>
          </w:p>
        </w:tc>
        <w:tc>
          <w:tcPr>
            <w:tcW w:w="4120" w:type="dxa"/>
            <w:noWrap/>
            <w:vAlign w:val="bottom"/>
            <w:hideMark/>
          </w:tcPr>
          <w:p w:rsidR="0015302C" w:rsidRDefault="0015302C">
            <w:pPr>
              <w:spacing w:after="0"/>
              <w:rPr>
                <w:rFonts w:cs="Times New Roman"/>
              </w:rPr>
            </w:pPr>
          </w:p>
        </w:tc>
      </w:tr>
      <w:tr w:rsidR="0015302C" w:rsidTr="0015302C">
        <w:trPr>
          <w:trHeight w:val="300"/>
        </w:trPr>
        <w:tc>
          <w:tcPr>
            <w:tcW w:w="9100" w:type="dxa"/>
            <w:gridSpan w:val="4"/>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Society &amp; Conservation</w:t>
            </w:r>
          </w:p>
        </w:tc>
      </w:tr>
      <w:tr w:rsidR="0015302C" w:rsidTr="0015302C">
        <w:trPr>
          <w:trHeight w:val="600"/>
        </w:trPr>
        <w:tc>
          <w:tcPr>
            <w:tcW w:w="2180" w:type="dxa"/>
            <w:gridSpan w:val="2"/>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4" w:history="1">
              <w:r w:rsidR="0015302C">
                <w:rPr>
                  <w:rStyle w:val="Hyperlink"/>
                  <w:rFonts w:ascii="Calibri" w:hAnsi="Calibri"/>
                </w:rPr>
                <w:t>NRSM 215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Field Studies in Conservation</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repeatability (none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3)</w:t>
            </w:r>
          </w:p>
        </w:tc>
      </w:tr>
      <w:tr w:rsidR="0015302C" w:rsidTr="0015302C">
        <w:trPr>
          <w:trHeight w:val="600"/>
        </w:trPr>
        <w:tc>
          <w:tcPr>
            <w:tcW w:w="2180" w:type="dxa"/>
            <w:gridSpan w:val="2"/>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5" w:history="1">
              <w:r w:rsidR="0015302C">
                <w:rPr>
                  <w:rStyle w:val="Hyperlink"/>
                  <w:rFonts w:ascii="Calibri" w:hAnsi="Calibri"/>
                </w:rPr>
                <w:t>NRSM 389E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Ethics Forestry &amp; Conservation</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level (489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389)</w:t>
            </w:r>
          </w:p>
        </w:tc>
      </w:tr>
      <w:tr w:rsidR="0015302C" w:rsidTr="0015302C">
        <w:trPr>
          <w:trHeight w:val="300"/>
        </w:trPr>
        <w:tc>
          <w:tcPr>
            <w:tcW w:w="2180" w:type="dxa"/>
            <w:gridSpan w:val="2"/>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6" w:history="1">
              <w:r w:rsidR="0015302C">
                <w:rPr>
                  <w:rStyle w:val="Hyperlink"/>
                  <w:rFonts w:ascii="Calibri" w:hAnsi="Calibri"/>
                </w:rPr>
                <w:t>NRSM 427 UG</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Western Water Policy</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r>
      <w:tr w:rsidR="0015302C" w:rsidTr="0015302C">
        <w:trPr>
          <w:trHeight w:val="300"/>
        </w:trPr>
        <w:tc>
          <w:tcPr>
            <w:tcW w:w="2180" w:type="dxa"/>
            <w:gridSpan w:val="2"/>
            <w:noWrap/>
            <w:vAlign w:val="bottom"/>
            <w:hideMark/>
          </w:tcPr>
          <w:p w:rsidR="0015302C" w:rsidRDefault="0015302C">
            <w:pPr>
              <w:spacing w:after="0"/>
              <w:rPr>
                <w:rFonts w:cs="Times New Roman"/>
              </w:rPr>
            </w:pPr>
          </w:p>
        </w:tc>
        <w:tc>
          <w:tcPr>
            <w:tcW w:w="2800" w:type="dxa"/>
            <w:noWrap/>
            <w:vAlign w:val="bottom"/>
            <w:hideMark/>
          </w:tcPr>
          <w:p w:rsidR="0015302C" w:rsidRDefault="0015302C">
            <w:pPr>
              <w:spacing w:after="0"/>
              <w:rPr>
                <w:rFonts w:cs="Times New Roman"/>
              </w:rPr>
            </w:pPr>
          </w:p>
        </w:tc>
        <w:tc>
          <w:tcPr>
            <w:tcW w:w="4120" w:type="dxa"/>
            <w:noWrap/>
            <w:vAlign w:val="bottom"/>
            <w:hideMark/>
          </w:tcPr>
          <w:p w:rsidR="0015302C" w:rsidRDefault="0015302C">
            <w:pPr>
              <w:spacing w:after="0"/>
              <w:rPr>
                <w:rFonts w:cs="Times New Roman"/>
              </w:rPr>
            </w:pPr>
          </w:p>
        </w:tc>
      </w:tr>
      <w:tr w:rsidR="0015302C" w:rsidTr="0015302C">
        <w:trPr>
          <w:trHeight w:val="300"/>
        </w:trPr>
        <w:tc>
          <w:tcPr>
            <w:tcW w:w="9100" w:type="dxa"/>
            <w:gridSpan w:val="4"/>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Wildlife Biology</w:t>
            </w:r>
          </w:p>
        </w:tc>
      </w:tr>
      <w:tr w:rsidR="0015302C" w:rsidTr="0015302C">
        <w:trPr>
          <w:trHeight w:val="600"/>
        </w:trPr>
        <w:tc>
          <w:tcPr>
            <w:tcW w:w="2180" w:type="dxa"/>
            <w:gridSpan w:val="2"/>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7" w:history="1">
              <w:r w:rsidR="0015302C">
                <w:rPr>
                  <w:rStyle w:val="Hyperlink"/>
                  <w:rFonts w:ascii="Calibri" w:hAnsi="Calibri"/>
                </w:rPr>
                <w:t>WILD 370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Wildlife Habitat Cons &amp; </w:t>
            </w:r>
            <w:proofErr w:type="spellStart"/>
            <w:r>
              <w:rPr>
                <w:rFonts w:ascii="Calibri" w:eastAsia="Times New Roman" w:hAnsi="Calibri" w:cs="Times New Roman"/>
                <w:color w:val="000000"/>
              </w:rPr>
              <w:t>Mgmt</w:t>
            </w:r>
            <w:proofErr w:type="spellEnd"/>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credits (3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xml:space="preserve">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4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w:t>
            </w:r>
          </w:p>
        </w:tc>
      </w:tr>
      <w:tr w:rsidR="0015302C" w:rsidTr="0015302C">
        <w:trPr>
          <w:trHeight w:val="600"/>
        </w:trPr>
        <w:tc>
          <w:tcPr>
            <w:tcW w:w="2180" w:type="dxa"/>
            <w:gridSpan w:val="2"/>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8" w:history="1">
              <w:r w:rsidR="0015302C">
                <w:rPr>
                  <w:rStyle w:val="Hyperlink"/>
                  <w:rFonts w:ascii="Calibri" w:hAnsi="Calibri"/>
                </w:rPr>
                <w:t>WILD 470 UG</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Conserv</w:t>
            </w:r>
            <w:proofErr w:type="spellEnd"/>
            <w:r>
              <w:rPr>
                <w:rFonts w:ascii="Calibri" w:eastAsia="Times New Roman" w:hAnsi="Calibri" w:cs="Times New Roman"/>
                <w:color w:val="000000"/>
              </w:rPr>
              <w:t xml:space="preserve"> of Wildlife </w:t>
            </w:r>
            <w:proofErr w:type="spellStart"/>
            <w:r>
              <w:rPr>
                <w:rFonts w:ascii="Calibri" w:eastAsia="Times New Roman" w:hAnsi="Calibri" w:cs="Times New Roman"/>
                <w:color w:val="000000"/>
              </w:rPr>
              <w:t>Populatns</w:t>
            </w:r>
            <w:proofErr w:type="spellEnd"/>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Change credits (3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xml:space="preserve"> </w:t>
            </w:r>
            <w:r>
              <w:rPr>
                <w:rFonts w:ascii="Calibri" w:eastAsia="Times New Roman" w:hAnsi="Calibri" w:cs="Times New Roman"/>
                <w:color w:val="000000"/>
              </w:rPr>
              <w:sym w:font="Wingdings" w:char="F0E0"/>
            </w:r>
            <w:r>
              <w:rPr>
                <w:rFonts w:ascii="Calibri" w:eastAsia="Times New Roman" w:hAnsi="Calibri" w:cs="Times New Roman"/>
                <w:color w:val="000000"/>
              </w:rPr>
              <w:t xml:space="preserve"> 4 </w:t>
            </w:r>
            <w:proofErr w:type="spellStart"/>
            <w:r>
              <w:rPr>
                <w:rFonts w:ascii="Calibri" w:eastAsia="Times New Roman" w:hAnsi="Calibri" w:cs="Times New Roman"/>
                <w:color w:val="000000"/>
              </w:rPr>
              <w:t>cr</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prereqs</w:t>
            </w:r>
            <w:proofErr w:type="spellEnd"/>
          </w:p>
        </w:tc>
      </w:tr>
      <w:tr w:rsidR="0015302C" w:rsidTr="0015302C">
        <w:trPr>
          <w:trHeight w:val="300"/>
        </w:trPr>
        <w:tc>
          <w:tcPr>
            <w:tcW w:w="2180" w:type="dxa"/>
            <w:gridSpan w:val="2"/>
            <w:noWrap/>
            <w:vAlign w:val="bottom"/>
            <w:hideMark/>
          </w:tcPr>
          <w:p w:rsidR="0015302C" w:rsidRDefault="0015302C">
            <w:pPr>
              <w:spacing w:after="0"/>
              <w:rPr>
                <w:rFonts w:cs="Times New Roman"/>
              </w:rPr>
            </w:pPr>
          </w:p>
        </w:tc>
        <w:tc>
          <w:tcPr>
            <w:tcW w:w="2800" w:type="dxa"/>
            <w:noWrap/>
            <w:vAlign w:val="bottom"/>
            <w:hideMark/>
          </w:tcPr>
          <w:p w:rsidR="0015302C" w:rsidRDefault="0015302C">
            <w:pPr>
              <w:spacing w:after="0"/>
              <w:rPr>
                <w:rFonts w:cs="Times New Roman"/>
              </w:rPr>
            </w:pPr>
          </w:p>
        </w:tc>
        <w:tc>
          <w:tcPr>
            <w:tcW w:w="4120" w:type="dxa"/>
            <w:noWrap/>
            <w:vAlign w:val="bottom"/>
            <w:hideMark/>
          </w:tcPr>
          <w:p w:rsidR="0015302C" w:rsidRDefault="0015302C">
            <w:pPr>
              <w:spacing w:after="0"/>
              <w:rPr>
                <w:rFonts w:cs="Times New Roman"/>
              </w:rPr>
            </w:pPr>
          </w:p>
        </w:tc>
      </w:tr>
      <w:tr w:rsidR="0015302C" w:rsidTr="0015302C">
        <w:trPr>
          <w:trHeight w:val="300"/>
        </w:trPr>
        <w:tc>
          <w:tcPr>
            <w:tcW w:w="9100" w:type="dxa"/>
            <w:gridSpan w:val="4"/>
            <w:tcBorders>
              <w:top w:val="single" w:sz="4" w:space="0" w:color="000000"/>
              <w:left w:val="single" w:sz="4" w:space="0" w:color="000000"/>
              <w:bottom w:val="single" w:sz="4" w:space="0" w:color="000000"/>
              <w:right w:val="single" w:sz="4" w:space="0" w:color="000000"/>
            </w:tcBorders>
            <w:vAlign w:val="center"/>
            <w:hideMark/>
          </w:tcPr>
          <w:p w:rsidR="0015302C" w:rsidRDefault="0015302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Parks, Tourism and Recreation Management</w:t>
            </w:r>
          </w:p>
        </w:tc>
      </w:tr>
      <w:tr w:rsidR="0015302C" w:rsidTr="0015302C">
        <w:trPr>
          <w:trHeight w:val="300"/>
        </w:trPr>
        <w:tc>
          <w:tcPr>
            <w:tcW w:w="2180" w:type="dxa"/>
            <w:gridSpan w:val="2"/>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39" w:history="1">
              <w:r w:rsidR="0015302C">
                <w:rPr>
                  <w:rStyle w:val="Hyperlink"/>
                  <w:rFonts w:ascii="Calibri" w:hAnsi="Calibri"/>
                </w:rPr>
                <w:t>PTRM 117 U</w:t>
              </w:r>
            </w:hyperlink>
          </w:p>
        </w:tc>
        <w:tc>
          <w:tcPr>
            <w:tcW w:w="280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National Parks</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r>
      <w:tr w:rsidR="0015302C" w:rsidTr="0015302C">
        <w:trPr>
          <w:trHeight w:val="300"/>
        </w:trPr>
        <w:tc>
          <w:tcPr>
            <w:tcW w:w="2180" w:type="dxa"/>
            <w:gridSpan w:val="2"/>
            <w:tcBorders>
              <w:top w:val="nil"/>
              <w:left w:val="single" w:sz="4" w:space="0" w:color="000000"/>
              <w:bottom w:val="single" w:sz="4" w:space="0" w:color="000000"/>
              <w:right w:val="single" w:sz="4" w:space="0" w:color="000000"/>
            </w:tcBorders>
            <w:vAlign w:val="center"/>
            <w:hideMark/>
          </w:tcPr>
          <w:p w:rsidR="0015302C" w:rsidRDefault="00457DCB">
            <w:pPr>
              <w:spacing w:after="0" w:line="240" w:lineRule="auto"/>
              <w:rPr>
                <w:rFonts w:ascii="Calibri" w:eastAsia="Times New Roman" w:hAnsi="Calibri" w:cs="Times New Roman"/>
                <w:color w:val="0000FF"/>
                <w:u w:val="single"/>
              </w:rPr>
            </w:pPr>
            <w:hyperlink r:id="rId40" w:history="1">
              <w:r w:rsidR="0015302C">
                <w:rPr>
                  <w:rStyle w:val="Hyperlink"/>
                  <w:rFonts w:ascii="Calibri" w:hAnsi="Calibri"/>
                </w:rPr>
                <w:t>PTRM 483 U</w:t>
              </w:r>
            </w:hyperlink>
          </w:p>
        </w:tc>
        <w:tc>
          <w:tcPr>
            <w:tcW w:w="2800" w:type="dxa"/>
            <w:tcBorders>
              <w:top w:val="nil"/>
              <w:left w:val="nil"/>
              <w:bottom w:val="single" w:sz="4" w:space="0" w:color="000000"/>
              <w:right w:val="single" w:sz="4" w:space="0" w:color="000000"/>
            </w:tcBorders>
            <w:vAlign w:val="center"/>
            <w:hideMark/>
          </w:tcPr>
          <w:p w:rsidR="0015302C" w:rsidRDefault="00053312">
            <w:pPr>
              <w:spacing w:after="0" w:line="240" w:lineRule="auto"/>
              <w:rPr>
                <w:rFonts w:ascii="Calibri" w:eastAsia="Times New Roman" w:hAnsi="Calibri" w:cs="Times New Roman"/>
                <w:color w:val="000000"/>
              </w:rPr>
            </w:pPr>
            <w:r>
              <w:rPr>
                <w:rFonts w:ascii="Calibri" w:eastAsia="Times New Roman" w:hAnsi="Calibri" w:cs="Times New Roman"/>
                <w:color w:val="000000"/>
              </w:rPr>
              <w:t>Commercial</w:t>
            </w:r>
            <w:r w:rsidR="0015302C">
              <w:rPr>
                <w:rFonts w:ascii="Calibri" w:eastAsia="Times New Roman" w:hAnsi="Calibri" w:cs="Times New Roman"/>
                <w:color w:val="000000"/>
              </w:rPr>
              <w:t xml:space="preserve"> Recreation</w:t>
            </w:r>
          </w:p>
        </w:tc>
        <w:tc>
          <w:tcPr>
            <w:tcW w:w="4120" w:type="dxa"/>
            <w:tcBorders>
              <w:top w:val="nil"/>
              <w:left w:val="nil"/>
              <w:bottom w:val="single" w:sz="4" w:space="0" w:color="000000"/>
              <w:right w:val="single" w:sz="4" w:space="0" w:color="000000"/>
            </w:tcBorders>
            <w:vAlign w:val="center"/>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New course</w:t>
            </w:r>
          </w:p>
        </w:tc>
      </w:tr>
    </w:tbl>
    <w:p w:rsidR="0015302C" w:rsidRDefault="0015302C" w:rsidP="0015302C"/>
    <w:p w:rsidR="0015302C" w:rsidRDefault="0015302C" w:rsidP="0015302C">
      <w:pPr>
        <w:rPr>
          <w:b/>
          <w:sz w:val="32"/>
          <w:szCs w:val="32"/>
        </w:rPr>
      </w:pPr>
      <w:r>
        <w:rPr>
          <w:b/>
          <w:sz w:val="32"/>
          <w:szCs w:val="32"/>
        </w:rPr>
        <w:br w:type="page"/>
      </w:r>
    </w:p>
    <w:p w:rsidR="0015302C" w:rsidRDefault="0015302C" w:rsidP="0015302C">
      <w:pPr>
        <w:rPr>
          <w:b/>
          <w:sz w:val="32"/>
          <w:szCs w:val="32"/>
        </w:rPr>
      </w:pPr>
      <w:r>
        <w:rPr>
          <w:b/>
          <w:sz w:val="32"/>
          <w:szCs w:val="32"/>
        </w:rPr>
        <w:lastRenderedPageBreak/>
        <w:t>Program Modifications - Approved</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5052"/>
      </w:tblGrid>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Biochemistry</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Remove CSCI 451 (Computational Biology) as requirement</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Chemistry/ BA</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Clarify and increase requirements</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Computer Science</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Computer Science Secondary Teaching Licensure Program </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DBS/ BS Microbiology</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Move BIOE 370 (Ecology) from required to elective</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Fire Science and Management</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Update requirements to reflect course changes</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Geosciences / Minor</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Adding new courses to an option for the lower-division core </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Geosciences /BS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Adding new courses to an option for the lower-division core </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Mathematical Science / BA Mathematics Education Option</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Add 14 credits of EDU 495 Student Teaching</w:t>
            </w:r>
          </w:p>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(Make the requirement explicit without increasing the workload)</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Mathematics / Minor</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Establish residency requirement</w:t>
            </w:r>
          </w:p>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(At least 2 of 3 upper-div math courses to be taken at UM)</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Physics and Astronomy / BA </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Modification of the math requirement</w:t>
            </w:r>
          </w:p>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Modification of the physics requirement</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Physics and Astronomy / BA - Astronomy option</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Modification of the math requirement</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Physics and Astronomy / BA- Computational Physics Option</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Modification of the math requirement</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Physics and Astronomy / BA- Teaching minor</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Modification of the math requirement</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Physics and Astronomy / BA- Teaching Physics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Modification of the math requirement</w:t>
            </w:r>
          </w:p>
        </w:tc>
      </w:tr>
      <w:tr w:rsidR="0015302C" w:rsidTr="0015302C">
        <w:trPr>
          <w:trHeight w:val="300"/>
        </w:trPr>
        <w:tc>
          <w:tcPr>
            <w:tcW w:w="4053"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Physics and Astronomy / BA-Teaching </w:t>
            </w:r>
            <w:proofErr w:type="spellStart"/>
            <w:r>
              <w:rPr>
                <w:rFonts w:ascii="Calibri" w:eastAsia="Times New Roman" w:hAnsi="Calibri" w:cs="Times New Roman"/>
                <w:color w:val="000000"/>
              </w:rPr>
              <w:t>Broadfield</w:t>
            </w:r>
            <w:proofErr w:type="spellEnd"/>
            <w:r>
              <w:rPr>
                <w:rFonts w:ascii="Calibri" w:eastAsia="Times New Roman" w:hAnsi="Calibri" w:cs="Times New Roman"/>
                <w:color w:val="000000"/>
              </w:rPr>
              <w:t xml:space="preserve"> Science option</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15302C" w:rsidRDefault="0015302C">
            <w:pPr>
              <w:spacing w:after="0" w:line="240" w:lineRule="auto"/>
              <w:rPr>
                <w:rFonts w:ascii="Calibri" w:eastAsia="Times New Roman" w:hAnsi="Calibri" w:cs="Times New Roman"/>
                <w:color w:val="000000"/>
              </w:rPr>
            </w:pPr>
            <w:r>
              <w:rPr>
                <w:rFonts w:ascii="Calibri" w:eastAsia="Times New Roman" w:hAnsi="Calibri" w:cs="Times New Roman"/>
                <w:color w:val="000000"/>
              </w:rPr>
              <w:t>Modification of the math requirement</w:t>
            </w:r>
          </w:p>
        </w:tc>
      </w:tr>
    </w:tbl>
    <w:p w:rsidR="0015302C" w:rsidRDefault="0015302C" w:rsidP="0015302C"/>
    <w:p w:rsidR="0015302C" w:rsidRDefault="0015302C"/>
    <w:p w:rsidR="00560818" w:rsidRDefault="00560818" w:rsidP="00560818">
      <w:pPr>
        <w:pStyle w:val="Heading3"/>
        <w:rPr>
          <w:noProof/>
        </w:rPr>
      </w:pPr>
      <w:r>
        <w:rPr>
          <w:noProof/>
        </w:rPr>
        <w:t>Procedure</w:t>
      </w:r>
      <w:r w:rsidRPr="0092488E">
        <w:rPr>
          <w:noProof/>
        </w:rPr>
        <w:t xml:space="preserve"> </w:t>
      </w:r>
      <w:r>
        <w:rPr>
          <w:noProof/>
        </w:rPr>
        <w:tab/>
      </w:r>
      <w:r>
        <w:rPr>
          <w:noProof/>
        </w:rPr>
        <w:tab/>
        <w:t xml:space="preserve">Writing Course Exemption Appeal Guidelines </w:t>
      </w:r>
    </w:p>
    <w:p w:rsidR="00560818" w:rsidRPr="00FD4D13" w:rsidRDefault="00560818" w:rsidP="00560818">
      <w:pPr>
        <w:rPr>
          <w:rFonts w:cs="Arial"/>
          <w:noProof/>
          <w:sz w:val="24"/>
          <w:szCs w:val="24"/>
        </w:rPr>
      </w:pPr>
      <w:r w:rsidRPr="00FD4D13">
        <w:rPr>
          <w:rStyle w:val="SubtleReference"/>
          <w:sz w:val="24"/>
          <w:szCs w:val="24"/>
        </w:rPr>
        <w:t>Procedure Number:</w:t>
      </w:r>
      <w:r w:rsidRPr="00FD4D13">
        <w:rPr>
          <w:rFonts w:cs="Arial"/>
          <w:noProof/>
          <w:sz w:val="24"/>
          <w:szCs w:val="24"/>
        </w:rPr>
        <w:tab/>
        <w:t>20</w:t>
      </w:r>
      <w:r>
        <w:rPr>
          <w:rFonts w:cs="Arial"/>
          <w:noProof/>
          <w:sz w:val="24"/>
          <w:szCs w:val="24"/>
        </w:rPr>
        <w:t>2.50.5</w:t>
      </w:r>
      <w:r w:rsidRPr="00FD4D13">
        <w:rPr>
          <w:rFonts w:cs="Arial"/>
          <w:noProof/>
          <w:sz w:val="24"/>
          <w:szCs w:val="24"/>
        </w:rPr>
        <w:br/>
      </w:r>
      <w:r w:rsidRPr="00FD4D13">
        <w:rPr>
          <w:rStyle w:val="SubtleReference"/>
          <w:sz w:val="24"/>
          <w:szCs w:val="24"/>
        </w:rPr>
        <w:t>Date Adopted:</w:t>
      </w:r>
      <w:r w:rsidRPr="00FD4D13">
        <w:rPr>
          <w:rStyle w:val="Heading2Char"/>
          <w:rFonts w:eastAsiaTheme="minorHAnsi"/>
        </w:rPr>
        <w:tab/>
      </w:r>
      <w:r w:rsidRPr="00FD4D13">
        <w:rPr>
          <w:rStyle w:val="Heading2Char"/>
          <w:rFonts w:eastAsiaTheme="minorHAnsi"/>
        </w:rPr>
        <w:tab/>
      </w:r>
      <w:r>
        <w:rPr>
          <w:rFonts w:cs="Arial"/>
          <w:noProof/>
          <w:sz w:val="24"/>
          <w:szCs w:val="24"/>
        </w:rPr>
        <w:t>10/1/12</w:t>
      </w:r>
      <w:r w:rsidRPr="00FD4D13">
        <w:rPr>
          <w:rFonts w:cs="Arial"/>
          <w:noProof/>
          <w:sz w:val="24"/>
          <w:szCs w:val="24"/>
        </w:rPr>
        <w:t xml:space="preserve">  </w:t>
      </w:r>
      <w:r w:rsidRPr="00FD4D13">
        <w:rPr>
          <w:rFonts w:cs="Arial"/>
          <w:noProof/>
          <w:sz w:val="24"/>
          <w:szCs w:val="24"/>
        </w:rPr>
        <w:br/>
      </w:r>
      <w:r w:rsidRPr="00FD4D13">
        <w:rPr>
          <w:rStyle w:val="SubtleReference"/>
          <w:sz w:val="24"/>
          <w:szCs w:val="24"/>
        </w:rPr>
        <w:t>Last Revision:</w:t>
      </w:r>
      <w:r w:rsidRPr="00FD4D13">
        <w:rPr>
          <w:rStyle w:val="SubtleReference"/>
          <w:sz w:val="24"/>
          <w:szCs w:val="24"/>
        </w:rPr>
        <w:tab/>
      </w:r>
      <w:r w:rsidRPr="00FD4D13">
        <w:rPr>
          <w:rFonts w:cs="Arial"/>
          <w:noProof/>
          <w:sz w:val="24"/>
          <w:szCs w:val="24"/>
        </w:rPr>
        <w:tab/>
      </w:r>
      <w:r>
        <w:rPr>
          <w:rFonts w:cs="Arial"/>
          <w:noProof/>
          <w:sz w:val="24"/>
          <w:szCs w:val="24"/>
        </w:rPr>
        <w:t>11/7/16</w:t>
      </w:r>
      <w:r w:rsidRPr="00FD4D13">
        <w:rPr>
          <w:rFonts w:cs="Arial"/>
          <w:noProof/>
          <w:sz w:val="24"/>
          <w:szCs w:val="24"/>
        </w:rPr>
        <w:br/>
      </w:r>
      <w:r w:rsidRPr="00FD4D13">
        <w:rPr>
          <w:rFonts w:cs="Arial"/>
          <w:noProof/>
          <w:sz w:val="24"/>
          <w:szCs w:val="24"/>
        </w:rPr>
        <w:br/>
      </w:r>
      <w:r w:rsidRPr="00FD4D13">
        <w:rPr>
          <w:rStyle w:val="SubtleReference"/>
          <w:sz w:val="24"/>
          <w:szCs w:val="24"/>
        </w:rPr>
        <w:t>Approved by:</w:t>
      </w:r>
      <w:r w:rsidRPr="00FD4D13">
        <w:rPr>
          <w:rStyle w:val="Heading2Char"/>
          <w:rFonts w:eastAsiaTheme="minorHAnsi"/>
        </w:rPr>
        <w:t xml:space="preserve"> </w:t>
      </w:r>
      <w:r w:rsidRPr="00FD4D13">
        <w:rPr>
          <w:rStyle w:val="Heading2Char"/>
          <w:rFonts w:eastAsiaTheme="minorHAnsi"/>
        </w:rPr>
        <w:tab/>
      </w:r>
      <w:r w:rsidRPr="00FD4D13">
        <w:rPr>
          <w:rFonts w:cs="Arial"/>
          <w:noProof/>
          <w:sz w:val="24"/>
          <w:szCs w:val="24"/>
        </w:rPr>
        <w:tab/>
        <w:t xml:space="preserve">ASCRC </w:t>
      </w:r>
      <w:r>
        <w:rPr>
          <w:rFonts w:cs="Arial"/>
          <w:noProof/>
          <w:sz w:val="24"/>
          <w:szCs w:val="24"/>
        </w:rPr>
        <w:t>Writing Committee</w:t>
      </w:r>
    </w:p>
    <w:p w:rsidR="00560818" w:rsidRDefault="00560818" w:rsidP="00560818">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1312" behindDoc="0" locked="0" layoutInCell="0" allowOverlap="1" wp14:anchorId="7B48D978" wp14:editId="34CBBC1E">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938B33"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560818" w:rsidRDefault="00560818" w:rsidP="00560818">
      <w:pPr>
        <w:ind w:left="360"/>
        <w:rPr>
          <w:rFonts w:eastAsia="Times New Roman"/>
        </w:rPr>
      </w:pPr>
    </w:p>
    <w:p w:rsidR="00560818" w:rsidRPr="0015418A" w:rsidRDefault="00560818" w:rsidP="00560818">
      <w:pPr>
        <w:pStyle w:val="Heading2"/>
        <w:rPr>
          <w:lang w:eastAsia="ja-JP"/>
        </w:rPr>
      </w:pPr>
      <w:r w:rsidRPr="0015418A">
        <w:rPr>
          <w:lang w:eastAsia="ja-JP"/>
        </w:rPr>
        <w:lastRenderedPageBreak/>
        <w:t>Writing Course Requirement and Transfer Students</w:t>
      </w:r>
    </w:p>
    <w:p w:rsidR="00560818" w:rsidRDefault="00560818" w:rsidP="00560818">
      <w:pPr>
        <w:rPr>
          <w:rFonts w:cs="Cambria"/>
        </w:rPr>
      </w:pPr>
      <w:r w:rsidRPr="0015418A">
        <w:rPr>
          <w:rFonts w:cs="Cambria"/>
        </w:rPr>
        <w:t>The Admissions Office (406-243-6266) evaluates transcripts for course equivalencies</w:t>
      </w:r>
      <w:r>
        <w:rPr>
          <w:rFonts w:cs="Cambria"/>
        </w:rPr>
        <w:t xml:space="preserve">, </w:t>
      </w:r>
      <w:r w:rsidRPr="0015418A">
        <w:rPr>
          <w:rFonts w:cs="Cambria"/>
        </w:rPr>
        <w:t>with the exception of UM’s approved writing courses.  </w:t>
      </w:r>
    </w:p>
    <w:p w:rsidR="00560818" w:rsidRDefault="00560818" w:rsidP="00560818">
      <w:pPr>
        <w:rPr>
          <w:rFonts w:cs="Cambria"/>
        </w:rPr>
      </w:pPr>
    </w:p>
    <w:p w:rsidR="00560818" w:rsidRDefault="00560818" w:rsidP="00560818">
      <w:pPr>
        <w:widowControl w:val="0"/>
        <w:autoSpaceDE w:val="0"/>
        <w:autoSpaceDN w:val="0"/>
        <w:adjustRightInd w:val="0"/>
        <w:rPr>
          <w:rFonts w:cs="Cambria"/>
          <w:color w:val="000000"/>
        </w:rPr>
      </w:pPr>
      <w:r w:rsidRPr="0015418A">
        <w:rPr>
          <w:rFonts w:cs="Cambria"/>
          <w:color w:val="000000"/>
          <w:lang w:eastAsia="ja-JP"/>
        </w:rPr>
        <w:t xml:space="preserve">This information pertains only to the </w:t>
      </w:r>
      <w:r>
        <w:rPr>
          <w:rFonts w:cs="Cambria"/>
          <w:color w:val="000000"/>
          <w:lang w:eastAsia="ja-JP"/>
        </w:rPr>
        <w:t xml:space="preserve">intermediate </w:t>
      </w:r>
      <w:r w:rsidRPr="0015418A">
        <w:rPr>
          <w:rFonts w:cs="Cambria"/>
          <w:color w:val="000000"/>
          <w:lang w:eastAsia="ja-JP"/>
        </w:rPr>
        <w:t xml:space="preserve">writing course, not the departmental </w:t>
      </w:r>
      <w:r>
        <w:rPr>
          <w:rFonts w:cs="Cambria"/>
          <w:color w:val="000000"/>
          <w:lang w:eastAsia="ja-JP"/>
        </w:rPr>
        <w:t>advanced</w:t>
      </w:r>
      <w:r w:rsidRPr="0015418A">
        <w:rPr>
          <w:rFonts w:cs="Cambria"/>
          <w:color w:val="000000"/>
          <w:lang w:eastAsia="ja-JP"/>
        </w:rPr>
        <w:t xml:space="preserve"> writing requirement. Students should speak to their major department regarding any issues relating to the </w:t>
      </w:r>
      <w:r>
        <w:rPr>
          <w:rFonts w:cs="Cambria"/>
          <w:color w:val="000000"/>
          <w:lang w:eastAsia="ja-JP"/>
        </w:rPr>
        <w:t>advanced</w:t>
      </w:r>
      <w:r w:rsidRPr="0015418A">
        <w:rPr>
          <w:rFonts w:cs="Cambria"/>
          <w:color w:val="000000"/>
          <w:lang w:eastAsia="ja-JP"/>
        </w:rPr>
        <w:t xml:space="preserve"> writing requirement. </w:t>
      </w:r>
      <w:r w:rsidRPr="0015418A">
        <w:rPr>
          <w:rFonts w:cs="Cambria"/>
        </w:rPr>
        <w:br/>
      </w:r>
      <w:r w:rsidRPr="0015418A">
        <w:rPr>
          <w:rFonts w:cs="Cambria"/>
        </w:rPr>
        <w:br/>
        <w:t>If</w:t>
      </w:r>
      <w:r>
        <w:rPr>
          <w:rFonts w:cs="Cambria"/>
        </w:rPr>
        <w:t xml:space="preserve"> a</w:t>
      </w:r>
      <w:r w:rsidRPr="0015418A">
        <w:rPr>
          <w:rFonts w:cs="Cambria"/>
        </w:rPr>
        <w:t xml:space="preserve"> student believe</w:t>
      </w:r>
      <w:r>
        <w:rPr>
          <w:rFonts w:cs="Cambria"/>
        </w:rPr>
        <w:t>s</w:t>
      </w:r>
      <w:r w:rsidRPr="0015418A">
        <w:rPr>
          <w:rFonts w:cs="Cambria"/>
        </w:rPr>
        <w:t xml:space="preserve"> a course </w:t>
      </w:r>
      <w:r>
        <w:rPr>
          <w:rFonts w:cs="Cambria"/>
        </w:rPr>
        <w:t xml:space="preserve">taken at another institution </w:t>
      </w:r>
      <w:r w:rsidRPr="0015418A">
        <w:rPr>
          <w:rFonts w:cs="Cambria"/>
        </w:rPr>
        <w:t xml:space="preserve">meets the </w:t>
      </w:r>
      <w:r>
        <w:rPr>
          <w:rFonts w:cs="Cambria"/>
        </w:rPr>
        <w:t>intermediate</w:t>
      </w:r>
      <w:r w:rsidRPr="0015418A">
        <w:rPr>
          <w:rFonts w:cs="Cambria"/>
        </w:rPr>
        <w:t xml:space="preserve"> </w:t>
      </w:r>
      <w:hyperlink r:id="rId41" w:history="1">
        <w:r w:rsidRPr="00BC60E0">
          <w:rPr>
            <w:rStyle w:val="Hyperlink"/>
            <w:rFonts w:cs="Cambria"/>
          </w:rPr>
          <w:t>writing course requirement</w:t>
        </w:r>
      </w:hyperlink>
      <w:r>
        <w:rPr>
          <w:rStyle w:val="Hyperlink"/>
          <w:rFonts w:cs="Cambria"/>
          <w:color w:val="000000" w:themeColor="text1"/>
          <w:lang w:eastAsia="ja-JP"/>
        </w:rPr>
        <w:t>,</w:t>
      </w:r>
      <w:r>
        <w:rPr>
          <w:rFonts w:cs="Cambria"/>
        </w:rPr>
        <w:t xml:space="preserve"> the student </w:t>
      </w:r>
      <w:r w:rsidRPr="0015418A">
        <w:rPr>
          <w:rFonts w:cs="Cambria"/>
        </w:rPr>
        <w:t xml:space="preserve">may </w:t>
      </w:r>
      <w:r w:rsidRPr="0015418A">
        <w:rPr>
          <w:rFonts w:cs="Cambria"/>
          <w:color w:val="000000"/>
          <w:lang w:eastAsia="ja-JP"/>
        </w:rPr>
        <w:t xml:space="preserve">petition for </w:t>
      </w:r>
      <w:r>
        <w:rPr>
          <w:rFonts w:cs="Cambria"/>
          <w:color w:val="000000"/>
          <w:lang w:eastAsia="ja-JP"/>
        </w:rPr>
        <w:t>course exemption</w:t>
      </w:r>
      <w:r w:rsidRPr="0015418A">
        <w:rPr>
          <w:rFonts w:cs="Cambria"/>
          <w:color w:val="000000"/>
          <w:lang w:eastAsia="ja-JP"/>
        </w:rPr>
        <w:t xml:space="preserve"> through the Writing Committee. The student must provide the </w:t>
      </w:r>
      <w:r>
        <w:rPr>
          <w:rFonts w:cs="Cambria"/>
          <w:color w:val="000000"/>
          <w:lang w:eastAsia="ja-JP"/>
        </w:rPr>
        <w:t>materials listed below. Materials</w:t>
      </w:r>
      <w:r w:rsidRPr="0015418A">
        <w:rPr>
          <w:rFonts w:cs="Cambria"/>
          <w:color w:val="000000"/>
          <w:lang w:eastAsia="ja-JP"/>
        </w:rPr>
        <w:t xml:space="preserve"> should be submitted to the Faculty Senate Office, UH 221, </w:t>
      </w:r>
      <w:hyperlink r:id="rId42" w:history="1">
        <w:r w:rsidRPr="0015418A">
          <w:rPr>
            <w:rStyle w:val="Hyperlink"/>
            <w:rFonts w:cs="Cambria"/>
            <w:lang w:eastAsia="ja-JP"/>
          </w:rPr>
          <w:t>camie.foos@mso.umt.edu</w:t>
        </w:r>
      </w:hyperlink>
      <w:r w:rsidRPr="0015418A">
        <w:rPr>
          <w:rFonts w:cs="Cambria"/>
          <w:color w:val="000000"/>
          <w:lang w:eastAsia="ja-JP"/>
        </w:rPr>
        <w:t>, 243-5553.</w:t>
      </w:r>
    </w:p>
    <w:p w:rsidR="00560818" w:rsidRDefault="00560818" w:rsidP="00560818">
      <w:pPr>
        <w:rPr>
          <w:rFonts w:cs="Cambria"/>
          <w:color w:val="000000"/>
          <w:lang w:eastAsia="ja-JP"/>
        </w:rPr>
      </w:pPr>
    </w:p>
    <w:p w:rsidR="00560818" w:rsidRDefault="00560818" w:rsidP="00560818">
      <w:pPr>
        <w:rPr>
          <w:rFonts w:cs="Cambria"/>
          <w:b/>
          <w:color w:val="000000"/>
          <w:lang w:eastAsia="ja-JP"/>
        </w:rPr>
      </w:pPr>
      <w:r w:rsidRPr="00D64868">
        <w:rPr>
          <w:rFonts w:cs="Cambria"/>
          <w:b/>
          <w:color w:val="000000"/>
          <w:lang w:eastAsia="ja-JP"/>
        </w:rPr>
        <w:t xml:space="preserve">Students within two semesters of graduation must use the </w:t>
      </w:r>
      <w:hyperlink r:id="rId43" w:history="1">
        <w:r w:rsidRPr="00BC60E0">
          <w:rPr>
            <w:rStyle w:val="Hyperlink"/>
            <w:rFonts w:cs="Cambria"/>
            <w:b/>
            <w:lang w:eastAsia="ja-JP"/>
          </w:rPr>
          <w:t>Graduation Appeal process</w:t>
        </w:r>
      </w:hyperlink>
      <w:r w:rsidRPr="00D64868">
        <w:rPr>
          <w:rFonts w:cs="Cambria"/>
          <w:b/>
          <w:color w:val="000000"/>
          <w:lang w:eastAsia="ja-JP"/>
        </w:rPr>
        <w:t xml:space="preserve"> in place of the Writing Course </w:t>
      </w:r>
      <w:r>
        <w:rPr>
          <w:rFonts w:cs="Cambria"/>
          <w:b/>
          <w:color w:val="000000"/>
          <w:lang w:eastAsia="ja-JP"/>
        </w:rPr>
        <w:t>Exemption</w:t>
      </w:r>
      <w:r w:rsidRPr="00D64868">
        <w:rPr>
          <w:rFonts w:cs="Cambria"/>
          <w:b/>
          <w:color w:val="000000"/>
          <w:lang w:eastAsia="ja-JP"/>
        </w:rPr>
        <w:t xml:space="preserve"> Appeal process</w:t>
      </w:r>
      <w:r w:rsidRPr="00560818">
        <w:rPr>
          <w:rFonts w:cs="Cambria"/>
          <w:b/>
          <w:color w:val="000000"/>
          <w:lang w:eastAsia="ja-JP"/>
        </w:rPr>
        <w:t>.</w:t>
      </w:r>
      <w:r w:rsidRPr="00D64868">
        <w:rPr>
          <w:rFonts w:cs="Cambria"/>
          <w:b/>
          <w:color w:val="000000"/>
          <w:lang w:eastAsia="ja-JP"/>
        </w:rPr>
        <w:br/>
      </w:r>
    </w:p>
    <w:p w:rsidR="00560818" w:rsidRDefault="00560818" w:rsidP="00560818">
      <w:pPr>
        <w:rPr>
          <w:rFonts w:cs="Cambria"/>
          <w:color w:val="000000"/>
          <w:lang w:eastAsia="ja-JP"/>
        </w:rPr>
      </w:pPr>
      <w:r>
        <w:rPr>
          <w:rFonts w:cs="Cambria"/>
          <w:color w:val="000000"/>
          <w:lang w:eastAsia="ja-JP"/>
        </w:rPr>
        <w:t xml:space="preserve">Students applying for course exemption through the Writing Course </w:t>
      </w:r>
      <w:bookmarkStart w:id="0" w:name="_GoBack"/>
      <w:bookmarkEnd w:id="0"/>
      <w:r>
        <w:rPr>
          <w:rFonts w:cs="Cambria"/>
          <w:color w:val="000000"/>
          <w:lang w:eastAsia="ja-JP"/>
        </w:rPr>
        <w:t xml:space="preserve">Exemption Appeal process must submit the following materials. Incomplete applications will not be considered. </w:t>
      </w:r>
    </w:p>
    <w:p w:rsidR="00560818" w:rsidRPr="005D4CD3" w:rsidRDefault="00560818" w:rsidP="00560818">
      <w:pPr>
        <w:rPr>
          <w:rFonts w:cs="Cambria"/>
          <w:color w:val="000000"/>
          <w:lang w:eastAsia="ja-JP"/>
        </w:rPr>
      </w:pPr>
    </w:p>
    <w:p w:rsidR="00560818" w:rsidRDefault="00560818" w:rsidP="00560818">
      <w:pPr>
        <w:widowControl w:val="0"/>
        <w:numPr>
          <w:ilvl w:val="0"/>
          <w:numId w:val="30"/>
        </w:numPr>
        <w:tabs>
          <w:tab w:val="left" w:pos="220"/>
          <w:tab w:val="left" w:pos="720"/>
        </w:tabs>
        <w:autoSpaceDE w:val="0"/>
        <w:autoSpaceDN w:val="0"/>
        <w:adjustRightInd w:val="0"/>
        <w:spacing w:after="0" w:line="240" w:lineRule="auto"/>
        <w:ind w:hanging="720"/>
        <w:rPr>
          <w:rFonts w:cs="Cambria"/>
          <w:color w:val="000000"/>
          <w:lang w:eastAsia="ja-JP"/>
        </w:rPr>
      </w:pPr>
      <w:r w:rsidRPr="0015418A">
        <w:rPr>
          <w:rFonts w:cs="Cambria"/>
          <w:color w:val="000000"/>
          <w:lang w:eastAsia="ja-JP"/>
        </w:rPr>
        <w:t>A cover letter outlining the basis for the request. The cover letter should clearly articulate how the proposed course meets the outcomes of the University of Montana course. Include pertinent information such as contact information, student ID number, and how you fulfilled this requirement in a course at your previous institution.</w:t>
      </w:r>
    </w:p>
    <w:p w:rsidR="00560818" w:rsidRDefault="00560818" w:rsidP="00560818">
      <w:pPr>
        <w:widowControl w:val="0"/>
        <w:tabs>
          <w:tab w:val="left" w:pos="220"/>
          <w:tab w:val="left" w:pos="720"/>
        </w:tabs>
        <w:autoSpaceDE w:val="0"/>
        <w:autoSpaceDN w:val="0"/>
        <w:adjustRightInd w:val="0"/>
        <w:ind w:left="720"/>
        <w:rPr>
          <w:rFonts w:cs="Cambria"/>
          <w:color w:val="000000"/>
          <w:lang w:eastAsia="ja-JP"/>
        </w:rPr>
      </w:pPr>
    </w:p>
    <w:p w:rsidR="00560818" w:rsidRPr="0015418A" w:rsidRDefault="00560818" w:rsidP="00560818">
      <w:pPr>
        <w:widowControl w:val="0"/>
        <w:numPr>
          <w:ilvl w:val="0"/>
          <w:numId w:val="30"/>
        </w:numPr>
        <w:tabs>
          <w:tab w:val="left" w:pos="220"/>
          <w:tab w:val="left" w:pos="720"/>
        </w:tabs>
        <w:autoSpaceDE w:val="0"/>
        <w:autoSpaceDN w:val="0"/>
        <w:adjustRightInd w:val="0"/>
        <w:spacing w:after="0" w:line="240" w:lineRule="auto"/>
        <w:ind w:hanging="720"/>
        <w:rPr>
          <w:rFonts w:cs="Cambria"/>
          <w:color w:val="000000"/>
          <w:lang w:eastAsia="ja-JP"/>
        </w:rPr>
      </w:pPr>
      <w:r>
        <w:rPr>
          <w:rFonts w:cs="Cambria"/>
          <w:color w:val="000000"/>
          <w:lang w:eastAsia="ja-JP"/>
        </w:rPr>
        <w:t>Evidence of a C- or better in the course.</w:t>
      </w:r>
    </w:p>
    <w:p w:rsidR="00560818" w:rsidRPr="003B44DB" w:rsidRDefault="00560818" w:rsidP="00560818">
      <w:pPr>
        <w:widowControl w:val="0"/>
        <w:tabs>
          <w:tab w:val="left" w:pos="220"/>
          <w:tab w:val="left" w:pos="720"/>
        </w:tabs>
        <w:autoSpaceDE w:val="0"/>
        <w:autoSpaceDN w:val="0"/>
        <w:adjustRightInd w:val="0"/>
        <w:rPr>
          <w:rFonts w:cs="Cambria"/>
          <w:color w:val="000000"/>
          <w:lang w:eastAsia="ja-JP"/>
        </w:rPr>
      </w:pPr>
    </w:p>
    <w:p w:rsidR="00560818" w:rsidRPr="0015418A" w:rsidRDefault="00560818" w:rsidP="00560818">
      <w:pPr>
        <w:widowControl w:val="0"/>
        <w:numPr>
          <w:ilvl w:val="0"/>
          <w:numId w:val="30"/>
        </w:numPr>
        <w:tabs>
          <w:tab w:val="left" w:pos="220"/>
          <w:tab w:val="left" w:pos="720"/>
        </w:tabs>
        <w:autoSpaceDE w:val="0"/>
        <w:autoSpaceDN w:val="0"/>
        <w:adjustRightInd w:val="0"/>
        <w:spacing w:after="0" w:line="240" w:lineRule="auto"/>
        <w:ind w:hanging="720"/>
        <w:rPr>
          <w:rFonts w:cs="Cambria"/>
          <w:color w:val="000000"/>
          <w:lang w:eastAsia="ja-JP"/>
        </w:rPr>
      </w:pPr>
      <w:r w:rsidRPr="0015418A">
        <w:rPr>
          <w:rFonts w:cs="Cambria"/>
          <w:color w:val="000000"/>
          <w:lang w:eastAsia="ja-JP"/>
        </w:rPr>
        <w:t>A syllabus and course description</w:t>
      </w:r>
      <w:r>
        <w:rPr>
          <w:rFonts w:cs="Cambria"/>
          <w:color w:val="000000"/>
          <w:lang w:eastAsia="ja-JP"/>
        </w:rPr>
        <w:t>, and any available writing assignment  instructions</w:t>
      </w:r>
      <w:r w:rsidRPr="0015418A">
        <w:rPr>
          <w:rFonts w:cs="Cambria"/>
          <w:color w:val="000000"/>
          <w:lang w:eastAsia="ja-JP"/>
        </w:rPr>
        <w:t xml:space="preserve"> The </w:t>
      </w:r>
      <w:r>
        <w:rPr>
          <w:rFonts w:cs="Cambria"/>
          <w:color w:val="000000"/>
          <w:lang w:eastAsia="ja-JP"/>
        </w:rPr>
        <w:t xml:space="preserve">syllabus or assignment  </w:t>
      </w:r>
      <w:r w:rsidRPr="0015418A">
        <w:rPr>
          <w:rFonts w:cs="Cambria"/>
          <w:color w:val="000000"/>
          <w:lang w:eastAsia="ja-JP"/>
        </w:rPr>
        <w:t xml:space="preserve">must </w:t>
      </w:r>
      <w:r>
        <w:rPr>
          <w:rFonts w:cs="Cambria"/>
          <w:color w:val="000000"/>
          <w:lang w:eastAsia="ja-JP"/>
        </w:rPr>
        <w:t xml:space="preserve">show that the course required </w:t>
      </w:r>
      <w:r w:rsidRPr="0015418A">
        <w:rPr>
          <w:rFonts w:cs="Cambria"/>
          <w:color w:val="000000"/>
          <w:lang w:eastAsia="ja-JP"/>
        </w:rPr>
        <w:t xml:space="preserve">at least 16 pages of writing and </w:t>
      </w:r>
      <w:r>
        <w:rPr>
          <w:rFonts w:cs="Cambria"/>
          <w:color w:val="000000"/>
          <w:lang w:eastAsia="ja-JP"/>
        </w:rPr>
        <w:t>that 50</w:t>
      </w:r>
      <w:r w:rsidRPr="0015418A">
        <w:rPr>
          <w:rFonts w:cs="Cambria"/>
          <w:color w:val="000000"/>
          <w:lang w:eastAsia="ja-JP"/>
        </w:rPr>
        <w:t xml:space="preserve">% of the course grade </w:t>
      </w:r>
      <w:r>
        <w:rPr>
          <w:rFonts w:cs="Cambria"/>
          <w:color w:val="000000"/>
          <w:lang w:eastAsia="ja-JP"/>
        </w:rPr>
        <w:t xml:space="preserve">was based on writing </w:t>
      </w:r>
      <w:r w:rsidRPr="0015418A">
        <w:rPr>
          <w:rFonts w:cs="Cambria"/>
          <w:color w:val="000000"/>
          <w:lang w:eastAsia="ja-JP"/>
        </w:rPr>
        <w:t>performance</w:t>
      </w:r>
      <w:r>
        <w:rPr>
          <w:rFonts w:cs="Cambria"/>
          <w:color w:val="000000"/>
          <w:lang w:eastAsia="ja-JP"/>
        </w:rPr>
        <w:t>.</w:t>
      </w:r>
    </w:p>
    <w:p w:rsidR="00560818" w:rsidRPr="0015418A" w:rsidRDefault="00560818" w:rsidP="00560818">
      <w:pPr>
        <w:rPr>
          <w:rFonts w:cs="Cambria"/>
          <w:color w:val="000000"/>
          <w:sz w:val="24"/>
          <w:szCs w:val="24"/>
        </w:rPr>
      </w:pPr>
    </w:p>
    <w:p w:rsidR="00560818" w:rsidRDefault="00560818" w:rsidP="00560818">
      <w:pPr>
        <w:pStyle w:val="Heading2"/>
        <w:rPr>
          <w:lang w:eastAsia="ja-JP"/>
        </w:rPr>
      </w:pPr>
      <w:r>
        <w:rPr>
          <w:lang w:eastAsia="ja-JP"/>
        </w:rPr>
        <w:t>Evaluation</w:t>
      </w:r>
    </w:p>
    <w:p w:rsidR="00560818" w:rsidRDefault="00560818" w:rsidP="00560818">
      <w:pPr>
        <w:widowControl w:val="0"/>
        <w:tabs>
          <w:tab w:val="left" w:pos="220"/>
          <w:tab w:val="left" w:pos="720"/>
        </w:tabs>
        <w:autoSpaceDE w:val="0"/>
        <w:autoSpaceDN w:val="0"/>
        <w:adjustRightInd w:val="0"/>
        <w:rPr>
          <w:rFonts w:cs="Cambria"/>
          <w:color w:val="000000"/>
          <w:lang w:eastAsia="ja-JP"/>
        </w:rPr>
      </w:pPr>
      <w:r>
        <w:rPr>
          <w:rFonts w:cs="Cambria"/>
          <w:color w:val="000000"/>
          <w:lang w:eastAsia="ja-JP"/>
        </w:rPr>
        <w:t>Course exemption will be evaluated based on the following criteria:</w:t>
      </w:r>
    </w:p>
    <w:p w:rsidR="00560818" w:rsidRPr="003B44DB" w:rsidRDefault="00560818" w:rsidP="00560818">
      <w:pPr>
        <w:widowControl w:val="0"/>
        <w:tabs>
          <w:tab w:val="left" w:pos="220"/>
          <w:tab w:val="left" w:pos="720"/>
        </w:tabs>
        <w:autoSpaceDE w:val="0"/>
        <w:autoSpaceDN w:val="0"/>
        <w:adjustRightInd w:val="0"/>
        <w:rPr>
          <w:rFonts w:cs="Cambria"/>
          <w:color w:val="000000"/>
          <w:lang w:eastAsia="ja-JP"/>
        </w:rPr>
      </w:pPr>
    </w:p>
    <w:p w:rsidR="00560818" w:rsidRPr="004F2189" w:rsidRDefault="00560818" w:rsidP="00560818">
      <w:pPr>
        <w:pStyle w:val="ListParagraph"/>
        <w:widowControl w:val="0"/>
        <w:numPr>
          <w:ilvl w:val="0"/>
          <w:numId w:val="31"/>
        </w:numPr>
        <w:tabs>
          <w:tab w:val="left" w:pos="220"/>
          <w:tab w:val="left" w:pos="720"/>
        </w:tabs>
        <w:autoSpaceDE w:val="0"/>
        <w:autoSpaceDN w:val="0"/>
        <w:adjustRightInd w:val="0"/>
        <w:spacing w:after="0" w:line="240" w:lineRule="auto"/>
        <w:rPr>
          <w:rFonts w:cs="Cambria"/>
          <w:color w:val="000000"/>
          <w:lang w:eastAsia="ja-JP"/>
        </w:rPr>
      </w:pPr>
      <w:r>
        <w:rPr>
          <w:rFonts w:cs="Cambria"/>
          <w:color w:val="000000"/>
          <w:lang w:eastAsia="ja-JP"/>
        </w:rPr>
        <w:t xml:space="preserve"> Student earned a C- or better in the transferred course, and at least </w:t>
      </w:r>
      <w:r w:rsidRPr="004F2189">
        <w:rPr>
          <w:rFonts w:cs="Cambria"/>
          <w:color w:val="000000"/>
          <w:lang w:eastAsia="ja-JP"/>
        </w:rPr>
        <w:t xml:space="preserve">50% of the course </w:t>
      </w:r>
      <w:r w:rsidRPr="004F2189">
        <w:rPr>
          <w:rFonts w:cs="Cambria"/>
          <w:color w:val="000000"/>
          <w:lang w:eastAsia="ja-JP"/>
        </w:rPr>
        <w:lastRenderedPageBreak/>
        <w:t xml:space="preserve">grade </w:t>
      </w:r>
      <w:r>
        <w:rPr>
          <w:rFonts w:cs="Cambria"/>
          <w:color w:val="000000"/>
          <w:lang w:eastAsia="ja-JP"/>
        </w:rPr>
        <w:t>was</w:t>
      </w:r>
      <w:r w:rsidRPr="004F2189">
        <w:rPr>
          <w:rFonts w:cs="Cambria"/>
          <w:color w:val="000000"/>
          <w:lang w:eastAsia="ja-JP"/>
        </w:rPr>
        <w:t xml:space="preserve"> based on </w:t>
      </w:r>
      <w:r>
        <w:rPr>
          <w:rFonts w:cs="Cambria"/>
          <w:color w:val="000000"/>
          <w:lang w:eastAsia="ja-JP"/>
        </w:rPr>
        <w:t>writing performance</w:t>
      </w:r>
    </w:p>
    <w:p w:rsidR="00560818" w:rsidRDefault="00560818" w:rsidP="00560818">
      <w:pPr>
        <w:pStyle w:val="ListParagraph"/>
        <w:widowControl w:val="0"/>
        <w:tabs>
          <w:tab w:val="left" w:pos="220"/>
          <w:tab w:val="left" w:pos="720"/>
        </w:tabs>
        <w:autoSpaceDE w:val="0"/>
        <w:autoSpaceDN w:val="0"/>
        <w:adjustRightInd w:val="0"/>
        <w:ind w:left="1080"/>
        <w:rPr>
          <w:rFonts w:cs="Cambria"/>
          <w:color w:val="000000"/>
          <w:lang w:eastAsia="ja-JP"/>
        </w:rPr>
      </w:pPr>
    </w:p>
    <w:p w:rsidR="00560818" w:rsidRPr="00D64868" w:rsidRDefault="00560818" w:rsidP="00560818">
      <w:pPr>
        <w:widowControl w:val="0"/>
        <w:tabs>
          <w:tab w:val="left" w:pos="220"/>
          <w:tab w:val="left" w:pos="720"/>
        </w:tabs>
        <w:autoSpaceDE w:val="0"/>
        <w:autoSpaceDN w:val="0"/>
        <w:adjustRightInd w:val="0"/>
        <w:rPr>
          <w:rFonts w:cs="Cambria"/>
          <w:color w:val="000000"/>
          <w:lang w:eastAsia="ja-JP"/>
        </w:rPr>
      </w:pPr>
      <w:r>
        <w:rPr>
          <w:rFonts w:cs="Cambria"/>
          <w:color w:val="000000"/>
          <w:lang w:eastAsia="ja-JP"/>
        </w:rPr>
        <w:t>The transferred course required the student to:</w:t>
      </w:r>
    </w:p>
    <w:p w:rsidR="00560818" w:rsidRPr="0015418A" w:rsidRDefault="00560818" w:rsidP="00560818">
      <w:pPr>
        <w:pStyle w:val="ListParagraph"/>
        <w:widowControl w:val="0"/>
        <w:numPr>
          <w:ilvl w:val="0"/>
          <w:numId w:val="31"/>
        </w:numPr>
        <w:tabs>
          <w:tab w:val="left" w:pos="220"/>
          <w:tab w:val="left" w:pos="720"/>
        </w:tabs>
        <w:autoSpaceDE w:val="0"/>
        <w:autoSpaceDN w:val="0"/>
        <w:adjustRightInd w:val="0"/>
        <w:spacing w:after="0" w:line="240" w:lineRule="auto"/>
        <w:rPr>
          <w:rFonts w:cs="Cambria"/>
          <w:color w:val="000000"/>
          <w:lang w:eastAsia="ja-JP"/>
        </w:rPr>
      </w:pPr>
      <w:r w:rsidRPr="0015418A">
        <w:rPr>
          <w:rFonts w:cs="Cambria"/>
          <w:color w:val="000000"/>
          <w:lang w:eastAsia="ja-JP"/>
        </w:rPr>
        <w:t>Use writing to learn and synthesize new concepts</w:t>
      </w:r>
    </w:p>
    <w:p w:rsidR="00560818" w:rsidRPr="0015418A" w:rsidRDefault="00560818" w:rsidP="00560818">
      <w:pPr>
        <w:pStyle w:val="ListParagraph"/>
        <w:widowControl w:val="0"/>
        <w:numPr>
          <w:ilvl w:val="0"/>
          <w:numId w:val="31"/>
        </w:numPr>
        <w:tabs>
          <w:tab w:val="left" w:pos="0"/>
          <w:tab w:val="left" w:pos="220"/>
        </w:tabs>
        <w:autoSpaceDE w:val="0"/>
        <w:autoSpaceDN w:val="0"/>
        <w:adjustRightInd w:val="0"/>
        <w:spacing w:after="0" w:line="240" w:lineRule="auto"/>
        <w:rPr>
          <w:rFonts w:cs="Cambria"/>
          <w:color w:val="000000"/>
          <w:lang w:eastAsia="ja-JP"/>
        </w:rPr>
      </w:pPr>
      <w:r>
        <w:rPr>
          <w:rFonts w:cs="Cambria"/>
          <w:color w:val="000000"/>
          <w:lang w:eastAsia="ja-JP"/>
        </w:rPr>
        <w:t>F</w:t>
      </w:r>
      <w:r w:rsidRPr="0015418A">
        <w:rPr>
          <w:rFonts w:cs="Cambria"/>
          <w:color w:val="000000"/>
          <w:lang w:eastAsia="ja-JP"/>
        </w:rPr>
        <w:t>ormulate and express written ideas that are developed, logical, and organized</w:t>
      </w:r>
    </w:p>
    <w:p w:rsidR="00560818" w:rsidRPr="0015418A" w:rsidRDefault="00560818" w:rsidP="00560818">
      <w:pPr>
        <w:pStyle w:val="ListParagraph"/>
        <w:widowControl w:val="0"/>
        <w:numPr>
          <w:ilvl w:val="0"/>
          <w:numId w:val="31"/>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Compose written texts that are appropriate for a given audience, purpose, and context</w:t>
      </w:r>
    </w:p>
    <w:p w:rsidR="00560818" w:rsidRPr="0015418A" w:rsidRDefault="00560818" w:rsidP="00560818">
      <w:pPr>
        <w:pStyle w:val="ListParagraph"/>
        <w:widowControl w:val="0"/>
        <w:numPr>
          <w:ilvl w:val="0"/>
          <w:numId w:val="31"/>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Revise written work based on comments from the instructor</w:t>
      </w:r>
    </w:p>
    <w:p w:rsidR="00560818" w:rsidRPr="0015418A" w:rsidRDefault="00560818" w:rsidP="00560818">
      <w:pPr>
        <w:pStyle w:val="ListParagraph"/>
        <w:widowControl w:val="0"/>
        <w:numPr>
          <w:ilvl w:val="0"/>
          <w:numId w:val="31"/>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Find, evaluate, and use information effectively and ethically</w:t>
      </w:r>
    </w:p>
    <w:p w:rsidR="00560818" w:rsidRPr="0015418A" w:rsidRDefault="00560818" w:rsidP="00560818">
      <w:pPr>
        <w:pStyle w:val="ListParagraph"/>
        <w:widowControl w:val="0"/>
        <w:numPr>
          <w:ilvl w:val="0"/>
          <w:numId w:val="31"/>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Begin to use discipline-specific writing conventions</w:t>
      </w:r>
    </w:p>
    <w:p w:rsidR="00560818" w:rsidRDefault="00560818" w:rsidP="00560818">
      <w:pPr>
        <w:pStyle w:val="ListParagraph"/>
        <w:widowControl w:val="0"/>
        <w:numPr>
          <w:ilvl w:val="0"/>
          <w:numId w:val="31"/>
        </w:numPr>
        <w:tabs>
          <w:tab w:val="left" w:pos="0"/>
          <w:tab w:val="left" w:pos="220"/>
        </w:tabs>
        <w:autoSpaceDE w:val="0"/>
        <w:autoSpaceDN w:val="0"/>
        <w:adjustRightInd w:val="0"/>
        <w:spacing w:after="0" w:line="240" w:lineRule="auto"/>
        <w:rPr>
          <w:rFonts w:cs="Cambria"/>
          <w:color w:val="000000"/>
          <w:lang w:eastAsia="ja-JP"/>
        </w:rPr>
      </w:pPr>
      <w:r w:rsidRPr="0015418A">
        <w:rPr>
          <w:rFonts w:cs="Cambria"/>
          <w:color w:val="000000"/>
          <w:lang w:eastAsia="ja-JP"/>
        </w:rPr>
        <w:t>Demonstrate appr</w:t>
      </w:r>
      <w:r>
        <w:rPr>
          <w:rFonts w:cs="Cambria"/>
          <w:color w:val="000000"/>
          <w:lang w:eastAsia="ja-JP"/>
        </w:rPr>
        <w:t>opriate English language usage</w:t>
      </w:r>
    </w:p>
    <w:p w:rsidR="00560818" w:rsidRDefault="00560818" w:rsidP="00560818">
      <w:pPr>
        <w:pStyle w:val="ListParagraph"/>
        <w:widowControl w:val="0"/>
        <w:numPr>
          <w:ilvl w:val="0"/>
          <w:numId w:val="31"/>
        </w:numPr>
        <w:tabs>
          <w:tab w:val="left" w:pos="0"/>
          <w:tab w:val="left" w:pos="220"/>
        </w:tabs>
        <w:autoSpaceDE w:val="0"/>
        <w:autoSpaceDN w:val="0"/>
        <w:adjustRightInd w:val="0"/>
        <w:spacing w:after="0" w:line="240" w:lineRule="auto"/>
        <w:rPr>
          <w:rFonts w:cs="Cambria"/>
          <w:color w:val="000000"/>
          <w:lang w:eastAsia="ja-JP"/>
        </w:rPr>
      </w:pPr>
      <w:r>
        <w:rPr>
          <w:rFonts w:cs="Cambria"/>
          <w:color w:val="000000"/>
          <w:lang w:eastAsia="ja-JP"/>
        </w:rPr>
        <w:t>Produce</w:t>
      </w:r>
      <w:r w:rsidRPr="0015418A">
        <w:rPr>
          <w:rFonts w:cs="Cambria"/>
          <w:color w:val="000000"/>
          <w:lang w:eastAsia="ja-JP"/>
        </w:rPr>
        <w:t xml:space="preserve"> at least 16 pages of writing</w:t>
      </w:r>
    </w:p>
    <w:p w:rsidR="00560818" w:rsidRPr="0015418A" w:rsidRDefault="00560818" w:rsidP="00560818">
      <w:pPr>
        <w:pStyle w:val="Heading2"/>
        <w:rPr>
          <w:rFonts w:asciiTheme="minorHAnsi" w:hAnsiTheme="minorHAnsi"/>
        </w:rPr>
      </w:pPr>
      <w:r w:rsidRPr="0015418A">
        <w:t>Review Procedure</w:t>
      </w:r>
    </w:p>
    <w:p w:rsidR="00560818" w:rsidRDefault="00560818" w:rsidP="00560818">
      <w:pPr>
        <w:spacing w:before="100" w:beforeAutospacing="1" w:after="100" w:afterAutospacing="1"/>
      </w:pPr>
      <w:r w:rsidRPr="0015418A">
        <w:t xml:space="preserve">Petitions are reviewed by the Writing Committee. </w:t>
      </w:r>
      <w:r w:rsidRPr="00D64868">
        <w:rPr>
          <w:rFonts w:cs="Cambria"/>
          <w:color w:val="000000"/>
          <w:lang w:eastAsia="ja-JP"/>
        </w:rPr>
        <w:t xml:space="preserve">Students within two semesters of graduation must use the </w:t>
      </w:r>
      <w:hyperlink r:id="rId44" w:history="1">
        <w:r w:rsidRPr="00BC60E0">
          <w:rPr>
            <w:rStyle w:val="Hyperlink"/>
            <w:rFonts w:cs="Cambria"/>
            <w:lang w:eastAsia="ja-JP"/>
          </w:rPr>
          <w:t>Graduation Appeal</w:t>
        </w:r>
      </w:hyperlink>
      <w:r w:rsidRPr="00D64868">
        <w:rPr>
          <w:rFonts w:cs="Cambria"/>
          <w:color w:val="000000"/>
          <w:lang w:eastAsia="ja-JP"/>
        </w:rPr>
        <w:t xml:space="preserve"> process in place of the Writing Course </w:t>
      </w:r>
      <w:r>
        <w:rPr>
          <w:rFonts w:cs="Cambria"/>
          <w:color w:val="000000"/>
          <w:lang w:eastAsia="ja-JP"/>
        </w:rPr>
        <w:t>Exemption</w:t>
      </w:r>
      <w:r w:rsidRPr="00D64868">
        <w:rPr>
          <w:rFonts w:cs="Cambria"/>
          <w:color w:val="000000"/>
          <w:lang w:eastAsia="ja-JP"/>
        </w:rPr>
        <w:t xml:space="preserve"> Appeal process</w:t>
      </w:r>
      <w:r w:rsidRPr="00560818">
        <w:rPr>
          <w:rFonts w:cs="Cambria"/>
          <w:color w:val="000000"/>
          <w:lang w:eastAsia="ja-JP"/>
        </w:rPr>
        <w:t>.</w:t>
      </w:r>
      <w:r>
        <w:rPr>
          <w:rFonts w:cs="Cambria"/>
          <w:color w:val="000000"/>
          <w:lang w:eastAsia="ja-JP"/>
        </w:rPr>
        <w:t xml:space="preserve"> </w:t>
      </w:r>
      <w:r w:rsidRPr="0015418A">
        <w:t>Notice of the decision is sent to the student’s University of Monta</w:t>
      </w:r>
      <w:r>
        <w:t>na email address.</w:t>
      </w:r>
    </w:p>
    <w:p w:rsidR="00560818" w:rsidRPr="0015418A" w:rsidRDefault="00560818" w:rsidP="00560818">
      <w:pPr>
        <w:spacing w:before="100" w:beforeAutospacing="1" w:after="100" w:afterAutospacing="1"/>
      </w:pPr>
    </w:p>
    <w:p w:rsidR="002E78C3" w:rsidRDefault="002E78C3"/>
    <w:sectPr w:rsidR="002E78C3" w:rsidSect="006E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42415"/>
    <w:multiLevelType w:val="hybridMultilevel"/>
    <w:tmpl w:val="591AD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11"/>
  </w:num>
  <w:num w:numId="8">
    <w:abstractNumId w:val="12"/>
  </w:num>
  <w:num w:numId="9">
    <w:abstractNumId w:val="22"/>
  </w:num>
  <w:num w:numId="10">
    <w:abstractNumId w:val="10"/>
  </w:num>
  <w:num w:numId="11">
    <w:abstractNumId w:val="28"/>
  </w:num>
  <w:num w:numId="12">
    <w:abstractNumId w:val="13"/>
  </w:num>
  <w:num w:numId="13">
    <w:abstractNumId w:val="26"/>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1"/>
  </w:num>
  <w:num w:numId="18">
    <w:abstractNumId w:val="6"/>
  </w:num>
  <w:num w:numId="19">
    <w:abstractNumId w:val="20"/>
  </w:num>
  <w:num w:numId="20">
    <w:abstractNumId w:val="27"/>
  </w:num>
  <w:num w:numId="21">
    <w:abstractNumId w:val="4"/>
  </w:num>
  <w:num w:numId="22">
    <w:abstractNumId w:val="7"/>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4"/>
  </w:num>
  <w:num w:numId="27">
    <w:abstractNumId w:val="2"/>
  </w:num>
  <w:num w:numId="28">
    <w:abstractNumId w:val="25"/>
  </w:num>
  <w:num w:numId="29">
    <w:abstractNumId w:val="23"/>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3312"/>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DCB"/>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28A8"/>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4F58"/>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582A"/>
    <w:rsid w:val="00FC65E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FD97-A9CD-4E77-9353-3608B37E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t.edu/winapps/adminfin/eCurr/CourseForm/Index/1523" TargetMode="External"/><Relationship Id="rId18" Type="http://schemas.openxmlformats.org/officeDocument/2006/relationships/hyperlink" Target="https://www.umt.edu/winapps/adminfin/eCurr/CourseForm/Index/1521" TargetMode="External"/><Relationship Id="rId26" Type="http://schemas.openxmlformats.org/officeDocument/2006/relationships/hyperlink" Target="https://www.umt.edu/winapps/adminfin/eCurr/CourseForm/Index/1546" TargetMode="External"/><Relationship Id="rId39" Type="http://schemas.openxmlformats.org/officeDocument/2006/relationships/hyperlink" Target="https://www.umt.edu/winapps/adminfin/eCurr/CourseForm/Index/1385" TargetMode="External"/><Relationship Id="rId21" Type="http://schemas.openxmlformats.org/officeDocument/2006/relationships/hyperlink" Target="https://www.umt.edu/winapps/adminfin/eCurr/CourseForm/Index/1307" TargetMode="External"/><Relationship Id="rId34" Type="http://schemas.openxmlformats.org/officeDocument/2006/relationships/hyperlink" Target="https://www.umt.edu/winapps/adminfin/eCurr/CourseForm/Index/1558" TargetMode="External"/><Relationship Id="rId42" Type="http://schemas.openxmlformats.org/officeDocument/2006/relationships/hyperlink" Target="mailto:camie.foos@mso.umt.edu" TargetMode="External"/><Relationship Id="rId7" Type="http://schemas.openxmlformats.org/officeDocument/2006/relationships/hyperlink" Target="https://www.umt.edu/winapps/adminfin/eCurr/CourseForm/Index/1347" TargetMode="External"/><Relationship Id="rId2" Type="http://schemas.openxmlformats.org/officeDocument/2006/relationships/styles" Target="styles.xml"/><Relationship Id="rId16" Type="http://schemas.openxmlformats.org/officeDocument/2006/relationships/hyperlink" Target="https://www.umt.edu/winapps/adminfin/eCurr/CourseForm/Index/1381" TargetMode="External"/><Relationship Id="rId29" Type="http://schemas.openxmlformats.org/officeDocument/2006/relationships/hyperlink" Target="https://www.umt.edu/winapps/adminfin/eCurr/CourseForm/Index/1530" TargetMode="External"/><Relationship Id="rId1" Type="http://schemas.openxmlformats.org/officeDocument/2006/relationships/numbering" Target="numbering.xml"/><Relationship Id="rId6" Type="http://schemas.openxmlformats.org/officeDocument/2006/relationships/hyperlink" Target="https://www.umt.edu/winapps/adminfin/eCurr/CourseForm/Index/1519" TargetMode="External"/><Relationship Id="rId11" Type="http://schemas.openxmlformats.org/officeDocument/2006/relationships/hyperlink" Target="https://www.umt.edu/winapps/adminfin/eCurr/CourseForm/Index/1386" TargetMode="External"/><Relationship Id="rId24" Type="http://schemas.openxmlformats.org/officeDocument/2006/relationships/hyperlink" Target="https://www.umt.edu/winapps/adminfin/eCurr/CourseForm/Index/1536" TargetMode="External"/><Relationship Id="rId32" Type="http://schemas.openxmlformats.org/officeDocument/2006/relationships/hyperlink" Target="https://www.umt.edu/winapps/adminfin/eCurr/CourseForm/Index/1286" TargetMode="External"/><Relationship Id="rId37" Type="http://schemas.openxmlformats.org/officeDocument/2006/relationships/hyperlink" Target="https://www.umt.edu/winapps/adminfin/eCurr/CourseForm/Index/1539" TargetMode="External"/><Relationship Id="rId40" Type="http://schemas.openxmlformats.org/officeDocument/2006/relationships/hyperlink" Target="https://www.umt.edu/winapps/adminfin/eCurr/CourseForm/Index/1384" TargetMode="External"/><Relationship Id="rId45" Type="http://schemas.openxmlformats.org/officeDocument/2006/relationships/fontTable" Target="fontTable.xml"/><Relationship Id="rId5" Type="http://schemas.openxmlformats.org/officeDocument/2006/relationships/hyperlink" Target="https://www.umt.edu/winapps/adminfin/eCurr/CourseForm/Index/1517" TargetMode="External"/><Relationship Id="rId15" Type="http://schemas.openxmlformats.org/officeDocument/2006/relationships/hyperlink" Target="https://www.umt.edu/winapps/adminfin/eCurr/CourseForm/Index/1383" TargetMode="External"/><Relationship Id="rId23" Type="http://schemas.openxmlformats.org/officeDocument/2006/relationships/hyperlink" Target="https://www.umt.edu/winapps/adminfin/eCurr/CourseForm/Index/1401" TargetMode="External"/><Relationship Id="rId28" Type="http://schemas.openxmlformats.org/officeDocument/2006/relationships/hyperlink" Target="https://www.umt.edu/winapps/adminfin/eCurr/CourseForm/Index/1548" TargetMode="External"/><Relationship Id="rId36" Type="http://schemas.openxmlformats.org/officeDocument/2006/relationships/hyperlink" Target="https://www.umt.edu/winapps/adminfin/eCurr/CourseForm/Index/1372" TargetMode="External"/><Relationship Id="rId10" Type="http://schemas.openxmlformats.org/officeDocument/2006/relationships/hyperlink" Target="https://www.umt.edu/winapps/adminfin/eCurr/CourseForm/Index/1316" TargetMode="External"/><Relationship Id="rId19" Type="http://schemas.openxmlformats.org/officeDocument/2006/relationships/hyperlink" Target="https://www.umt.edu/winapps/adminfin/eCurr/CourseForm/Index/1308" TargetMode="External"/><Relationship Id="rId31" Type="http://schemas.openxmlformats.org/officeDocument/2006/relationships/hyperlink" Target="https://www.umt.edu/winapps/adminfin/eCurr/CourseForm/Index/1531" TargetMode="External"/><Relationship Id="rId44" Type="http://schemas.openxmlformats.org/officeDocument/2006/relationships/hyperlink" Target="http://www.umt.edu/facultysenate/procedures/ASCRC_200/203%2050Grad%20Appeals%20Procedure5-5-16.docx" TargetMode="External"/><Relationship Id="rId4" Type="http://schemas.openxmlformats.org/officeDocument/2006/relationships/webSettings" Target="webSettings.xml"/><Relationship Id="rId9" Type="http://schemas.openxmlformats.org/officeDocument/2006/relationships/hyperlink" Target="https://www.umt.edu/winapps/adminfin/eCurr/CourseForm/Index/1314" TargetMode="External"/><Relationship Id="rId14" Type="http://schemas.openxmlformats.org/officeDocument/2006/relationships/hyperlink" Target="https://www.umt.edu/winapps/adminfin/eCurr/CourseForm/Index/1320" TargetMode="External"/><Relationship Id="rId22" Type="http://schemas.openxmlformats.org/officeDocument/2006/relationships/hyperlink" Target="https://www.umt.edu/winapps/adminfin/eCurr/CourseForm/Index/1444" TargetMode="External"/><Relationship Id="rId27" Type="http://schemas.openxmlformats.org/officeDocument/2006/relationships/hyperlink" Target="https://www.umt.edu/winapps/adminfin/eCurr/CourseForm/Index/1545" TargetMode="External"/><Relationship Id="rId30" Type="http://schemas.openxmlformats.org/officeDocument/2006/relationships/hyperlink" Target="https://www.umt.edu/winapps/adminfin/eCurr/CourseForm/Index/1532" TargetMode="External"/><Relationship Id="rId35" Type="http://schemas.openxmlformats.org/officeDocument/2006/relationships/hyperlink" Target="https://www.umt.edu/winapps/adminfin/eCurr/CourseForm/Index/1576" TargetMode="External"/><Relationship Id="rId43" Type="http://schemas.openxmlformats.org/officeDocument/2006/relationships/hyperlink" Target="http://www.umt.edu/facultysenate/procedures/ASCRC_200/203%2050Grad%20Appeals%20Procedure5-5-16.docx" TargetMode="External"/><Relationship Id="rId8" Type="http://schemas.openxmlformats.org/officeDocument/2006/relationships/hyperlink" Target="https://www.umt.edu/winapps/adminfin/eCurr/CourseForm/Index/1315" TargetMode="External"/><Relationship Id="rId3" Type="http://schemas.openxmlformats.org/officeDocument/2006/relationships/settings" Target="settings.xml"/><Relationship Id="rId12" Type="http://schemas.openxmlformats.org/officeDocument/2006/relationships/hyperlink" Target="https://www.umt.edu/winapps/adminfin/eCurr/CourseForm/Index/761" TargetMode="External"/><Relationship Id="rId17" Type="http://schemas.openxmlformats.org/officeDocument/2006/relationships/hyperlink" Target="https://www.umt.edu/winapps/adminfin/eCurr/CourseForm/Index/1493" TargetMode="External"/><Relationship Id="rId25" Type="http://schemas.openxmlformats.org/officeDocument/2006/relationships/hyperlink" Target="https://www.umt.edu/winapps/adminfin/eCurr/CourseForm/Index/1537" TargetMode="External"/><Relationship Id="rId33" Type="http://schemas.openxmlformats.org/officeDocument/2006/relationships/hyperlink" Target="https://www.umt.edu/winapps/adminfin/eCurr/CourseForm/Index/1581" TargetMode="External"/><Relationship Id="rId38" Type="http://schemas.openxmlformats.org/officeDocument/2006/relationships/hyperlink" Target="https://www.umt.edu/winapps/adminfin/eCurr/CourseForm/Index/1574" TargetMode="External"/><Relationship Id="rId46" Type="http://schemas.openxmlformats.org/officeDocument/2006/relationships/theme" Target="theme/theme1.xml"/><Relationship Id="rId20" Type="http://schemas.openxmlformats.org/officeDocument/2006/relationships/hyperlink" Target="https://www.umt.edu/winapps/adminfin/eCurr/CourseForm/Index/1306" TargetMode="External"/><Relationship Id="rId41" Type="http://schemas.openxmlformats.org/officeDocument/2006/relationships/hyperlink" Target="http://www.umt.edu/facultysenate/committees/writing_committee/guidelin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chpbsitadmin</cp:lastModifiedBy>
  <cp:revision>4</cp:revision>
  <dcterms:created xsi:type="dcterms:W3CDTF">2016-11-16T18:24:00Z</dcterms:created>
  <dcterms:modified xsi:type="dcterms:W3CDTF">2016-11-22T22:18:00Z</dcterms:modified>
</cp:coreProperties>
</file>