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67" w:rsidRPr="002F2367" w:rsidRDefault="00D65A76" w:rsidP="002F2367">
      <w:pPr>
        <w:pStyle w:val="Heading1"/>
      </w:pPr>
      <w:bookmarkStart w:id="0" w:name="_Hlk18486212"/>
      <w:bookmarkStart w:id="1" w:name="_GoBack"/>
      <w:r>
        <w:t xml:space="preserve">ECOS Agenda, </w:t>
      </w:r>
      <w:r w:rsidR="00A427ED">
        <w:t xml:space="preserve">February </w:t>
      </w:r>
      <w:r w:rsidR="00CA5D16">
        <w:t>20</w:t>
      </w:r>
      <w:r>
        <w:t>, 20</w:t>
      </w:r>
      <w:r w:rsidR="00856121">
        <w:t>20</w:t>
      </w:r>
      <w:r>
        <w:t xml:space="preserve"> </w:t>
      </w:r>
      <w:r w:rsidR="00E3744C">
        <w:t>3:</w:t>
      </w:r>
      <w:r w:rsidR="00E065AA">
        <w:t>0</w:t>
      </w:r>
      <w:r w:rsidR="00E3744C">
        <w:t>0 p.m.</w:t>
      </w:r>
      <w:r>
        <w:t xml:space="preserve"> UH 221</w:t>
      </w:r>
    </w:p>
    <w:p w:rsidR="00D65A76" w:rsidRDefault="00D65A76" w:rsidP="00D65A76"/>
    <w:p w:rsidR="00371191" w:rsidRDefault="00371191" w:rsidP="00371191">
      <w:pPr>
        <w:pStyle w:val="Heading2"/>
      </w:pPr>
      <w:r>
        <w:t>Call to Order</w:t>
      </w:r>
    </w:p>
    <w:p w:rsidR="00371191" w:rsidRDefault="00856121" w:rsidP="00F3652A">
      <w:pPr>
        <w:pStyle w:val="ListParagraph"/>
        <w:numPr>
          <w:ilvl w:val="0"/>
          <w:numId w:val="2"/>
        </w:numPr>
      </w:pPr>
      <w:r>
        <w:t>Approve</w:t>
      </w:r>
      <w:r w:rsidR="000338B7">
        <w:t xml:space="preserve"> </w:t>
      </w:r>
      <w:hyperlink r:id="rId6" w:history="1">
        <w:r w:rsidR="00731B46" w:rsidRPr="00F843C0">
          <w:rPr>
            <w:rStyle w:val="Hyperlink"/>
          </w:rPr>
          <w:t>2/</w:t>
        </w:r>
        <w:r w:rsidR="00CA5D16" w:rsidRPr="00F843C0">
          <w:rPr>
            <w:rStyle w:val="Hyperlink"/>
          </w:rPr>
          <w:t>13</w:t>
        </w:r>
        <w:r w:rsidR="00731B46" w:rsidRPr="00F843C0">
          <w:rPr>
            <w:rStyle w:val="Hyperlink"/>
          </w:rPr>
          <w:t>/20</w:t>
        </w:r>
      </w:hyperlink>
      <w:r w:rsidR="00B51F6B">
        <w:t xml:space="preserve"> </w:t>
      </w:r>
      <w:r w:rsidR="000338B7">
        <w:t>minutes</w:t>
      </w:r>
      <w:r w:rsidR="00B51F6B">
        <w:t>.</w:t>
      </w:r>
      <w:r w:rsidR="000338B7">
        <w:t xml:space="preserve"> </w:t>
      </w:r>
    </w:p>
    <w:p w:rsidR="00930BF5" w:rsidRDefault="00930BF5" w:rsidP="00930BF5">
      <w:pPr>
        <w:pStyle w:val="Heading2"/>
      </w:pPr>
      <w:r>
        <w:t xml:space="preserve">Public Comment </w:t>
      </w:r>
      <w:r w:rsidR="00856121">
        <w:br/>
      </w:r>
    </w:p>
    <w:p w:rsidR="00AF0E19" w:rsidRDefault="007A640C" w:rsidP="004236D5">
      <w:pPr>
        <w:pStyle w:val="Heading2"/>
      </w:pPr>
      <w:r>
        <w:t>Communication</w:t>
      </w:r>
    </w:p>
    <w:p w:rsidR="00F843C0" w:rsidRDefault="00F843C0" w:rsidP="00F843C0">
      <w:pPr>
        <w:pStyle w:val="ListParagraph"/>
        <w:numPr>
          <w:ilvl w:val="0"/>
          <w:numId w:val="1"/>
        </w:numPr>
      </w:pPr>
      <w:proofErr w:type="spellStart"/>
      <w:r>
        <w:t>CourseDog</w:t>
      </w:r>
      <w:proofErr w:type="spellEnd"/>
      <w:r>
        <w:t xml:space="preserve"> open forums Friday, 9/21 @ 9:00 a.m. and 11:00 a.m. in GBB 123</w:t>
      </w:r>
    </w:p>
    <w:p w:rsidR="0032498F" w:rsidRDefault="0032498F" w:rsidP="00F3652A">
      <w:pPr>
        <w:pStyle w:val="ListParagraph"/>
        <w:numPr>
          <w:ilvl w:val="0"/>
          <w:numId w:val="1"/>
        </w:numPr>
      </w:pPr>
      <w:r>
        <w:t>Chair</w:t>
      </w:r>
      <w:r w:rsidR="0029520C">
        <w:t>’s</w:t>
      </w:r>
      <w:r>
        <w:t xml:space="preserve"> report</w:t>
      </w:r>
    </w:p>
    <w:p w:rsidR="00856121" w:rsidRDefault="00856121" w:rsidP="00856121">
      <w:pPr>
        <w:pStyle w:val="ListParagraph"/>
        <w:ind w:left="1440"/>
      </w:pPr>
    </w:p>
    <w:p w:rsidR="00930BF5" w:rsidRDefault="007A640C" w:rsidP="00930BF5">
      <w:pPr>
        <w:pStyle w:val="Heading2"/>
      </w:pPr>
      <w:r>
        <w:t>Business items</w:t>
      </w:r>
      <w:r w:rsidR="00E3744C">
        <w:t>:</w:t>
      </w:r>
      <w:bookmarkStart w:id="2" w:name="_Hlk20904061"/>
      <w:bookmarkStart w:id="3" w:name="_Hlk22644700"/>
      <w:r w:rsidR="00930BF5">
        <w:t xml:space="preserve">      </w:t>
      </w:r>
    </w:p>
    <w:p w:rsidR="0058715F" w:rsidRDefault="0058715F" w:rsidP="00F3652A">
      <w:pPr>
        <w:pStyle w:val="ListParagraph"/>
        <w:numPr>
          <w:ilvl w:val="0"/>
          <w:numId w:val="3"/>
        </w:numPr>
      </w:pPr>
      <w:r>
        <w:t xml:space="preserve">Follow-up: </w:t>
      </w:r>
      <w:hyperlink r:id="rId7" w:history="1">
        <w:r w:rsidRPr="00CA6153">
          <w:rPr>
            <w:rStyle w:val="Hyperlink"/>
          </w:rPr>
          <w:t>Charge for Micro-credential Taskforce</w:t>
        </w:r>
      </w:hyperlink>
    </w:p>
    <w:p w:rsidR="00CA5D16" w:rsidRDefault="00CA5D16" w:rsidP="00F3652A">
      <w:pPr>
        <w:pStyle w:val="ListParagraph"/>
        <w:numPr>
          <w:ilvl w:val="0"/>
          <w:numId w:val="3"/>
        </w:numPr>
      </w:pPr>
      <w:r>
        <w:t>Approve Faculty Senate Agenda</w:t>
      </w:r>
    </w:p>
    <w:p w:rsidR="00A427ED" w:rsidRDefault="00F23067" w:rsidP="00CA5D16">
      <w:pPr>
        <w:pStyle w:val="ListParagraph"/>
        <w:numPr>
          <w:ilvl w:val="0"/>
          <w:numId w:val="3"/>
        </w:numPr>
        <w:spacing w:after="0"/>
      </w:pPr>
      <w:r>
        <w:t xml:space="preserve">Follow-up: </w:t>
      </w:r>
      <w:r w:rsidR="00CA5D16">
        <w:t xml:space="preserve">review and edits </w:t>
      </w:r>
      <w:r w:rsidR="00BC7973">
        <w:t>to</w:t>
      </w:r>
      <w:r w:rsidR="00CA5D16">
        <w:t xml:space="preserve"> </w:t>
      </w:r>
      <w:hyperlink r:id="rId8" w:history="1">
        <w:r w:rsidR="00CA5D16" w:rsidRPr="00CA6153">
          <w:rPr>
            <w:rStyle w:val="Hyperlink"/>
          </w:rPr>
          <w:t>Policy 102.40 Evaluation of the Administration</w:t>
        </w:r>
      </w:hyperlink>
    </w:p>
    <w:p w:rsidR="00A427ED" w:rsidRPr="00A427ED" w:rsidRDefault="00A427ED" w:rsidP="00CA5D16">
      <w:pPr>
        <w:shd w:val="clear" w:color="auto" w:fill="FFFFFF"/>
        <w:spacing w:before="100" w:beforeAutospacing="1" w:after="0" w:line="240" w:lineRule="auto"/>
        <w:ind w:left="1080"/>
        <w:rPr>
          <w:rFonts w:cstheme="minorHAnsi"/>
          <w:color w:val="222222"/>
        </w:rPr>
      </w:pPr>
    </w:p>
    <w:p w:rsidR="00D64D70" w:rsidRPr="005133EA" w:rsidRDefault="00D64D70" w:rsidP="00D64D70">
      <w:pPr>
        <w:pStyle w:val="Heading3"/>
      </w:pPr>
      <w:bookmarkStart w:id="4" w:name="3pmgbb123"/>
      <w:bookmarkEnd w:id="0"/>
      <w:bookmarkEnd w:id="2"/>
      <w:bookmarkEnd w:id="3"/>
      <w:bookmarkEnd w:id="4"/>
      <w:r w:rsidRPr="005133EA">
        <w:t>Good and Welfare</w:t>
      </w:r>
    </w:p>
    <w:p w:rsidR="00D64D70" w:rsidRPr="005133EA" w:rsidRDefault="00D64D70" w:rsidP="00360E3D">
      <w:pPr>
        <w:pStyle w:val="Heading2"/>
      </w:pPr>
      <w:r w:rsidRPr="005133EA">
        <w:t>Adjournment</w:t>
      </w:r>
    </w:p>
    <w:p w:rsidR="00856121" w:rsidRDefault="00856121" w:rsidP="00360E3D">
      <w:pPr>
        <w:pStyle w:val="Heading2"/>
      </w:pPr>
    </w:p>
    <w:p w:rsidR="00CA5D16" w:rsidRDefault="00F843C0" w:rsidP="00F843C0">
      <w:pPr>
        <w:pStyle w:val="Heading2"/>
      </w:pPr>
      <w:r>
        <w:t xml:space="preserve">Faculty Senate Agenda </w:t>
      </w:r>
    </w:p>
    <w:p w:rsidR="00CA5D16" w:rsidRDefault="00CA5D16" w:rsidP="00F843C0">
      <w:pPr>
        <w:pStyle w:val="Heading3"/>
      </w:pPr>
      <w:r>
        <w:t>Call to Order</w:t>
      </w:r>
    </w:p>
    <w:p w:rsidR="00CA5D16" w:rsidRDefault="00CA5D16" w:rsidP="00CA5D16">
      <w:pPr>
        <w:pStyle w:val="ListParagraph"/>
        <w:numPr>
          <w:ilvl w:val="0"/>
          <w:numId w:val="9"/>
        </w:numPr>
      </w:pPr>
      <w:r>
        <w:t>Roll Call</w:t>
      </w:r>
    </w:p>
    <w:p w:rsidR="00CA5D16" w:rsidRPr="0074239C" w:rsidRDefault="00CA5D16" w:rsidP="00CA5D16">
      <w:pPr>
        <w:pStyle w:val="ListParagraph"/>
        <w:numPr>
          <w:ilvl w:val="0"/>
          <w:numId w:val="9"/>
        </w:numPr>
      </w:pPr>
      <w:r>
        <w:t>Approval of January 30</w:t>
      </w:r>
      <w:r w:rsidRPr="00CA5D16">
        <w:rPr>
          <w:vertAlign w:val="superscript"/>
        </w:rPr>
        <w:t>th</w:t>
      </w:r>
      <w:r>
        <w:t xml:space="preserve"> meeting minutes /</w:t>
      </w:r>
      <w:r w:rsidRPr="00CA5D16">
        <w:t xml:space="preserve"> recording</w:t>
      </w:r>
    </w:p>
    <w:p w:rsidR="00CA5D16" w:rsidRPr="00F843C0" w:rsidRDefault="00CA5D16" w:rsidP="00F843C0">
      <w:pPr>
        <w:pStyle w:val="Heading3"/>
      </w:pPr>
      <w:r w:rsidRPr="00F843C0">
        <w:t>Public Comment</w:t>
      </w:r>
    </w:p>
    <w:p w:rsidR="00CA5D16" w:rsidRPr="005133EA" w:rsidRDefault="00CA5D16" w:rsidP="00CA5D16">
      <w:pPr>
        <w:pStyle w:val="Heading3"/>
      </w:pPr>
      <w:r w:rsidRPr="005133EA">
        <w:t>Communications</w:t>
      </w:r>
    </w:p>
    <w:p w:rsidR="00CA5D16" w:rsidRPr="00CA5D16" w:rsidRDefault="00CA5D16" w:rsidP="00CA5D16">
      <w:pPr>
        <w:pStyle w:val="ListParagraph"/>
        <w:numPr>
          <w:ilvl w:val="0"/>
          <w:numId w:val="7"/>
        </w:numPr>
        <w:rPr>
          <w:bCs/>
        </w:rPr>
      </w:pPr>
      <w:r w:rsidRPr="00CA5D16">
        <w:rPr>
          <w:bCs/>
        </w:rPr>
        <w:t xml:space="preserve">President Seth </w:t>
      </w:r>
      <w:proofErr w:type="spellStart"/>
      <w:r w:rsidRPr="00CA5D16">
        <w:rPr>
          <w:bCs/>
        </w:rPr>
        <w:t>Bodnar</w:t>
      </w:r>
      <w:proofErr w:type="spellEnd"/>
    </w:p>
    <w:p w:rsidR="00BC7973" w:rsidRPr="00CA5D16" w:rsidRDefault="00BC7973" w:rsidP="00CA5D16">
      <w:pPr>
        <w:pStyle w:val="ListParagraph"/>
        <w:numPr>
          <w:ilvl w:val="0"/>
          <w:numId w:val="7"/>
        </w:numPr>
        <w:rPr>
          <w:b/>
          <w:bCs/>
          <w:i/>
        </w:rPr>
      </w:pPr>
      <w:r>
        <w:rPr>
          <w:i/>
        </w:rPr>
        <w:t>VP Lasiter (Should we ask him to provide an update?)</w:t>
      </w:r>
    </w:p>
    <w:p w:rsidR="00CA5D16" w:rsidRPr="00CA5D16" w:rsidRDefault="00CA5D16" w:rsidP="00CA5D16">
      <w:pPr>
        <w:pStyle w:val="ListParagraph"/>
        <w:numPr>
          <w:ilvl w:val="0"/>
          <w:numId w:val="7"/>
        </w:numPr>
        <w:rPr>
          <w:i/>
        </w:rPr>
      </w:pPr>
      <w:r w:rsidRPr="00CA5D16">
        <w:rPr>
          <w:i/>
        </w:rPr>
        <w:t xml:space="preserve">ASUM President Abbigail Belcher and Vice President Ethan Hanley </w:t>
      </w:r>
    </w:p>
    <w:p w:rsidR="00CA5D16" w:rsidRPr="00CA5D16" w:rsidRDefault="00CA5D16" w:rsidP="00CA5D16">
      <w:pPr>
        <w:pStyle w:val="ListParagraph"/>
        <w:numPr>
          <w:ilvl w:val="0"/>
          <w:numId w:val="7"/>
        </w:numPr>
        <w:rPr>
          <w:i/>
        </w:rPr>
      </w:pPr>
      <w:r w:rsidRPr="00CA5D16">
        <w:rPr>
          <w:i/>
        </w:rPr>
        <w:t xml:space="preserve">UFA President Megan Stark </w:t>
      </w:r>
    </w:p>
    <w:p w:rsidR="00CA5D16" w:rsidRDefault="00CA5D16" w:rsidP="00CA5D16">
      <w:pPr>
        <w:pStyle w:val="ListParagraph"/>
        <w:numPr>
          <w:ilvl w:val="0"/>
          <w:numId w:val="7"/>
        </w:numPr>
      </w:pPr>
      <w:r>
        <w:t>Chair's Report</w:t>
      </w:r>
    </w:p>
    <w:p w:rsidR="00BC7973" w:rsidRDefault="00BC7973" w:rsidP="00BC7973">
      <w:pPr>
        <w:pStyle w:val="ListParagraph"/>
        <w:numPr>
          <w:ilvl w:val="1"/>
          <w:numId w:val="7"/>
        </w:numPr>
      </w:pPr>
      <w:r w:rsidRPr="00CA6153">
        <w:t>Micro-credential Taskforce</w:t>
      </w:r>
      <w:r w:rsidR="00C1404F" w:rsidRPr="00CA6153">
        <w:t xml:space="preserve"> Charge</w:t>
      </w:r>
    </w:p>
    <w:p w:rsidR="00C1404F" w:rsidRPr="00C1404F" w:rsidRDefault="00B06934" w:rsidP="009D1ED0">
      <w:pPr>
        <w:pStyle w:val="ListParagraph"/>
        <w:numPr>
          <w:ilvl w:val="1"/>
          <w:numId w:val="7"/>
        </w:numPr>
        <w:rPr>
          <w:rFonts w:cs="Arial"/>
          <w:b/>
          <w:shd w:val="clear" w:color="auto" w:fill="FFFFFF"/>
        </w:rPr>
      </w:pPr>
      <w:r>
        <w:t>Faculty Senate elections – Ballot will be sent tomorrow</w:t>
      </w:r>
    </w:p>
    <w:p w:rsidR="00C1404F" w:rsidRPr="00C1404F" w:rsidRDefault="00C1404F" w:rsidP="009D1ED0">
      <w:pPr>
        <w:pStyle w:val="ListParagraph"/>
        <w:numPr>
          <w:ilvl w:val="1"/>
          <w:numId w:val="7"/>
        </w:numPr>
        <w:rPr>
          <w:rFonts w:cs="Arial"/>
          <w:b/>
          <w:shd w:val="clear" w:color="auto" w:fill="FFFFFF"/>
        </w:rPr>
      </w:pPr>
      <w:r>
        <w:t>Bi-weekly payroll conversion (?)</w:t>
      </w:r>
    </w:p>
    <w:p w:rsidR="00D500F3" w:rsidRPr="00D500F3" w:rsidRDefault="00D500F3" w:rsidP="00E923D5">
      <w:pPr>
        <w:pStyle w:val="ListParagraph"/>
        <w:ind w:left="1440"/>
        <w:rPr>
          <w:rStyle w:val="Hyperlink"/>
          <w:rFonts w:cs="Arial"/>
          <w:b/>
          <w:color w:val="auto"/>
          <w:u w:val="none"/>
          <w:shd w:val="clear" w:color="auto" w:fill="FFFFFF"/>
        </w:rPr>
      </w:pPr>
      <w:r w:rsidRPr="00D500F3">
        <w:rPr>
          <w:b/>
        </w:rPr>
        <w:fldChar w:fldCharType="begin"/>
      </w:r>
      <w:r w:rsidRPr="00D500F3">
        <w:rPr>
          <w:b/>
        </w:rPr>
        <w:instrText xml:space="preserve"> HYPERLINK "http://www.cengage.com/" </w:instrText>
      </w:r>
      <w:r w:rsidRPr="00D500F3">
        <w:rPr>
          <w:b/>
        </w:rPr>
        <w:fldChar w:fldCharType="separate"/>
      </w:r>
    </w:p>
    <w:p w:rsidR="00D500F3" w:rsidRPr="00D500F3" w:rsidRDefault="00D500F3" w:rsidP="00D500F3">
      <w:pPr>
        <w:pStyle w:val="Heading3"/>
        <w:numPr>
          <w:ilvl w:val="0"/>
          <w:numId w:val="7"/>
        </w:numPr>
        <w:spacing w:before="0" w:after="45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647488">
        <w:rPr>
          <w:rFonts w:asciiTheme="minorHAnsi" w:hAnsiTheme="minorHAnsi" w:cs="Arial"/>
          <w:bCs/>
          <w:color w:val="4472C4" w:themeColor="accent1"/>
          <w:sz w:val="22"/>
          <w:szCs w:val="22"/>
          <w:u w:val="single"/>
          <w:shd w:val="clear" w:color="auto" w:fill="FFFFFF"/>
        </w:rPr>
        <w:t>Cengage</w:t>
      </w:r>
      <w:proofErr w:type="spellEnd"/>
      <w:r w:rsidRPr="00647488">
        <w:rPr>
          <w:rFonts w:asciiTheme="minorHAnsi" w:hAnsiTheme="minorHAnsi" w:cs="Arial"/>
          <w:bCs/>
          <w:color w:val="4472C4" w:themeColor="accent1"/>
          <w:sz w:val="22"/>
          <w:szCs w:val="22"/>
          <w:u w:val="single"/>
          <w:shd w:val="clear" w:color="auto" w:fill="FFFFFF"/>
        </w:rPr>
        <w:t xml:space="preserve">: Digital Learning &amp; Online Textbooks </w:t>
      </w:r>
      <w:r w:rsidRPr="00D500F3">
        <w:rPr>
          <w:rFonts w:asciiTheme="minorHAnsi" w:hAnsiTheme="minorHAnsi" w:cs="Arial"/>
          <w:bCs/>
          <w:color w:val="auto"/>
          <w:sz w:val="22"/>
          <w:szCs w:val="22"/>
          <w:shd w:val="clear" w:color="auto" w:fill="FFFFFF"/>
        </w:rPr>
        <w:t>(15 minutes)</w:t>
      </w:r>
    </w:p>
    <w:p w:rsidR="00CA5D16" w:rsidRDefault="00D500F3" w:rsidP="00D500F3">
      <w:pPr>
        <w:pStyle w:val="Heading3"/>
        <w:ind w:left="720"/>
      </w:pPr>
      <w:r w:rsidRPr="00D500F3">
        <w:rPr>
          <w:rFonts w:asciiTheme="minorHAnsi" w:hAnsiTheme="minorHAnsi"/>
          <w:b/>
          <w:color w:val="auto"/>
          <w:sz w:val="22"/>
          <w:szCs w:val="22"/>
        </w:rPr>
        <w:fldChar w:fldCharType="end"/>
      </w:r>
    </w:p>
    <w:p w:rsidR="00CA5D16" w:rsidRPr="005133EA" w:rsidRDefault="00CA5D16" w:rsidP="00F843C0">
      <w:pPr>
        <w:pStyle w:val="Heading3"/>
      </w:pPr>
      <w:r w:rsidRPr="005133EA">
        <w:t>Committee Reports</w:t>
      </w:r>
    </w:p>
    <w:p w:rsidR="00CA5D16" w:rsidRPr="005133EA" w:rsidRDefault="00CA5D16" w:rsidP="00CA5D16">
      <w:pPr>
        <w:pStyle w:val="ListParagraph"/>
        <w:numPr>
          <w:ilvl w:val="0"/>
          <w:numId w:val="8"/>
        </w:numPr>
        <w:rPr>
          <w:b/>
          <w:bCs/>
        </w:rPr>
      </w:pPr>
      <w:r>
        <w:t>ASCRC Chair Georgia Cobbs</w:t>
      </w:r>
    </w:p>
    <w:p w:rsidR="00CA5D16" w:rsidRPr="00CA5D16" w:rsidRDefault="00CA5D16" w:rsidP="00CA5D16">
      <w:pPr>
        <w:pStyle w:val="ListParagraph"/>
        <w:numPr>
          <w:ilvl w:val="1"/>
          <w:numId w:val="8"/>
        </w:numPr>
        <w:rPr>
          <w:rStyle w:val="Hyperlink"/>
          <w:color w:val="222222"/>
          <w:sz w:val="21"/>
          <w:szCs w:val="21"/>
        </w:rPr>
      </w:pPr>
      <w:r w:rsidRPr="00BC7973">
        <w:rPr>
          <w:sz w:val="21"/>
          <w:szCs w:val="21"/>
        </w:rPr>
        <w:t>Curriculum Consent Agenda</w:t>
      </w:r>
    </w:p>
    <w:p w:rsidR="00CA5D16" w:rsidRPr="00CA5D16" w:rsidRDefault="00CA5D16" w:rsidP="00CA5D16">
      <w:pPr>
        <w:pStyle w:val="ListParagraph"/>
        <w:numPr>
          <w:ilvl w:val="0"/>
          <w:numId w:val="8"/>
        </w:numPr>
        <w:rPr>
          <w:rStyle w:val="Hyperlink"/>
          <w:color w:val="auto"/>
          <w:sz w:val="21"/>
          <w:szCs w:val="21"/>
          <w:u w:val="none"/>
        </w:rPr>
      </w:pPr>
      <w:r w:rsidRPr="00CA5D16">
        <w:rPr>
          <w:rStyle w:val="Hyperlink"/>
          <w:color w:val="auto"/>
          <w:sz w:val="21"/>
          <w:szCs w:val="21"/>
          <w:u w:val="none"/>
        </w:rPr>
        <w:t>Graduate Council Chair</w:t>
      </w:r>
    </w:p>
    <w:p w:rsidR="00CA5D16" w:rsidRDefault="00CA5D16" w:rsidP="00CA5D16">
      <w:pPr>
        <w:pStyle w:val="ListParagraph"/>
        <w:numPr>
          <w:ilvl w:val="1"/>
          <w:numId w:val="8"/>
        </w:numPr>
        <w:rPr>
          <w:rStyle w:val="Hyperlink"/>
          <w:color w:val="auto"/>
          <w:sz w:val="21"/>
          <w:szCs w:val="21"/>
          <w:u w:val="none"/>
        </w:rPr>
      </w:pPr>
      <w:r w:rsidRPr="00BC7973">
        <w:rPr>
          <w:rStyle w:val="Hyperlink"/>
          <w:color w:val="auto"/>
          <w:sz w:val="21"/>
          <w:szCs w:val="21"/>
          <w:u w:val="none"/>
        </w:rPr>
        <w:t>Curriculum Consent Agenda</w:t>
      </w:r>
    </w:p>
    <w:p w:rsidR="004D784F" w:rsidRPr="00BC7973" w:rsidRDefault="00D54488" w:rsidP="00CA5D16">
      <w:pPr>
        <w:pStyle w:val="ListParagraph"/>
        <w:numPr>
          <w:ilvl w:val="1"/>
          <w:numId w:val="8"/>
        </w:numPr>
        <w:rPr>
          <w:rStyle w:val="Hyperlink"/>
          <w:color w:val="auto"/>
          <w:sz w:val="21"/>
          <w:szCs w:val="21"/>
          <w:u w:val="none"/>
        </w:rPr>
      </w:pPr>
      <w:hyperlink r:id="rId9" w:history="1">
        <w:r w:rsidR="004D784F" w:rsidRPr="00D54488">
          <w:rPr>
            <w:rStyle w:val="Hyperlink"/>
            <w:sz w:val="21"/>
            <w:szCs w:val="21"/>
          </w:rPr>
          <w:t xml:space="preserve">TA </w:t>
        </w:r>
        <w:r w:rsidRPr="00D54488">
          <w:rPr>
            <w:rStyle w:val="Hyperlink"/>
            <w:sz w:val="21"/>
            <w:szCs w:val="21"/>
          </w:rPr>
          <w:t xml:space="preserve">Salary </w:t>
        </w:r>
        <w:r w:rsidR="004D784F" w:rsidRPr="00D54488">
          <w:rPr>
            <w:rStyle w:val="Hyperlink"/>
            <w:sz w:val="21"/>
            <w:szCs w:val="21"/>
          </w:rPr>
          <w:t xml:space="preserve">Survey </w:t>
        </w:r>
        <w:r w:rsidRPr="00D54488">
          <w:rPr>
            <w:rStyle w:val="Hyperlink"/>
            <w:sz w:val="21"/>
            <w:szCs w:val="21"/>
          </w:rPr>
          <w:t>Results</w:t>
        </w:r>
      </w:hyperlink>
      <w:r>
        <w:rPr>
          <w:rStyle w:val="Hyperlink"/>
          <w:color w:val="auto"/>
          <w:sz w:val="21"/>
          <w:szCs w:val="21"/>
          <w:u w:val="none"/>
        </w:rPr>
        <w:t xml:space="preserve"> and </w:t>
      </w:r>
      <w:hyperlink r:id="rId10" w:history="1">
        <w:r w:rsidRPr="00D54488">
          <w:rPr>
            <w:rStyle w:val="Hyperlink"/>
            <w:sz w:val="21"/>
            <w:szCs w:val="21"/>
          </w:rPr>
          <w:t>Graduate Student E</w:t>
        </w:r>
        <w:r w:rsidR="004D784F" w:rsidRPr="00D54488">
          <w:rPr>
            <w:rStyle w:val="Hyperlink"/>
            <w:sz w:val="21"/>
            <w:szCs w:val="21"/>
          </w:rPr>
          <w:t>nrollment Profile</w:t>
        </w:r>
      </w:hyperlink>
    </w:p>
    <w:p w:rsidR="00CA5D16" w:rsidRPr="00F843C0" w:rsidRDefault="00CA5D16" w:rsidP="00F843C0">
      <w:pPr>
        <w:pStyle w:val="Heading3"/>
      </w:pPr>
      <w:r w:rsidRPr="00F843C0">
        <w:t>Good and Welfare</w:t>
      </w:r>
    </w:p>
    <w:p w:rsidR="00CA5D16" w:rsidRDefault="00CA5D16" w:rsidP="00CA5D16">
      <w:pPr>
        <w:pStyle w:val="Heading3"/>
      </w:pPr>
    </w:p>
    <w:p w:rsidR="00CA5D16" w:rsidRPr="00F843C0" w:rsidRDefault="00CA5D16" w:rsidP="00F843C0">
      <w:pPr>
        <w:pStyle w:val="Heading3"/>
      </w:pPr>
      <w:r w:rsidRPr="00F843C0">
        <w:t>Adjournment</w:t>
      </w:r>
    </w:p>
    <w:bookmarkEnd w:id="1"/>
    <w:p w:rsidR="00CA5D16" w:rsidRPr="00CA5D16" w:rsidRDefault="00CA5D16" w:rsidP="00CA5D16"/>
    <w:sectPr w:rsidR="00CA5D16" w:rsidRPr="00CA5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71F"/>
    <w:multiLevelType w:val="hybridMultilevel"/>
    <w:tmpl w:val="ACDE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E4F59"/>
    <w:multiLevelType w:val="multilevel"/>
    <w:tmpl w:val="F294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F6E06"/>
    <w:multiLevelType w:val="hybridMultilevel"/>
    <w:tmpl w:val="E342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B1900"/>
    <w:multiLevelType w:val="multilevel"/>
    <w:tmpl w:val="797A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A66875"/>
    <w:multiLevelType w:val="multilevel"/>
    <w:tmpl w:val="431C1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62786C51"/>
    <w:multiLevelType w:val="multilevel"/>
    <w:tmpl w:val="429E38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65326FD0"/>
    <w:multiLevelType w:val="multilevel"/>
    <w:tmpl w:val="F294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EB3F16"/>
    <w:multiLevelType w:val="hybridMultilevel"/>
    <w:tmpl w:val="D3A2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74D0E"/>
    <w:multiLevelType w:val="multilevel"/>
    <w:tmpl w:val="F294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76"/>
    <w:rsid w:val="000214B4"/>
    <w:rsid w:val="000338B7"/>
    <w:rsid w:val="00033E00"/>
    <w:rsid w:val="00056E3C"/>
    <w:rsid w:val="0005749E"/>
    <w:rsid w:val="00060496"/>
    <w:rsid w:val="00095EDC"/>
    <w:rsid w:val="000B3DD1"/>
    <w:rsid w:val="000B4513"/>
    <w:rsid w:val="000D5EA1"/>
    <w:rsid w:val="000F135D"/>
    <w:rsid w:val="000F49A9"/>
    <w:rsid w:val="000F6075"/>
    <w:rsid w:val="001074C7"/>
    <w:rsid w:val="001346C1"/>
    <w:rsid w:val="0014707C"/>
    <w:rsid w:val="00157920"/>
    <w:rsid w:val="00172C36"/>
    <w:rsid w:val="00176497"/>
    <w:rsid w:val="0019518C"/>
    <w:rsid w:val="001A6456"/>
    <w:rsid w:val="001C4A0D"/>
    <w:rsid w:val="001C6251"/>
    <w:rsid w:val="00206E9C"/>
    <w:rsid w:val="00220374"/>
    <w:rsid w:val="00236595"/>
    <w:rsid w:val="00241934"/>
    <w:rsid w:val="00252E30"/>
    <w:rsid w:val="00276372"/>
    <w:rsid w:val="002938D6"/>
    <w:rsid w:val="0029520C"/>
    <w:rsid w:val="002C5AA7"/>
    <w:rsid w:val="002D70F6"/>
    <w:rsid w:val="002E03C0"/>
    <w:rsid w:val="002E4992"/>
    <w:rsid w:val="002F2367"/>
    <w:rsid w:val="00302776"/>
    <w:rsid w:val="00316D1B"/>
    <w:rsid w:val="0032498F"/>
    <w:rsid w:val="00345ED1"/>
    <w:rsid w:val="00360E3D"/>
    <w:rsid w:val="00363678"/>
    <w:rsid w:val="003710CB"/>
    <w:rsid w:val="00371191"/>
    <w:rsid w:val="00373EA6"/>
    <w:rsid w:val="00377533"/>
    <w:rsid w:val="00377D04"/>
    <w:rsid w:val="00382F08"/>
    <w:rsid w:val="003850B1"/>
    <w:rsid w:val="003B3C5A"/>
    <w:rsid w:val="003D5EAB"/>
    <w:rsid w:val="003F35B1"/>
    <w:rsid w:val="003F444E"/>
    <w:rsid w:val="00400EA9"/>
    <w:rsid w:val="004236D5"/>
    <w:rsid w:val="004532D4"/>
    <w:rsid w:val="004537C9"/>
    <w:rsid w:val="00474896"/>
    <w:rsid w:val="0048648C"/>
    <w:rsid w:val="004B7024"/>
    <w:rsid w:val="004B754F"/>
    <w:rsid w:val="004C113E"/>
    <w:rsid w:val="004C43A7"/>
    <w:rsid w:val="004C6B75"/>
    <w:rsid w:val="004C7E9E"/>
    <w:rsid w:val="004D784F"/>
    <w:rsid w:val="004E533D"/>
    <w:rsid w:val="004E732A"/>
    <w:rsid w:val="004F7CE7"/>
    <w:rsid w:val="0050059B"/>
    <w:rsid w:val="00501218"/>
    <w:rsid w:val="00501BBC"/>
    <w:rsid w:val="005133EA"/>
    <w:rsid w:val="00537329"/>
    <w:rsid w:val="00537BE8"/>
    <w:rsid w:val="00551780"/>
    <w:rsid w:val="0056017A"/>
    <w:rsid w:val="0058715F"/>
    <w:rsid w:val="005A3FAB"/>
    <w:rsid w:val="005A7BD5"/>
    <w:rsid w:val="005B3DA6"/>
    <w:rsid w:val="005B5F0B"/>
    <w:rsid w:val="005D6E85"/>
    <w:rsid w:val="006010FA"/>
    <w:rsid w:val="006040E1"/>
    <w:rsid w:val="006047CB"/>
    <w:rsid w:val="006075FE"/>
    <w:rsid w:val="00647488"/>
    <w:rsid w:val="00663C9B"/>
    <w:rsid w:val="00686416"/>
    <w:rsid w:val="006912BC"/>
    <w:rsid w:val="006A1B78"/>
    <w:rsid w:val="006B274C"/>
    <w:rsid w:val="006D3AAF"/>
    <w:rsid w:val="006D648F"/>
    <w:rsid w:val="00727ECC"/>
    <w:rsid w:val="00731B46"/>
    <w:rsid w:val="007338B9"/>
    <w:rsid w:val="00754E9E"/>
    <w:rsid w:val="007644A6"/>
    <w:rsid w:val="007708BE"/>
    <w:rsid w:val="007878BD"/>
    <w:rsid w:val="00787A38"/>
    <w:rsid w:val="00795D66"/>
    <w:rsid w:val="007A640C"/>
    <w:rsid w:val="007A7486"/>
    <w:rsid w:val="007D68E1"/>
    <w:rsid w:val="007E551A"/>
    <w:rsid w:val="007F4248"/>
    <w:rsid w:val="007F6335"/>
    <w:rsid w:val="00807A3B"/>
    <w:rsid w:val="00812156"/>
    <w:rsid w:val="00854B6C"/>
    <w:rsid w:val="00856121"/>
    <w:rsid w:val="00883A15"/>
    <w:rsid w:val="00930BF5"/>
    <w:rsid w:val="009564B0"/>
    <w:rsid w:val="00956F14"/>
    <w:rsid w:val="00960467"/>
    <w:rsid w:val="00960EF7"/>
    <w:rsid w:val="00967CF4"/>
    <w:rsid w:val="009825A7"/>
    <w:rsid w:val="009A1E9B"/>
    <w:rsid w:val="009A3B67"/>
    <w:rsid w:val="009A52A7"/>
    <w:rsid w:val="009B639D"/>
    <w:rsid w:val="009D5B0C"/>
    <w:rsid w:val="009D6B59"/>
    <w:rsid w:val="009E7E8A"/>
    <w:rsid w:val="00A001EB"/>
    <w:rsid w:val="00A12E8C"/>
    <w:rsid w:val="00A21BC7"/>
    <w:rsid w:val="00A26827"/>
    <w:rsid w:val="00A427ED"/>
    <w:rsid w:val="00A67C04"/>
    <w:rsid w:val="00A82B53"/>
    <w:rsid w:val="00AE6903"/>
    <w:rsid w:val="00AF0E19"/>
    <w:rsid w:val="00B06934"/>
    <w:rsid w:val="00B10665"/>
    <w:rsid w:val="00B32ACA"/>
    <w:rsid w:val="00B4509A"/>
    <w:rsid w:val="00B51F6B"/>
    <w:rsid w:val="00B576B8"/>
    <w:rsid w:val="00B70EB9"/>
    <w:rsid w:val="00B979C7"/>
    <w:rsid w:val="00BA0748"/>
    <w:rsid w:val="00BB4C47"/>
    <w:rsid w:val="00BC7973"/>
    <w:rsid w:val="00BD12A8"/>
    <w:rsid w:val="00BF5D95"/>
    <w:rsid w:val="00C1404F"/>
    <w:rsid w:val="00C14B15"/>
    <w:rsid w:val="00C3651E"/>
    <w:rsid w:val="00C400C5"/>
    <w:rsid w:val="00C427DB"/>
    <w:rsid w:val="00C64C39"/>
    <w:rsid w:val="00C845A3"/>
    <w:rsid w:val="00C91838"/>
    <w:rsid w:val="00C92292"/>
    <w:rsid w:val="00C94096"/>
    <w:rsid w:val="00CA5D16"/>
    <w:rsid w:val="00CA6153"/>
    <w:rsid w:val="00CA67BC"/>
    <w:rsid w:val="00CB0BE7"/>
    <w:rsid w:val="00D00FA9"/>
    <w:rsid w:val="00D0712A"/>
    <w:rsid w:val="00D10902"/>
    <w:rsid w:val="00D338CA"/>
    <w:rsid w:val="00D47A9B"/>
    <w:rsid w:val="00D500F3"/>
    <w:rsid w:val="00D54488"/>
    <w:rsid w:val="00D60664"/>
    <w:rsid w:val="00D64D70"/>
    <w:rsid w:val="00D65A76"/>
    <w:rsid w:val="00D829E5"/>
    <w:rsid w:val="00DA2CE1"/>
    <w:rsid w:val="00DD133F"/>
    <w:rsid w:val="00DE3078"/>
    <w:rsid w:val="00DF5474"/>
    <w:rsid w:val="00DF790E"/>
    <w:rsid w:val="00E065AA"/>
    <w:rsid w:val="00E11305"/>
    <w:rsid w:val="00E13511"/>
    <w:rsid w:val="00E16ADC"/>
    <w:rsid w:val="00E24089"/>
    <w:rsid w:val="00E24F83"/>
    <w:rsid w:val="00E309DA"/>
    <w:rsid w:val="00E36DEA"/>
    <w:rsid w:val="00E3744C"/>
    <w:rsid w:val="00E56017"/>
    <w:rsid w:val="00E57A2F"/>
    <w:rsid w:val="00E71B5C"/>
    <w:rsid w:val="00E923D5"/>
    <w:rsid w:val="00EA3BED"/>
    <w:rsid w:val="00EB0C89"/>
    <w:rsid w:val="00ED696A"/>
    <w:rsid w:val="00EE1E9E"/>
    <w:rsid w:val="00F20E6D"/>
    <w:rsid w:val="00F23067"/>
    <w:rsid w:val="00F3652A"/>
    <w:rsid w:val="00F524F8"/>
    <w:rsid w:val="00F843C0"/>
    <w:rsid w:val="00F8633B"/>
    <w:rsid w:val="00F92B0A"/>
    <w:rsid w:val="00FA0EBE"/>
    <w:rsid w:val="00FA7FDF"/>
    <w:rsid w:val="00FD0862"/>
    <w:rsid w:val="00FE2450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60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6A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A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64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1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6912B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0EBE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F60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648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E16AD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6E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12A8"/>
    <w:rPr>
      <w:color w:val="954F72" w:themeColor="followedHyperlink"/>
      <w:u w:val="single"/>
    </w:rPr>
  </w:style>
  <w:style w:type="paragraph" w:customStyle="1" w:styleId="agendalist">
    <w:name w:val="agendalist"/>
    <w:basedOn w:val="Normal"/>
    <w:rsid w:val="00B5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B0BE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A1E9B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338B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0B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60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6A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A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64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1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6912B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0EBE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F60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648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E16AD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6E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12A8"/>
    <w:rPr>
      <w:color w:val="954F72" w:themeColor="followedHyperlink"/>
      <w:u w:val="single"/>
    </w:rPr>
  </w:style>
  <w:style w:type="paragraph" w:customStyle="1" w:styleId="agendalist">
    <w:name w:val="agendalist"/>
    <w:basedOn w:val="Normal"/>
    <w:rsid w:val="00B5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B0BE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A1E9B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338B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0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8842">
          <w:marLeft w:val="0"/>
          <w:marRight w:val="0"/>
          <w:marTop w:val="0"/>
          <w:marBottom w:val="0"/>
          <w:divBdr>
            <w:top w:val="single" w:sz="6" w:space="12" w:color="EEEEEE"/>
            <w:left w:val="single" w:sz="6" w:space="26" w:color="EEEEEE"/>
            <w:bottom w:val="single" w:sz="6" w:space="12" w:color="EEEEEE"/>
            <w:right w:val="single" w:sz="6" w:space="26" w:color="EEEEEE"/>
          </w:divBdr>
          <w:divsChild>
            <w:div w:id="1705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1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64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6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6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0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0084">
          <w:marLeft w:val="0"/>
          <w:marRight w:val="0"/>
          <w:marTop w:val="0"/>
          <w:marBottom w:val="0"/>
          <w:divBdr>
            <w:top w:val="single" w:sz="6" w:space="12" w:color="EEEEEE"/>
            <w:left w:val="single" w:sz="6" w:space="26" w:color="EEEEEE"/>
            <w:bottom w:val="single" w:sz="6" w:space="12" w:color="EEEEEE"/>
            <w:right w:val="single" w:sz="6" w:space="26" w:color="EEEEEE"/>
          </w:divBdr>
          <w:divsChild>
            <w:div w:id="2046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.edu/facultysenate/procedures/ECOS_100/102.40_AdminEval_revision9-21-17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mt.box.com/s/9ynq0ko6i60zefvm3ghfn2jnxqwxch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t.box.com/s/vniuyuk5a62jt62fe5gp5ik9tsmpjj5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mt.box.com/s/gy4ctcpumjo7jds3r1qr9cy6k0gltv9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t.box.com/s/x5vsb6irpftjb3v27jefhjc3qyecjvh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ECOS Agenda, February 20, 2020 3:00 p.m. UH 221</vt:lpstr>
      <vt:lpstr>    Call to Order</vt:lpstr>
      <vt:lpstr>    Public Comment  </vt:lpstr>
      <vt:lpstr>    Communication</vt:lpstr>
      <vt:lpstr>    Business items:      </vt:lpstr>
      <vt:lpstr>        Good and Welfare</vt:lpstr>
      <vt:lpstr>    Adjournment</vt:lpstr>
      <vt:lpstr>    </vt:lpstr>
      <vt:lpstr>    Faculty Senate Agenda </vt:lpstr>
      <vt:lpstr>        Call to Order</vt:lpstr>
      <vt:lpstr>        Public Comment</vt:lpstr>
      <vt:lpstr>        Communications</vt:lpstr>
      <vt:lpstr>        Cengage: Digital Learning &amp; Online Textbooks (15 minutes)</vt:lpstr>
      <vt:lpstr>        </vt:lpstr>
      <vt:lpstr>        Committee Reports</vt:lpstr>
      <vt:lpstr>        Good and Welfare</vt:lpstr>
      <vt:lpstr>        </vt:lpstr>
      <vt:lpstr>        Adjournment</vt:lpstr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11</cp:revision>
  <cp:lastPrinted>2020-01-23T20:28:00Z</cp:lastPrinted>
  <dcterms:created xsi:type="dcterms:W3CDTF">2020-02-18T03:47:00Z</dcterms:created>
  <dcterms:modified xsi:type="dcterms:W3CDTF">2020-02-20T03:34:00Z</dcterms:modified>
</cp:coreProperties>
</file>