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2F460D">
      <w:pPr>
        <w:pStyle w:val="Heading1"/>
        <w:spacing w:before="120"/>
        <w:jc w:val="both"/>
      </w:pPr>
      <w:r>
        <w:t xml:space="preserve">General Education Committee Minutes, </w:t>
      </w:r>
      <w:r w:rsidR="007C1B4A">
        <w:t>10</w:t>
      </w:r>
      <w:r>
        <w:t>/</w:t>
      </w:r>
      <w:r w:rsidR="00646E47">
        <w:t>25</w:t>
      </w:r>
      <w:r>
        <w:t>/1</w:t>
      </w:r>
      <w:r w:rsidR="004E3634">
        <w:t>7</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646E47">
        <w:rPr>
          <w:rFonts w:cs="Calibri"/>
          <w:sz w:val="24"/>
          <w:szCs w:val="24"/>
        </w:rPr>
        <w:t>L. Ametsbichler, B. Bach</w:t>
      </w:r>
      <w:r w:rsidR="00646E47">
        <w:rPr>
          <w:rFonts w:cs="Calibri"/>
          <w:sz w:val="24"/>
          <w:szCs w:val="24"/>
        </w:rPr>
        <w:t xml:space="preserve">, S. Bradford, </w:t>
      </w:r>
      <w:r w:rsidR="007C1B4A">
        <w:rPr>
          <w:rFonts w:cs="Calibri"/>
          <w:sz w:val="24"/>
          <w:szCs w:val="24"/>
        </w:rPr>
        <w:t xml:space="preserve">B. </w:t>
      </w:r>
      <w:proofErr w:type="spellStart"/>
      <w:r w:rsidR="007C1B4A">
        <w:rPr>
          <w:rFonts w:cs="Calibri"/>
          <w:sz w:val="24"/>
          <w:szCs w:val="24"/>
        </w:rPr>
        <w:t>Durnell</w:t>
      </w:r>
      <w:proofErr w:type="spellEnd"/>
      <w:r w:rsidR="007C1B4A">
        <w:rPr>
          <w:rFonts w:cs="Calibri"/>
          <w:sz w:val="24"/>
          <w:szCs w:val="24"/>
        </w:rPr>
        <w:t xml:space="preserve">, </w:t>
      </w:r>
      <w:r w:rsidR="00FA165A">
        <w:rPr>
          <w:rFonts w:cs="Calibri"/>
          <w:sz w:val="24"/>
          <w:szCs w:val="24"/>
        </w:rPr>
        <w:t xml:space="preserve">G. Peters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7C1B4A">
        <w:rPr>
          <w:rFonts w:cs="Calibri"/>
          <w:sz w:val="24"/>
          <w:szCs w:val="24"/>
        </w:rPr>
        <w:t xml:space="preserve">A. Schafer, </w:t>
      </w:r>
      <w:r w:rsidR="00FA165A">
        <w:rPr>
          <w:rFonts w:cs="Calibri"/>
          <w:sz w:val="24"/>
          <w:szCs w:val="24"/>
        </w:rPr>
        <w:t xml:space="preserve">D. Ward,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3D0096">
        <w:rPr>
          <w:rFonts w:cs="Calibri"/>
          <w:sz w:val="24"/>
          <w:szCs w:val="24"/>
        </w:rPr>
        <w:t xml:space="preserve">, </w:t>
      </w:r>
      <w:proofErr w:type="gramStart"/>
      <w:r w:rsidR="003D0096">
        <w:rPr>
          <w:rFonts w:cs="Calibri"/>
          <w:sz w:val="24"/>
          <w:szCs w:val="24"/>
        </w:rPr>
        <w:t>J</w:t>
      </w:r>
      <w:proofErr w:type="gramEnd"/>
      <w:r w:rsidR="003D0096">
        <w:rPr>
          <w:rFonts w:cs="Calibri"/>
          <w:sz w:val="24"/>
          <w:szCs w:val="24"/>
        </w:rPr>
        <w:t>. Wilkinson</w:t>
      </w:r>
    </w:p>
    <w:p w:rsidR="002F460D" w:rsidRDefault="002F460D" w:rsidP="002F460D">
      <w:pPr>
        <w:spacing w:after="120"/>
        <w:ind w:left="1980" w:hanging="1980"/>
        <w:rPr>
          <w:rFonts w:cs="Calibri"/>
          <w:sz w:val="24"/>
          <w:szCs w:val="24"/>
        </w:rPr>
      </w:pPr>
      <w:r>
        <w:rPr>
          <w:rFonts w:cs="Calibri"/>
          <w:sz w:val="24"/>
          <w:szCs w:val="24"/>
        </w:rPr>
        <w:t>Ex-officio members present:</w:t>
      </w:r>
      <w:r w:rsidR="00FA165A">
        <w:rPr>
          <w:rFonts w:cs="Calibri"/>
          <w:sz w:val="24"/>
          <w:szCs w:val="24"/>
        </w:rPr>
        <w:t xml:space="preserve"> </w:t>
      </w:r>
      <w:r w:rsidR="000A1FCA">
        <w:rPr>
          <w:rFonts w:cs="Calibri"/>
          <w:sz w:val="24"/>
          <w:szCs w:val="24"/>
        </w:rPr>
        <w:t xml:space="preserve">A. </w:t>
      </w:r>
      <w:proofErr w:type="spellStart"/>
      <w:r w:rsidR="000A1FCA">
        <w:rPr>
          <w:rFonts w:cs="Calibri"/>
          <w:sz w:val="24"/>
          <w:szCs w:val="24"/>
        </w:rPr>
        <w:t>Wadell</w:t>
      </w:r>
      <w:proofErr w:type="spellEnd"/>
      <w:r w:rsidRPr="00056136">
        <w:rPr>
          <w:rFonts w:cs="Calibri"/>
          <w:sz w:val="24"/>
          <w:szCs w:val="24"/>
        </w:rPr>
        <w:t xml:space="preserve"> </w:t>
      </w:r>
    </w:p>
    <w:p w:rsidR="002F460D" w:rsidRDefault="002F460D" w:rsidP="00646E47">
      <w:pPr>
        <w:spacing w:after="120"/>
        <w:ind w:left="1980" w:hanging="198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w:t>
      </w:r>
      <w:r w:rsidR="00646E47">
        <w:rPr>
          <w:rFonts w:cs="Calibri"/>
          <w:sz w:val="24"/>
          <w:szCs w:val="24"/>
        </w:rPr>
        <w:t>B. Clough, B. French</w:t>
      </w:r>
      <w:r w:rsidR="00646E47">
        <w:rPr>
          <w:rFonts w:cs="Calibri"/>
          <w:sz w:val="24"/>
          <w:szCs w:val="24"/>
        </w:rPr>
        <w:t>,</w:t>
      </w:r>
      <w:r w:rsidR="00646E47">
        <w:rPr>
          <w:rFonts w:cs="Calibri"/>
          <w:sz w:val="24"/>
          <w:szCs w:val="24"/>
        </w:rPr>
        <w:t xml:space="preserve"> P. Muench,</w:t>
      </w:r>
      <w:r w:rsidR="00FA165A">
        <w:rPr>
          <w:rFonts w:cs="Calibri"/>
          <w:sz w:val="24"/>
          <w:szCs w:val="24"/>
        </w:rPr>
        <w:t xml:space="preserve"> </w:t>
      </w:r>
      <w:r w:rsidR="000A1FCA">
        <w:rPr>
          <w:rFonts w:cs="Calibri"/>
          <w:sz w:val="24"/>
          <w:szCs w:val="24"/>
        </w:rPr>
        <w:t xml:space="preserve">N. Lindsay </w:t>
      </w:r>
      <w:r w:rsidR="00646E47">
        <w:rPr>
          <w:rFonts w:cs="Calibri"/>
          <w:sz w:val="24"/>
          <w:szCs w:val="24"/>
        </w:rPr>
        <w:t>A. Sala,</w:t>
      </w:r>
    </w:p>
    <w:p w:rsidR="00056136" w:rsidRDefault="00DA6C22" w:rsidP="003F0FA3">
      <w:r>
        <w:t>The</w:t>
      </w:r>
      <w:r w:rsidR="00FA067D">
        <w:t xml:space="preserve"> minutes from</w:t>
      </w:r>
      <w:r w:rsidR="00874456">
        <w:t xml:space="preserve"> </w:t>
      </w:r>
      <w:r w:rsidR="007C1B4A">
        <w:t>9</w:t>
      </w:r>
      <w:r w:rsidR="00874456">
        <w:t>/</w:t>
      </w:r>
      <w:r w:rsidR="007C1B4A">
        <w:t>13</w:t>
      </w:r>
      <w:r w:rsidR="00874456">
        <w:t>/17</w:t>
      </w:r>
      <w:r w:rsidR="00FA067D">
        <w:t xml:space="preserve"> </w:t>
      </w:r>
      <w:proofErr w:type="gramStart"/>
      <w:r w:rsidR="00FA067D">
        <w:t xml:space="preserve">were </w:t>
      </w:r>
      <w:r w:rsidR="0092083D">
        <w:t xml:space="preserve">amended and </w:t>
      </w:r>
      <w:r w:rsidR="00FA067D">
        <w:t>approved</w:t>
      </w:r>
      <w:proofErr w:type="gramEnd"/>
      <w:r w:rsidR="00FA067D">
        <w:t>.</w:t>
      </w:r>
    </w:p>
    <w:p w:rsidR="00C713BA" w:rsidRDefault="00DA6C22" w:rsidP="00646E47">
      <w:pPr>
        <w:pStyle w:val="Heading2"/>
      </w:pPr>
      <w:r w:rsidRPr="00D20BE1">
        <w:t>Communication</w:t>
      </w:r>
      <w:r w:rsidR="00C713BA">
        <w:br/>
      </w:r>
    </w:p>
    <w:p w:rsidR="00FC6F36" w:rsidRDefault="00954F9B" w:rsidP="00954F9B">
      <w:pPr>
        <w:pStyle w:val="ListParagraph"/>
        <w:numPr>
          <w:ilvl w:val="0"/>
          <w:numId w:val="31"/>
        </w:numPr>
      </w:pPr>
      <w:r>
        <w:t xml:space="preserve">Chair Randall met with Professor </w:t>
      </w:r>
      <w:r w:rsidR="00646E47">
        <w:t xml:space="preserve">Greymorning (ANTY 326E appeal) and the Chair of ASCRC Doug Coffin.  Professor Greymorning received suggestions similar to those of the subcommittee from another instructor that teaches an Ethics course in Native American Studies.  He has made some revisions to comply with assessment requirements.   The revisions </w:t>
      </w:r>
      <w:proofErr w:type="gramStart"/>
      <w:r w:rsidR="00646E47">
        <w:t>will be sent</w:t>
      </w:r>
      <w:proofErr w:type="gramEnd"/>
      <w:r w:rsidR="00646E47">
        <w:t xml:space="preserve"> to Professors Clough, Muench, and Bradford for consideration. </w:t>
      </w:r>
    </w:p>
    <w:p w:rsidR="005C059A" w:rsidRDefault="006E083D" w:rsidP="00CD5D5C">
      <w:pPr>
        <w:pStyle w:val="Heading2"/>
      </w:pPr>
      <w:r>
        <w:t>Business Items</w:t>
      </w:r>
      <w:r w:rsidR="00CD5D5C">
        <w:br/>
      </w:r>
    </w:p>
    <w:p w:rsidR="00251E7A" w:rsidRDefault="00646E47" w:rsidP="0001544C">
      <w:pPr>
        <w:pStyle w:val="ListParagraph"/>
        <w:numPr>
          <w:ilvl w:val="0"/>
          <w:numId w:val="27"/>
        </w:numPr>
      </w:pPr>
      <w:r>
        <w:t xml:space="preserve">Fifteen general education forms </w:t>
      </w:r>
      <w:proofErr w:type="gramStart"/>
      <w:r>
        <w:t>were submitted</w:t>
      </w:r>
      <w:proofErr w:type="gramEnd"/>
      <w:r>
        <w:t xml:space="preserve"> for review.  The forms </w:t>
      </w:r>
      <w:proofErr w:type="gramStart"/>
      <w:r>
        <w:t xml:space="preserve">were </w:t>
      </w:r>
      <w:r w:rsidR="00251E7A">
        <w:t>organized</w:t>
      </w:r>
      <w:proofErr w:type="gramEnd"/>
      <w:r w:rsidR="00251E7A">
        <w:t xml:space="preserve"> into groups and members were assigned a group for the review (see below).  </w:t>
      </w:r>
    </w:p>
    <w:tbl>
      <w:tblPr>
        <w:tblW w:w="0" w:type="auto"/>
        <w:tblInd w:w="1080" w:type="dxa"/>
        <w:tblCellMar>
          <w:left w:w="0" w:type="dxa"/>
          <w:right w:w="0" w:type="dxa"/>
        </w:tblCellMar>
        <w:tblLook w:val="04A0" w:firstRow="1" w:lastRow="0" w:firstColumn="1" w:lastColumn="0" w:noHBand="0" w:noVBand="1"/>
      </w:tblPr>
      <w:tblGrid>
        <w:gridCol w:w="1278"/>
        <w:gridCol w:w="2520"/>
        <w:gridCol w:w="1260"/>
        <w:gridCol w:w="2718"/>
      </w:tblGrid>
      <w:tr w:rsidR="00251E7A" w:rsidTr="00251E7A">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pPr>
            <w:r>
              <w:t>Workgroup</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pPr>
            <w:r>
              <w:t>Gen Ed Group</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pPr>
            <w:r>
              <w:t>Count</w:t>
            </w:r>
          </w:p>
        </w:tc>
        <w:tc>
          <w:tcPr>
            <w:tcW w:w="2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pPr>
            <w:r>
              <w:t>Reviewers</w:t>
            </w:r>
          </w:p>
        </w:tc>
      </w:tr>
      <w:tr w:rsidR="00251E7A" w:rsidTr="00251E7A">
        <w:tc>
          <w:tcPr>
            <w:tcW w:w="12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Cultural &amp; International</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2</w:t>
            </w:r>
          </w:p>
        </w:tc>
        <w:tc>
          <w:tcPr>
            <w:tcW w:w="2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Bradford</w:t>
            </w:r>
            <w:r>
              <w:br/>
              <w:t>Ametsbichler</w:t>
            </w:r>
            <w:r>
              <w:br/>
              <w:t>Clough</w:t>
            </w:r>
          </w:p>
          <w:p w:rsidR="00251E7A" w:rsidRDefault="00251E7A" w:rsidP="00251E7A">
            <w:pPr>
              <w:spacing w:after="0" w:line="240" w:lineRule="auto"/>
            </w:pPr>
            <w:r>
              <w:t>Peters</w:t>
            </w:r>
          </w:p>
          <w:p w:rsidR="00251E7A" w:rsidRDefault="00251E7A" w:rsidP="00251E7A">
            <w:pPr>
              <w:spacing w:after="0" w:line="240" w:lineRule="auto"/>
            </w:pPr>
            <w:r>
              <w:t>Andria</w:t>
            </w:r>
          </w:p>
        </w:tc>
      </w:tr>
      <w:tr w:rsidR="00251E7A" w:rsidTr="00251E7A">
        <w:trPr>
          <w:trHeight w:val="763"/>
        </w:trPr>
        <w:tc>
          <w:tcPr>
            <w:tcW w:w="0" w:type="auto"/>
            <w:vMerge/>
            <w:tcBorders>
              <w:top w:val="nil"/>
              <w:left w:val="single" w:sz="8" w:space="0" w:color="auto"/>
              <w:bottom w:val="single" w:sz="8" w:space="0" w:color="auto"/>
              <w:right w:val="single" w:sz="8" w:space="0" w:color="auto"/>
            </w:tcBorders>
            <w:vAlign w:val="center"/>
            <w:hideMark/>
          </w:tcPr>
          <w:p w:rsidR="00251E7A" w:rsidRDefault="00251E7A" w:rsidP="00251E7A">
            <w:pPr>
              <w:spacing w:after="0" w:line="240" w:lineRule="auto"/>
              <w:rPr>
                <w:rFonts w:ascii="Calibri" w:hAnsi="Calibri" w:cs="Calibri"/>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Historical Studies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3</w:t>
            </w:r>
          </w:p>
        </w:tc>
        <w:tc>
          <w:tcPr>
            <w:tcW w:w="0" w:type="auto"/>
            <w:vMerge/>
            <w:tcBorders>
              <w:top w:val="nil"/>
              <w:left w:val="nil"/>
              <w:bottom w:val="single" w:sz="8" w:space="0" w:color="auto"/>
              <w:right w:val="single" w:sz="8" w:space="0" w:color="auto"/>
            </w:tcBorders>
            <w:vAlign w:val="center"/>
            <w:hideMark/>
          </w:tcPr>
          <w:p w:rsidR="00251E7A" w:rsidRDefault="00251E7A" w:rsidP="00251E7A">
            <w:pPr>
              <w:spacing w:after="0" w:line="240" w:lineRule="auto"/>
              <w:rPr>
                <w:rFonts w:ascii="Calibri" w:hAnsi="Calibri" w:cs="Calibri"/>
              </w:rPr>
            </w:pPr>
          </w:p>
        </w:tc>
      </w:tr>
      <w:tr w:rsidR="00251E7A" w:rsidTr="00251E7A">
        <w:tc>
          <w:tcPr>
            <w:tcW w:w="12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Democracy &amp; Citizenship</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2</w:t>
            </w:r>
          </w:p>
        </w:tc>
        <w:tc>
          <w:tcPr>
            <w:tcW w:w="2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Muench</w:t>
            </w:r>
            <w:r>
              <w:br/>
              <w:t>Wilkinson</w:t>
            </w:r>
            <w:r>
              <w:br/>
              <w:t>Wheeler</w:t>
            </w:r>
          </w:p>
        </w:tc>
      </w:tr>
      <w:tr w:rsidR="00251E7A" w:rsidTr="00251E7A">
        <w:tc>
          <w:tcPr>
            <w:tcW w:w="0" w:type="auto"/>
            <w:vMerge/>
            <w:tcBorders>
              <w:top w:val="nil"/>
              <w:left w:val="single" w:sz="8" w:space="0" w:color="auto"/>
              <w:bottom w:val="single" w:sz="8" w:space="0" w:color="auto"/>
              <w:right w:val="single" w:sz="8" w:space="0" w:color="auto"/>
            </w:tcBorders>
            <w:vAlign w:val="center"/>
            <w:hideMark/>
          </w:tcPr>
          <w:p w:rsidR="00251E7A" w:rsidRDefault="00251E7A" w:rsidP="00251E7A">
            <w:pPr>
              <w:spacing w:after="0" w:line="240" w:lineRule="auto"/>
              <w:rPr>
                <w:rFonts w:ascii="Calibri" w:hAnsi="Calibri" w:cs="Calibri"/>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Ethics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3</w:t>
            </w:r>
          </w:p>
        </w:tc>
        <w:tc>
          <w:tcPr>
            <w:tcW w:w="0" w:type="auto"/>
            <w:vMerge/>
            <w:tcBorders>
              <w:top w:val="nil"/>
              <w:left w:val="nil"/>
              <w:bottom w:val="single" w:sz="8" w:space="0" w:color="auto"/>
              <w:right w:val="single" w:sz="8" w:space="0" w:color="auto"/>
            </w:tcBorders>
            <w:vAlign w:val="center"/>
            <w:hideMark/>
          </w:tcPr>
          <w:p w:rsidR="00251E7A" w:rsidRDefault="00251E7A" w:rsidP="00251E7A">
            <w:pPr>
              <w:spacing w:after="0" w:line="240" w:lineRule="auto"/>
              <w:rPr>
                <w:rFonts w:ascii="Calibri" w:hAnsi="Calibri" w:cs="Calibri"/>
              </w:rPr>
            </w:pPr>
          </w:p>
        </w:tc>
      </w:tr>
      <w:tr w:rsidR="00251E7A" w:rsidTr="002035C3">
        <w:trPr>
          <w:trHeight w:val="188"/>
        </w:trPr>
        <w:tc>
          <w:tcPr>
            <w:tcW w:w="1278" w:type="dxa"/>
            <w:vMerge w:val="restart"/>
            <w:tcBorders>
              <w:top w:val="nil"/>
              <w:left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3</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Expressive Arts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251E7A">
            <w:pPr>
              <w:spacing w:after="0" w:line="240" w:lineRule="auto"/>
            </w:pPr>
            <w:r>
              <w:t>1 (removal)</w:t>
            </w:r>
          </w:p>
        </w:tc>
        <w:tc>
          <w:tcPr>
            <w:tcW w:w="2718" w:type="dxa"/>
            <w:vMerge w:val="restart"/>
            <w:tcBorders>
              <w:top w:val="nil"/>
              <w:left w:val="nil"/>
              <w:right w:val="single" w:sz="8" w:space="0" w:color="auto"/>
            </w:tcBorders>
            <w:tcMar>
              <w:top w:w="0" w:type="dxa"/>
              <w:left w:w="108" w:type="dxa"/>
              <w:bottom w:w="0" w:type="dxa"/>
              <w:right w:w="108" w:type="dxa"/>
            </w:tcMar>
            <w:hideMark/>
          </w:tcPr>
          <w:p w:rsidR="00251E7A" w:rsidRDefault="00251E7A" w:rsidP="00251E7A">
            <w:pPr>
              <w:spacing w:after="0" w:line="240" w:lineRule="auto"/>
            </w:pPr>
            <w:r>
              <w:t>Randall</w:t>
            </w:r>
            <w:r>
              <w:br/>
              <w:t>Bach</w:t>
            </w:r>
            <w:r>
              <w:br/>
              <w:t>Daisy</w:t>
            </w:r>
          </w:p>
        </w:tc>
      </w:tr>
      <w:tr w:rsidR="00251E7A" w:rsidTr="008F626E">
        <w:trPr>
          <w:trHeight w:val="277"/>
        </w:trPr>
        <w:tc>
          <w:tcPr>
            <w:tcW w:w="0" w:type="auto"/>
            <w:vMerge/>
            <w:tcBorders>
              <w:left w:val="single" w:sz="8" w:space="0" w:color="auto"/>
              <w:right w:val="single" w:sz="8" w:space="0" w:color="auto"/>
            </w:tcBorders>
            <w:vAlign w:val="center"/>
            <w:hideMark/>
          </w:tcPr>
          <w:p w:rsidR="00251E7A" w:rsidRDefault="00251E7A" w:rsidP="008F626E">
            <w:pPr>
              <w:spacing w:after="0"/>
              <w:rPr>
                <w:rFonts w:ascii="Calibri" w:hAnsi="Calibri" w:cs="Calibri"/>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8F626E">
            <w:pPr>
              <w:spacing w:after="0"/>
            </w:pPr>
            <w:r>
              <w:t>L Exempt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51E7A" w:rsidRDefault="00251E7A" w:rsidP="008F626E">
            <w:pPr>
              <w:spacing w:after="0"/>
            </w:pPr>
            <w:r>
              <w:t>2</w:t>
            </w:r>
          </w:p>
        </w:tc>
        <w:tc>
          <w:tcPr>
            <w:tcW w:w="0" w:type="auto"/>
            <w:vMerge/>
            <w:tcBorders>
              <w:left w:val="nil"/>
              <w:right w:val="single" w:sz="8" w:space="0" w:color="auto"/>
            </w:tcBorders>
            <w:vAlign w:val="center"/>
            <w:hideMark/>
          </w:tcPr>
          <w:p w:rsidR="00251E7A" w:rsidRDefault="00251E7A" w:rsidP="008F626E">
            <w:pPr>
              <w:spacing w:after="0"/>
              <w:rPr>
                <w:rFonts w:ascii="Calibri" w:hAnsi="Calibri" w:cs="Calibri"/>
              </w:rPr>
            </w:pPr>
          </w:p>
        </w:tc>
      </w:tr>
      <w:tr w:rsidR="00251E7A" w:rsidTr="00251E7A">
        <w:trPr>
          <w:trHeight w:val="295"/>
        </w:trPr>
        <w:tc>
          <w:tcPr>
            <w:tcW w:w="0" w:type="auto"/>
            <w:vMerge/>
            <w:tcBorders>
              <w:left w:val="single" w:sz="8" w:space="0" w:color="auto"/>
              <w:right w:val="single" w:sz="8" w:space="0" w:color="auto"/>
            </w:tcBorders>
            <w:vAlign w:val="center"/>
            <w:hideMark/>
          </w:tcPr>
          <w:p w:rsidR="00251E7A" w:rsidRDefault="00251E7A" w:rsidP="00251E7A">
            <w:pPr>
              <w:spacing w:after="0"/>
              <w:rPr>
                <w:rFonts w:ascii="Calibri" w:hAnsi="Calibri" w:cs="Calibri"/>
              </w:rPr>
            </w:pPr>
          </w:p>
        </w:tc>
        <w:tc>
          <w:tcPr>
            <w:tcW w:w="25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51E7A" w:rsidRDefault="00251E7A" w:rsidP="00251E7A">
            <w:pPr>
              <w:spacing w:after="0"/>
            </w:pPr>
            <w:r>
              <w:t>Literary and Artistic</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rsidR="00251E7A" w:rsidRDefault="00251E7A" w:rsidP="00251E7A">
            <w:pPr>
              <w:spacing w:after="0"/>
            </w:pPr>
            <w:r>
              <w:t>3</w:t>
            </w:r>
          </w:p>
        </w:tc>
        <w:tc>
          <w:tcPr>
            <w:tcW w:w="0" w:type="auto"/>
            <w:vMerge/>
            <w:tcBorders>
              <w:left w:val="nil"/>
              <w:right w:val="single" w:sz="8" w:space="0" w:color="auto"/>
            </w:tcBorders>
            <w:vAlign w:val="center"/>
            <w:hideMark/>
          </w:tcPr>
          <w:p w:rsidR="00251E7A" w:rsidRDefault="00251E7A" w:rsidP="00251E7A">
            <w:pPr>
              <w:spacing w:after="0"/>
              <w:rPr>
                <w:rFonts w:ascii="Calibri" w:hAnsi="Calibri" w:cs="Calibri"/>
              </w:rPr>
            </w:pPr>
          </w:p>
        </w:tc>
      </w:tr>
      <w:tr w:rsidR="00251E7A" w:rsidTr="00251E7A">
        <w:trPr>
          <w:trHeight w:val="332"/>
        </w:trPr>
        <w:tc>
          <w:tcPr>
            <w:tcW w:w="0" w:type="auto"/>
            <w:vMerge/>
            <w:tcBorders>
              <w:left w:val="single" w:sz="8" w:space="0" w:color="auto"/>
              <w:bottom w:val="single" w:sz="8" w:space="0" w:color="auto"/>
              <w:right w:val="single" w:sz="8" w:space="0" w:color="auto"/>
            </w:tcBorders>
            <w:vAlign w:val="center"/>
          </w:tcPr>
          <w:p w:rsidR="00251E7A" w:rsidRDefault="00251E7A" w:rsidP="00251E7A">
            <w:pPr>
              <w:spacing w:after="0"/>
              <w:rPr>
                <w:rFonts w:ascii="Calibri" w:hAnsi="Calibri" w:cs="Calibri"/>
              </w:rPr>
            </w:pPr>
          </w:p>
        </w:tc>
        <w:tc>
          <w:tcPr>
            <w:tcW w:w="25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1E7A" w:rsidRDefault="00251E7A" w:rsidP="00251E7A">
            <w:pPr>
              <w:spacing w:after="0"/>
            </w:pPr>
            <w:r>
              <w:t>Language</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1E7A" w:rsidRDefault="00251E7A" w:rsidP="00251E7A">
            <w:pPr>
              <w:spacing w:after="0"/>
            </w:pPr>
            <w:r>
              <w:t>1</w:t>
            </w:r>
          </w:p>
        </w:tc>
        <w:tc>
          <w:tcPr>
            <w:tcW w:w="0" w:type="auto"/>
            <w:vMerge/>
            <w:tcBorders>
              <w:left w:val="nil"/>
              <w:bottom w:val="single" w:sz="8" w:space="0" w:color="auto"/>
              <w:right w:val="single" w:sz="8" w:space="0" w:color="auto"/>
            </w:tcBorders>
            <w:vAlign w:val="center"/>
          </w:tcPr>
          <w:p w:rsidR="00251E7A" w:rsidRDefault="00251E7A" w:rsidP="00251E7A">
            <w:pPr>
              <w:spacing w:after="0"/>
              <w:rPr>
                <w:rFonts w:ascii="Calibri" w:hAnsi="Calibri" w:cs="Calibri"/>
              </w:rPr>
            </w:pPr>
          </w:p>
        </w:tc>
      </w:tr>
    </w:tbl>
    <w:p w:rsidR="00251E7A" w:rsidRDefault="00251E7A" w:rsidP="00251E7A">
      <w:pPr>
        <w:pStyle w:val="ListParagraph"/>
      </w:pPr>
    </w:p>
    <w:p w:rsidR="00251E7A" w:rsidRDefault="00251E7A" w:rsidP="008F626E">
      <w:pPr>
        <w:ind w:left="720"/>
      </w:pPr>
      <w:r>
        <w:t xml:space="preserve">Workgroups should decide on a chair to call the meeting.   </w:t>
      </w:r>
      <w:r w:rsidR="008F626E">
        <w:t>Workgroups</w:t>
      </w:r>
      <w:r>
        <w:t xml:space="preserve"> </w:t>
      </w:r>
      <w:r w:rsidR="008F626E">
        <w:t xml:space="preserve">were encouraged to use the meeting time on off weeks.  [GBB 225 is available for use at that time.] Forms </w:t>
      </w:r>
      <w:proofErr w:type="gramStart"/>
      <w:r w:rsidR="008F626E">
        <w:t>are rarely</w:t>
      </w:r>
      <w:r>
        <w:t xml:space="preserve"> den</w:t>
      </w:r>
      <w:r w:rsidR="008F626E">
        <w:t>ied</w:t>
      </w:r>
      <w:proofErr w:type="gramEnd"/>
      <w:r w:rsidR="008F626E">
        <w:t xml:space="preserve"> </w:t>
      </w:r>
      <w:r>
        <w:t xml:space="preserve">without providing the </w:t>
      </w:r>
      <w:r w:rsidR="008F626E">
        <w:t>requestor the opportunity to revise.  Members should kee</w:t>
      </w:r>
      <w:bookmarkStart w:id="0" w:name="_GoBack"/>
      <w:bookmarkEnd w:id="0"/>
      <w:r w:rsidR="008F626E">
        <w:t xml:space="preserve">p in </w:t>
      </w:r>
      <w:r w:rsidR="008F626E">
        <w:lastRenderedPageBreak/>
        <w:t xml:space="preserve">mind anything that may be confusing on the form, as well as noting forms that </w:t>
      </w:r>
      <w:proofErr w:type="gramStart"/>
      <w:r w:rsidR="008F626E">
        <w:t>could be used</w:t>
      </w:r>
      <w:proofErr w:type="gramEnd"/>
      <w:r w:rsidR="008F626E">
        <w:t xml:space="preserve"> as examples.  </w:t>
      </w:r>
    </w:p>
    <w:p w:rsidR="009D125E" w:rsidRDefault="008F626E" w:rsidP="0001544C">
      <w:pPr>
        <w:pStyle w:val="ListParagraph"/>
        <w:numPr>
          <w:ilvl w:val="0"/>
          <w:numId w:val="27"/>
        </w:numPr>
      </w:pPr>
      <w:r>
        <w:t xml:space="preserve">The Preamble Workgroup is meeting tomorrow.  The Workshop Workgroup will meet soon.  The Data Workgroup has not yet met. </w:t>
      </w:r>
    </w:p>
    <w:p w:rsidR="00DA1B1B" w:rsidRDefault="00DA1B1B" w:rsidP="0001544C">
      <w:pPr>
        <w:pStyle w:val="Heading2"/>
      </w:pPr>
      <w:r>
        <w:t>Adjournment</w:t>
      </w:r>
    </w:p>
    <w:p w:rsidR="009A66E6" w:rsidRDefault="006E083D" w:rsidP="00191A14">
      <w:pPr>
        <w:rPr>
          <w:rFonts w:eastAsia="Times New Roman"/>
        </w:rPr>
      </w:pPr>
      <w:r>
        <w:t xml:space="preserve">The meeting </w:t>
      </w:r>
      <w:proofErr w:type="gramStart"/>
      <w:r>
        <w:t>was adjourned</w:t>
      </w:r>
      <w:proofErr w:type="gramEnd"/>
      <w:r>
        <w:t xml:space="preserve"> at </w:t>
      </w:r>
      <w:r w:rsidR="008F626E">
        <w:t>4</w:t>
      </w:r>
      <w:r w:rsidR="00F17942">
        <w:t>:</w:t>
      </w:r>
      <w:r w:rsidR="008F626E">
        <w:t>3</w:t>
      </w:r>
      <w:r w:rsidR="00954F9B">
        <w:t>5</w:t>
      </w:r>
      <w:r>
        <w:t xml:space="preserve"> p.m.</w:t>
      </w:r>
      <w:r w:rsidR="00426D2A">
        <w:br/>
      </w:r>
    </w:p>
    <w:p w:rsidR="009A66E6" w:rsidRDefault="009A66E6" w:rsidP="0064126D"/>
    <w:sectPr w:rsidR="009A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9F"/>
    <w:multiLevelType w:val="hybridMultilevel"/>
    <w:tmpl w:val="AEF4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F3CEC"/>
    <w:multiLevelType w:val="hybridMultilevel"/>
    <w:tmpl w:val="BCA4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81558"/>
    <w:multiLevelType w:val="hybridMultilevel"/>
    <w:tmpl w:val="0C2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D2A17B3"/>
    <w:multiLevelType w:val="multilevel"/>
    <w:tmpl w:val="C8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BB30C6"/>
    <w:multiLevelType w:val="hybridMultilevel"/>
    <w:tmpl w:val="AF6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572381"/>
    <w:multiLevelType w:val="hybridMultilevel"/>
    <w:tmpl w:val="B03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253D1"/>
    <w:multiLevelType w:val="hybridMultilevel"/>
    <w:tmpl w:val="8EA4B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621A28"/>
    <w:multiLevelType w:val="hybridMultilevel"/>
    <w:tmpl w:val="08C032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C231B4"/>
    <w:multiLevelType w:val="hybridMultilevel"/>
    <w:tmpl w:val="F8160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8751AA"/>
    <w:multiLevelType w:val="hybridMultilevel"/>
    <w:tmpl w:val="2E142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F06D7"/>
    <w:multiLevelType w:val="hybridMultilevel"/>
    <w:tmpl w:val="2C74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E7511F"/>
    <w:multiLevelType w:val="hybridMultilevel"/>
    <w:tmpl w:val="5994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3D5B55"/>
    <w:multiLevelType w:val="hybridMultilevel"/>
    <w:tmpl w:val="4BA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7F6F49"/>
    <w:multiLevelType w:val="hybridMultilevel"/>
    <w:tmpl w:val="04E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5"/>
  </w:num>
  <w:num w:numId="4">
    <w:abstractNumId w:val="25"/>
  </w:num>
  <w:num w:numId="5">
    <w:abstractNumId w:val="15"/>
  </w:num>
  <w:num w:numId="6">
    <w:abstractNumId w:val="1"/>
  </w:num>
  <w:num w:numId="7">
    <w:abstractNumId w:val="24"/>
  </w:num>
  <w:num w:numId="8">
    <w:abstractNumId w:val="40"/>
  </w:num>
  <w:num w:numId="9">
    <w:abstractNumId w:val="16"/>
  </w:num>
  <w:num w:numId="10">
    <w:abstractNumId w:val="26"/>
  </w:num>
  <w:num w:numId="11">
    <w:abstractNumId w:val="38"/>
  </w:num>
  <w:num w:numId="12">
    <w:abstractNumId w:val="11"/>
  </w:num>
  <w:num w:numId="13">
    <w:abstractNumId w:val="22"/>
  </w:num>
  <w:num w:numId="14">
    <w:abstractNumId w:val="17"/>
  </w:num>
  <w:num w:numId="15">
    <w:abstractNumId w:val="33"/>
  </w:num>
  <w:num w:numId="16">
    <w:abstractNumId w:val="31"/>
  </w:num>
  <w:num w:numId="17">
    <w:abstractNumId w:val="6"/>
  </w:num>
  <w:num w:numId="18">
    <w:abstractNumId w:val="13"/>
  </w:num>
  <w:num w:numId="19">
    <w:abstractNumId w:val="7"/>
  </w:num>
  <w:num w:numId="20">
    <w:abstractNumId w:val="30"/>
  </w:num>
  <w:num w:numId="21">
    <w:abstractNumId w:val="36"/>
  </w:num>
  <w:num w:numId="22">
    <w:abstractNumId w:val="21"/>
  </w:num>
  <w:num w:numId="23">
    <w:abstractNumId w:val="23"/>
  </w:num>
  <w:num w:numId="24">
    <w:abstractNumId w:val="10"/>
  </w:num>
  <w:num w:numId="25">
    <w:abstractNumId w:val="29"/>
  </w:num>
  <w:num w:numId="26">
    <w:abstractNumId w:val="14"/>
  </w:num>
  <w:num w:numId="27">
    <w:abstractNumId w:val="35"/>
  </w:num>
  <w:num w:numId="28">
    <w:abstractNumId w:val="8"/>
  </w:num>
  <w:num w:numId="29">
    <w:abstractNumId w:val="12"/>
  </w:num>
  <w:num w:numId="30">
    <w:abstractNumId w:val="18"/>
  </w:num>
  <w:num w:numId="31">
    <w:abstractNumId w:val="4"/>
  </w:num>
  <w:num w:numId="32">
    <w:abstractNumId w:val="2"/>
  </w:num>
  <w:num w:numId="33">
    <w:abstractNumId w:val="0"/>
  </w:num>
  <w:num w:numId="34">
    <w:abstractNumId w:val="37"/>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
  </w:num>
  <w:num w:numId="38">
    <w:abstractNumId w:val="34"/>
  </w:num>
  <w:num w:numId="39">
    <w:abstractNumId w:val="39"/>
  </w:num>
  <w:num w:numId="40">
    <w:abstractNumId w:val="19"/>
  </w:num>
  <w:num w:numId="41">
    <w:abstractNumId w:val="2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5540"/>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86FB0"/>
    <w:rsid w:val="001904CF"/>
    <w:rsid w:val="001919F9"/>
    <w:rsid w:val="00191A14"/>
    <w:rsid w:val="00192019"/>
    <w:rsid w:val="001952F6"/>
    <w:rsid w:val="00195794"/>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64D6"/>
    <w:rsid w:val="00237074"/>
    <w:rsid w:val="00237948"/>
    <w:rsid w:val="002424DC"/>
    <w:rsid w:val="00243616"/>
    <w:rsid w:val="002468D5"/>
    <w:rsid w:val="0025091B"/>
    <w:rsid w:val="00250B7A"/>
    <w:rsid w:val="00251E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0096"/>
    <w:rsid w:val="003D0C8E"/>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EA"/>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46E47"/>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B12"/>
    <w:rsid w:val="00780E51"/>
    <w:rsid w:val="00785720"/>
    <w:rsid w:val="007874BF"/>
    <w:rsid w:val="00791907"/>
    <w:rsid w:val="0079209A"/>
    <w:rsid w:val="0079236E"/>
    <w:rsid w:val="007924DE"/>
    <w:rsid w:val="00795DEC"/>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82E"/>
    <w:rsid w:val="008E1A96"/>
    <w:rsid w:val="008E24AC"/>
    <w:rsid w:val="008E4D0D"/>
    <w:rsid w:val="008E647E"/>
    <w:rsid w:val="008E6594"/>
    <w:rsid w:val="008E7276"/>
    <w:rsid w:val="008F01E3"/>
    <w:rsid w:val="008F2E32"/>
    <w:rsid w:val="008F626E"/>
    <w:rsid w:val="00901C82"/>
    <w:rsid w:val="009028AD"/>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7D8B"/>
    <w:rsid w:val="00AE1E15"/>
    <w:rsid w:val="00AE1E2C"/>
    <w:rsid w:val="00AE20FF"/>
    <w:rsid w:val="00AE2B18"/>
    <w:rsid w:val="00AE328F"/>
    <w:rsid w:val="00AF2BDD"/>
    <w:rsid w:val="00AF6CDD"/>
    <w:rsid w:val="00AF733E"/>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7EF0"/>
    <w:rsid w:val="00CA212F"/>
    <w:rsid w:val="00CA3736"/>
    <w:rsid w:val="00CA751D"/>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30EE"/>
    <w:rsid w:val="00D73F2F"/>
    <w:rsid w:val="00D7467E"/>
    <w:rsid w:val="00D74BD6"/>
    <w:rsid w:val="00D74DE1"/>
    <w:rsid w:val="00D766D5"/>
    <w:rsid w:val="00D7682B"/>
    <w:rsid w:val="00D80A1C"/>
    <w:rsid w:val="00D80B67"/>
    <w:rsid w:val="00D80F6D"/>
    <w:rsid w:val="00D8221A"/>
    <w:rsid w:val="00D82D38"/>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BD2A"/>
  <w15:docId w15:val="{2E3FB014-01E3-47C1-ABC6-8731471F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665863518">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Foos, Camie L</dc:creator>
  <cp:lastModifiedBy>Foos, Camie L</cp:lastModifiedBy>
  <cp:revision>2</cp:revision>
  <dcterms:created xsi:type="dcterms:W3CDTF">2017-10-30T23:12:00Z</dcterms:created>
  <dcterms:modified xsi:type="dcterms:W3CDTF">2017-10-30T23:12:00Z</dcterms:modified>
</cp:coreProperties>
</file>