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BB" w:rsidRDefault="00713C59" w:rsidP="00E108BB">
      <w:pPr>
        <w:pStyle w:val="Heading1"/>
        <w:rPr>
          <w:noProof/>
        </w:rPr>
      </w:pPr>
      <w:r>
        <w:rPr>
          <w:noProof/>
        </w:rPr>
        <w:drawing>
          <wp:anchor distT="0" distB="0" distL="114300" distR="114300" simplePos="0" relativeHeight="251657216" behindDoc="1" locked="0" layoutInCell="1" allowOverlap="1" wp14:anchorId="4493CF78" wp14:editId="758B09EE">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E5A8E2" wp14:editId="628C89EA">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7D3FE7">
        <w:rPr>
          <w:rFonts w:cs="Arial"/>
          <w:noProof/>
        </w:rPr>
        <w:t>General Education Course Criteria and Learning Outcomes</w:t>
      </w:r>
    </w:p>
    <w:p w:rsidR="00C91E3F" w:rsidRPr="007D3FE7" w:rsidRDefault="003B718A" w:rsidP="00E67679">
      <w:pPr>
        <w:ind w:firstLine="0"/>
        <w:rPr>
          <w:rFonts w:cs="Arial"/>
          <w:noProof/>
        </w:rPr>
      </w:pPr>
      <w:r w:rsidRPr="007D3FE7">
        <w:rPr>
          <w:rStyle w:val="SubtleReference"/>
        </w:rPr>
        <w:t>Procedure Number:</w:t>
      </w:r>
      <w:r w:rsidRPr="007D3FE7">
        <w:rPr>
          <w:rFonts w:cs="Arial"/>
          <w:noProof/>
        </w:rPr>
        <w:tab/>
      </w:r>
      <w:r w:rsidR="00C91E3F" w:rsidRPr="007D3FE7">
        <w:rPr>
          <w:rFonts w:cs="Arial"/>
          <w:noProof/>
        </w:rPr>
        <w:t>20</w:t>
      </w:r>
      <w:r w:rsidR="007D3FE7" w:rsidRPr="007D3FE7">
        <w:rPr>
          <w:rFonts w:cs="Arial"/>
          <w:noProof/>
        </w:rPr>
        <w:t>2</w:t>
      </w:r>
      <w:r w:rsidR="00C91E3F" w:rsidRPr="007D3FE7">
        <w:rPr>
          <w:rFonts w:cs="Arial"/>
          <w:noProof/>
        </w:rPr>
        <w:t>.</w:t>
      </w:r>
      <w:r w:rsidR="00536698" w:rsidRPr="007D3FE7">
        <w:rPr>
          <w:rFonts w:cs="Arial"/>
          <w:noProof/>
        </w:rPr>
        <w:t>2</w:t>
      </w:r>
      <w:r w:rsidR="002A79B7" w:rsidRPr="007D3FE7">
        <w:rPr>
          <w:rFonts w:cs="Arial"/>
          <w:noProof/>
        </w:rPr>
        <w:t>0</w:t>
      </w:r>
    </w:p>
    <w:p w:rsidR="00F94E42" w:rsidRPr="007D3FE7" w:rsidRDefault="00E108BB" w:rsidP="00E67679">
      <w:pPr>
        <w:ind w:firstLine="0"/>
        <w:rPr>
          <w:rFonts w:cs="Arial"/>
          <w:noProof/>
        </w:rPr>
      </w:pPr>
      <w:r w:rsidRPr="007D3FE7">
        <w:rPr>
          <w:rStyle w:val="SubtleReference"/>
        </w:rPr>
        <w:t>Date Adopted:</w:t>
      </w:r>
      <w:r w:rsidR="00797A9E" w:rsidRPr="007D3FE7">
        <w:rPr>
          <w:rStyle w:val="Heading2Char"/>
          <w:rFonts w:asciiTheme="minorHAnsi" w:hAnsiTheme="minorHAnsi"/>
          <w:sz w:val="22"/>
          <w:szCs w:val="22"/>
        </w:rPr>
        <w:tab/>
      </w:r>
      <w:r w:rsidR="0092488E" w:rsidRPr="007D3FE7">
        <w:rPr>
          <w:rStyle w:val="Heading2Char"/>
          <w:rFonts w:asciiTheme="minorHAnsi" w:hAnsiTheme="minorHAnsi"/>
          <w:sz w:val="22"/>
          <w:szCs w:val="22"/>
        </w:rPr>
        <w:tab/>
      </w:r>
      <w:r w:rsidR="007D3FE7" w:rsidRPr="007D3FE7">
        <w:t>5/1/08</w:t>
      </w:r>
      <w:r w:rsidR="003200C4" w:rsidRPr="007D3FE7">
        <w:rPr>
          <w:rFonts w:cs="Arial"/>
          <w:noProof/>
        </w:rPr>
        <w:br/>
      </w:r>
      <w:r w:rsidR="00797A9E" w:rsidRPr="007D3FE7">
        <w:rPr>
          <w:rStyle w:val="SubtleReference"/>
        </w:rPr>
        <w:t>Last Revision:</w:t>
      </w:r>
      <w:r w:rsidR="00797A9E" w:rsidRPr="007D3FE7">
        <w:rPr>
          <w:rStyle w:val="SubtleReference"/>
        </w:rPr>
        <w:tab/>
      </w:r>
      <w:r w:rsidR="00797A9E" w:rsidRPr="007D3FE7">
        <w:rPr>
          <w:rFonts w:cs="Arial"/>
          <w:noProof/>
        </w:rPr>
        <w:tab/>
      </w:r>
      <w:r w:rsidR="007D3FE7" w:rsidRPr="007D3FE7">
        <w:rPr>
          <w:rFonts w:cs="Arial"/>
          <w:noProof/>
        </w:rPr>
        <w:t>5/</w:t>
      </w:r>
      <w:r w:rsidR="00FF4007">
        <w:rPr>
          <w:rFonts w:cs="Arial"/>
          <w:noProof/>
        </w:rPr>
        <w:t>5/16</w:t>
      </w:r>
      <w:r w:rsidR="00CB3DB2">
        <w:rPr>
          <w:rFonts w:cs="Arial"/>
          <w:noProof/>
        </w:rPr>
        <w:t xml:space="preserve">, </w:t>
      </w:r>
      <w:r w:rsidR="00CB3DB2" w:rsidRPr="00CB3DB2">
        <w:rPr>
          <w:rFonts w:cs="Arial"/>
          <w:noProof/>
          <w:u w:val="single"/>
        </w:rPr>
        <w:t>xx/xx/17</w:t>
      </w:r>
      <w:r w:rsidR="003200C4" w:rsidRPr="007D3FE7">
        <w:rPr>
          <w:rFonts w:cs="Arial"/>
          <w:noProof/>
        </w:rPr>
        <w:br/>
      </w:r>
      <w:proofErr w:type="gramStart"/>
      <w:r w:rsidR="00F25E28" w:rsidRPr="007D3FE7">
        <w:rPr>
          <w:rStyle w:val="SubtleReference"/>
        </w:rPr>
        <w:t>Approved</w:t>
      </w:r>
      <w:proofErr w:type="gramEnd"/>
      <w:r w:rsidR="00F25E28" w:rsidRPr="007D3FE7">
        <w:rPr>
          <w:rStyle w:val="SubtleReference"/>
        </w:rPr>
        <w:t xml:space="preserve"> by:</w:t>
      </w:r>
      <w:r w:rsidR="00F25E28" w:rsidRPr="007D3FE7">
        <w:rPr>
          <w:rStyle w:val="Heading2Char"/>
          <w:rFonts w:asciiTheme="minorHAnsi" w:hAnsiTheme="minorHAnsi"/>
          <w:sz w:val="22"/>
          <w:szCs w:val="22"/>
        </w:rPr>
        <w:t xml:space="preserve"> </w:t>
      </w:r>
      <w:r w:rsidR="00557A60" w:rsidRPr="007D3FE7">
        <w:rPr>
          <w:rStyle w:val="Heading2Char"/>
          <w:rFonts w:asciiTheme="minorHAnsi" w:hAnsiTheme="minorHAnsi"/>
          <w:sz w:val="22"/>
          <w:szCs w:val="22"/>
        </w:rPr>
        <w:tab/>
      </w:r>
      <w:r w:rsidR="003B718A" w:rsidRPr="007D3FE7">
        <w:rPr>
          <w:rFonts w:cs="Arial"/>
          <w:noProof/>
        </w:rPr>
        <w:tab/>
      </w:r>
      <w:r w:rsidR="00536698" w:rsidRPr="007D3FE7">
        <w:rPr>
          <w:rFonts w:cs="Arial"/>
          <w:noProof/>
        </w:rPr>
        <w:t xml:space="preserve">ASCRC </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347D8200" wp14:editId="4DF0F86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A202B"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860"/>
        <w:gridCol w:w="4500"/>
      </w:tblGrid>
      <w:tr w:rsidR="007D3FE7" w:rsidRPr="00F61EFB" w:rsidTr="00313C0F">
        <w:trPr>
          <w:tblCellSpacing w:w="0" w:type="dxa"/>
        </w:trPr>
        <w:tc>
          <w:tcPr>
            <w:tcW w:w="9360" w:type="dxa"/>
            <w:gridSpan w:val="2"/>
            <w:hideMark/>
          </w:tcPr>
          <w:p w:rsidR="007D3FE7" w:rsidRPr="00F61EFB" w:rsidRDefault="007D3FE7" w:rsidP="007D3FE7">
            <w:pPr>
              <w:spacing w:before="100" w:beforeAutospacing="1" w:after="100" w:afterAutospacing="1"/>
              <w:ind w:firstLine="0"/>
              <w:rPr>
                <w:rFonts w:eastAsia="Times New Roman" w:cs="Arial"/>
                <w:color w:val="313131"/>
              </w:rPr>
            </w:pPr>
            <w:r w:rsidRPr="007D3FE7">
              <w:rPr>
                <w:rStyle w:val="Heading2Char"/>
              </w:rPr>
              <w:t>Group II Mathematics</w:t>
            </w:r>
            <w:proofErr w:type="gramStart"/>
            <w:r w:rsidRPr="007D3FE7">
              <w:rPr>
                <w:rStyle w:val="Heading2Char"/>
              </w:rPr>
              <w:t>:</w:t>
            </w:r>
            <w:proofErr w:type="gramEnd"/>
            <w:r w:rsidRPr="00F61EFB">
              <w:rPr>
                <w:rFonts w:eastAsia="Times New Roman" w:cs="Arial"/>
                <w:color w:val="313131"/>
              </w:rPr>
              <w:br/>
              <w:t>Mathematical literacy implies an appreciation of the beauty of mathematics, an ability to apply mathematical reasoning, and an understanding of how mathematics and statistics are used in many arenas. Mathematical literacy may be obtained through the study of topics such as the properties of numbers, mathematical modeling, geometry, data analysis and probability, with the overarching goal of learning mathematical reasoning and problem solving</w:t>
            </w:r>
            <w:r>
              <w:rPr>
                <w:rFonts w:eastAsia="Times New Roman" w:cs="Arial"/>
                <w:color w:val="313131"/>
              </w:rPr>
              <w:t>.</w:t>
            </w:r>
            <w:r w:rsidRPr="00F61EFB">
              <w:rPr>
                <w:rFonts w:eastAsia="Times New Roman" w:cs="Arial"/>
                <w:color w:val="313131"/>
              </w:rPr>
              <w:br/>
            </w:r>
            <w:r w:rsidRPr="00F61EFB">
              <w:rPr>
                <w:rFonts w:eastAsia="Times New Roman" w:cs="Arial"/>
                <w:color w:val="313131"/>
              </w:rPr>
              <w:br/>
              <w:t>Mathematical literacy cannot be achieved in a single course.  However, for the purposes of general education, the mathematical literacy requirement  can be met by any one of the following:  </w:t>
            </w:r>
          </w:p>
          <w:p w:rsidR="007D3FE7" w:rsidRDefault="007D3FE7" w:rsidP="00313C0F">
            <w:pPr>
              <w:pStyle w:val="ListParagraph"/>
              <w:numPr>
                <w:ilvl w:val="0"/>
                <w:numId w:val="17"/>
              </w:numPr>
              <w:spacing w:before="100" w:beforeAutospacing="1" w:after="100" w:afterAutospacing="1"/>
              <w:rPr>
                <w:rFonts w:eastAsia="Times New Roman" w:cs="Arial"/>
                <w:color w:val="313131"/>
              </w:rPr>
            </w:pPr>
            <w:r w:rsidRPr="007D3FE7">
              <w:rPr>
                <w:rFonts w:eastAsia="Times New Roman" w:cs="Arial"/>
                <w:color w:val="313131"/>
              </w:rPr>
              <w:t xml:space="preserve">achieving a grade of C- or better in one of the following courses which address different aspects of mathematical literacy: Math </w:t>
            </w:r>
            <w:r w:rsidR="008D695A">
              <w:rPr>
                <w:rFonts w:eastAsia="Times New Roman" w:cs="Arial"/>
                <w:color w:val="313131"/>
              </w:rPr>
              <w:t xml:space="preserve"> </w:t>
            </w:r>
            <w:r w:rsidR="008D695A" w:rsidRPr="00FF4007">
              <w:t xml:space="preserve">104, 105, 115, 118, 121, 122, </w:t>
            </w:r>
            <w:r w:rsidR="005F364B" w:rsidRPr="00FF4007">
              <w:t xml:space="preserve">M132, </w:t>
            </w:r>
            <w:r w:rsidR="008D695A" w:rsidRPr="00FF4007">
              <w:t>135, 151, 162</w:t>
            </w:r>
            <w:r w:rsidRPr="007D3FE7">
              <w:rPr>
                <w:rFonts w:eastAsia="Times New Roman" w:cs="Arial"/>
                <w:color w:val="313131"/>
              </w:rPr>
              <w:t>, or a mathematics course of 3 or more credits for which one of these is a prerequisite.  </w:t>
            </w:r>
          </w:p>
          <w:p w:rsidR="007D3FE7" w:rsidRDefault="007D3FE7" w:rsidP="00313C0F">
            <w:pPr>
              <w:pStyle w:val="ListParagraph"/>
              <w:numPr>
                <w:ilvl w:val="0"/>
                <w:numId w:val="17"/>
              </w:numPr>
              <w:spacing w:before="100" w:beforeAutospacing="1" w:after="100" w:afterAutospacing="1"/>
              <w:rPr>
                <w:rFonts w:eastAsia="Times New Roman" w:cs="Arial"/>
                <w:color w:val="313131"/>
              </w:rPr>
            </w:pPr>
            <w:proofErr w:type="gramStart"/>
            <w:r w:rsidRPr="007D3FE7">
              <w:rPr>
                <w:rFonts w:eastAsia="Times New Roman" w:cs="Arial"/>
                <w:color w:val="313131"/>
              </w:rPr>
              <w:t>achieving</w:t>
            </w:r>
            <w:proofErr w:type="gramEnd"/>
            <w:r w:rsidRPr="007D3FE7">
              <w:rPr>
                <w:rFonts w:eastAsia="Times New Roman" w:cs="Arial"/>
                <w:color w:val="313131"/>
              </w:rPr>
              <w:t xml:space="preserve"> a score of 50 or better on the CLEP College Algebra Test, the CLEP College </w:t>
            </w:r>
            <w:proofErr w:type="spellStart"/>
            <w:r w:rsidRPr="007D3FE7">
              <w:rPr>
                <w:rFonts w:eastAsia="Times New Roman" w:cs="Arial"/>
                <w:color w:val="313131"/>
              </w:rPr>
              <w:t>Precalculus</w:t>
            </w:r>
            <w:proofErr w:type="spellEnd"/>
            <w:r w:rsidRPr="007D3FE7">
              <w:rPr>
                <w:rFonts w:eastAsia="Times New Roman" w:cs="Arial"/>
                <w:color w:val="313131"/>
              </w:rPr>
              <w:t xml:space="preserve"> Test, or the CLEP College Mathematics Test.</w:t>
            </w:r>
          </w:p>
          <w:p w:rsidR="007D3FE7" w:rsidRPr="007D3FE7" w:rsidRDefault="007D3FE7" w:rsidP="00313C0F">
            <w:pPr>
              <w:pStyle w:val="ListParagraph"/>
              <w:numPr>
                <w:ilvl w:val="0"/>
                <w:numId w:val="17"/>
              </w:numPr>
              <w:spacing w:before="100" w:beforeAutospacing="1" w:after="100" w:afterAutospacing="1"/>
              <w:rPr>
                <w:rFonts w:eastAsia="Times New Roman" w:cs="Arial"/>
                <w:color w:val="313131"/>
              </w:rPr>
            </w:pPr>
            <w:r w:rsidRPr="007D3FE7">
              <w:rPr>
                <w:rFonts w:eastAsia="Times New Roman" w:cs="Arial"/>
                <w:color w:val="313131"/>
              </w:rPr>
              <w:t xml:space="preserve"> </w:t>
            </w:r>
            <w:proofErr w:type="gramStart"/>
            <w:r w:rsidRPr="007D3FE7">
              <w:rPr>
                <w:rFonts w:eastAsia="Times New Roman" w:cs="Arial"/>
                <w:color w:val="313131"/>
              </w:rPr>
              <w:t>passing</w:t>
            </w:r>
            <w:proofErr w:type="gramEnd"/>
            <w:r w:rsidRPr="007D3FE7">
              <w:rPr>
                <w:rFonts w:eastAsia="Times New Roman" w:cs="Arial"/>
                <w:color w:val="313131"/>
              </w:rPr>
              <w:t xml:space="preserve"> the Mathematical Literacy Examination administered by the Department of Mathematical Sciences. To qualify to take the Mathematical Literacy Examination, a student must have achieved a score of 630 or better on the SAT Math exam or a score of 28 or better on the ACT Math exam. A student may </w:t>
            </w:r>
            <w:r w:rsidRPr="007D3FE7">
              <w:rPr>
                <w:rFonts w:eastAsia="Times New Roman" w:cs="Arial"/>
                <w:strike/>
                <w:color w:val="313131"/>
              </w:rPr>
              <w:t>only</w:t>
            </w:r>
            <w:r w:rsidRPr="007D3FE7">
              <w:rPr>
                <w:rFonts w:eastAsia="Times New Roman" w:cs="Arial"/>
                <w:color w:val="313131"/>
              </w:rPr>
              <w:t xml:space="preserve"> take the Mathematical Literacy Examination </w:t>
            </w:r>
            <w:r w:rsidRPr="007D3FE7">
              <w:rPr>
                <w:rFonts w:eastAsia="Times New Roman" w:cs="Arial"/>
                <w:color w:val="313131"/>
                <w:u w:val="single"/>
              </w:rPr>
              <w:t>only</w:t>
            </w:r>
            <w:r w:rsidRPr="007D3FE7">
              <w:rPr>
                <w:rFonts w:eastAsia="Times New Roman" w:cs="Arial"/>
                <w:color w:val="313131"/>
              </w:rPr>
              <w:t xml:space="preserve"> once. Further details are available from the Department of Mathematical Sciences.</w:t>
            </w:r>
          </w:p>
          <w:p w:rsidR="007D3FE7" w:rsidRPr="00F61EFB" w:rsidRDefault="007D3FE7" w:rsidP="00313C0F">
            <w:pPr>
              <w:spacing w:before="100" w:beforeAutospacing="1" w:after="100" w:afterAutospacing="1"/>
              <w:ind w:firstLine="0"/>
              <w:rPr>
                <w:rFonts w:eastAsia="Times New Roman" w:cs="Arial"/>
                <w:color w:val="313131"/>
              </w:rPr>
            </w:pPr>
            <w:r w:rsidRPr="00F61EFB">
              <w:rPr>
                <w:rFonts w:eastAsia="Times New Roman" w:cs="Arial"/>
                <w:color w:val="313131"/>
              </w:rPr>
              <w:t>Students must complete the mathematical literacy requirement by the time they have earned 30 credits; if not, they must register for a mathematical sciences course every semester until they have completed the requirement. Because many other courses at the university assume some mathematical literacy, it is strongly recommended that all students complete their mathematical literacy requirement as soon as possible.</w:t>
            </w:r>
            <w:r>
              <w:rPr>
                <w:rFonts w:eastAsia="Times New Roman" w:cs="Arial"/>
                <w:color w:val="313131"/>
              </w:rPr>
              <w:br/>
            </w:r>
          </w:p>
        </w:tc>
      </w:tr>
      <w:tr w:rsidR="00313C0F" w:rsidRPr="00F61EFB" w:rsidTr="00313C0F">
        <w:trPr>
          <w:tblCellSpacing w:w="0" w:type="dxa"/>
        </w:trPr>
        <w:tc>
          <w:tcPr>
            <w:tcW w:w="4860" w:type="dxa"/>
            <w:tcBorders>
              <w:top w:val="single" w:sz="4" w:space="0" w:color="auto"/>
              <w:left w:val="single" w:sz="4" w:space="0" w:color="auto"/>
              <w:bottom w:val="single" w:sz="4" w:space="0" w:color="auto"/>
              <w:right w:val="single" w:sz="4" w:space="0" w:color="auto"/>
            </w:tcBorders>
          </w:tcPr>
          <w:p w:rsidR="00313C0F" w:rsidRPr="00F61EFB" w:rsidRDefault="00313C0F" w:rsidP="00313C0F">
            <w:pPr>
              <w:spacing w:before="100" w:beforeAutospacing="1" w:after="100" w:afterAutospacing="1"/>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500" w:type="dxa"/>
            <w:tcBorders>
              <w:top w:val="single" w:sz="4" w:space="0" w:color="auto"/>
              <w:left w:val="single" w:sz="4" w:space="0" w:color="auto"/>
              <w:bottom w:val="single" w:sz="4" w:space="0" w:color="auto"/>
              <w:right w:val="single" w:sz="4" w:space="0" w:color="auto"/>
            </w:tcBorders>
          </w:tcPr>
          <w:p w:rsidR="00313C0F" w:rsidRPr="00F61EFB" w:rsidRDefault="00313C0F" w:rsidP="00313C0F">
            <w:pPr>
              <w:spacing w:before="100" w:beforeAutospacing="1" w:after="100" w:afterAutospacing="1"/>
              <w:rPr>
                <w:rFonts w:eastAsia="Times New Roman" w:cs="Arial"/>
                <w:color w:val="313131"/>
                <w:u w:val="single"/>
              </w:rPr>
            </w:pPr>
            <w:r w:rsidRPr="00F61EFB">
              <w:rPr>
                <w:rFonts w:eastAsia="Times New Roman" w:cs="Arial"/>
                <w:color w:val="313131"/>
                <w:u w:val="single"/>
              </w:rPr>
              <w:t>Learning Goals:</w:t>
            </w:r>
          </w:p>
        </w:tc>
      </w:tr>
      <w:tr w:rsidR="007D3FE7" w:rsidRPr="00F61EFB" w:rsidTr="00313C0F">
        <w:trPr>
          <w:tblCellSpacing w:w="0" w:type="dxa"/>
        </w:trPr>
        <w:tc>
          <w:tcPr>
            <w:tcW w:w="486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sidRPr="00F61EFB">
              <w:rPr>
                <w:rFonts w:eastAsia="Times New Roman" w:cs="Arial"/>
                <w:color w:val="313131"/>
                <w:u w:val="single"/>
              </w:rPr>
              <w:br/>
            </w:r>
            <w:r w:rsidRPr="00F61EFB">
              <w:rPr>
                <w:rFonts w:eastAsia="Times New Roman" w:cs="Arial"/>
                <w:color w:val="313131"/>
              </w:rPr>
              <w:t>Any course which satisfies the mathematical literacy requirement must have as its primary goal to teach mathematical reasoning and problem solving at a college level. Department of Mathematical Sciences approval is required.</w:t>
            </w:r>
          </w:p>
        </w:tc>
        <w:tc>
          <w:tcPr>
            <w:tcW w:w="450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sidRPr="00F61EFB">
              <w:rPr>
                <w:rFonts w:eastAsia="Times New Roman" w:cs="Arial"/>
                <w:color w:val="313131"/>
                <w:u w:val="single"/>
              </w:rPr>
              <w:br/>
            </w:r>
            <w:r w:rsidRPr="00F61EFB">
              <w:rPr>
                <w:rFonts w:eastAsia="Times New Roman" w:cs="Arial"/>
                <w:color w:val="313131"/>
              </w:rPr>
              <w:t>Upon completion of the mathematical literacy requirement, a student will be able to apply effectively mathematical or statistical reasoning to a variety of applied or theoretical problems.</w:t>
            </w:r>
          </w:p>
        </w:tc>
      </w:tr>
    </w:tbl>
    <w:p w:rsidR="007D3FE7" w:rsidRPr="00F61EFB" w:rsidRDefault="007D3FE7" w:rsidP="007D3FE7">
      <w:pPr>
        <w:spacing w:before="100" w:beforeAutospacing="1" w:after="100" w:afterAutospacing="1"/>
        <w:rPr>
          <w:rFonts w:eastAsia="Times New Roman" w:cs="Times New Roman"/>
        </w:rPr>
      </w:pPr>
      <w:r w:rsidRPr="00F61EFB">
        <w:rPr>
          <w:rFonts w:eastAsia="Times New Roman" w:cs="Arial"/>
          <w:b/>
          <w:bCs/>
          <w:color w:val="313131"/>
        </w:rPr>
        <w:lastRenderedPageBreak/>
        <w:t> </w:t>
      </w:r>
    </w:p>
    <w:p w:rsidR="007D3FE7" w:rsidRPr="00F61EFB" w:rsidRDefault="007D3FE7" w:rsidP="00313C0F">
      <w:pPr>
        <w:spacing w:before="100" w:beforeAutospacing="1" w:after="100" w:afterAutospacing="1"/>
        <w:ind w:firstLine="0"/>
        <w:rPr>
          <w:rFonts w:eastAsia="Times New Roman" w:cs="Arial"/>
          <w:b/>
          <w:bCs/>
          <w:color w:val="313131"/>
        </w:rPr>
      </w:pPr>
      <w:r w:rsidRPr="00313C0F">
        <w:rPr>
          <w:rStyle w:val="Heading2Char"/>
        </w:rPr>
        <w:t>Group III</w:t>
      </w:r>
      <w:r w:rsidR="00313C0F">
        <w:rPr>
          <w:rStyle w:val="Heading2Char"/>
        </w:rPr>
        <w:t xml:space="preserve"> Modern and Classical Languages</w:t>
      </w:r>
      <w:r w:rsidRPr="00F61EFB">
        <w:rPr>
          <w:rFonts w:eastAsia="Times New Roman" w:cs="Arial"/>
          <w:b/>
          <w:bCs/>
          <w:color w:val="313131"/>
        </w:rPr>
        <w:br/>
        <w:t>Students are encouraged to complete their modern and classical language or symbolic systems courses early, so that they can apply those skills to upper</w:t>
      </w:r>
      <w:r>
        <w:rPr>
          <w:rFonts w:eastAsia="Times New Roman" w:cs="Arial"/>
          <w:b/>
          <w:bCs/>
          <w:color w:val="313131"/>
        </w:rPr>
        <w:t>-</w:t>
      </w:r>
      <w:r w:rsidRPr="00F61EFB">
        <w:rPr>
          <w:rFonts w:eastAsia="Times New Roman" w:cs="Arial"/>
          <w:b/>
          <w:bCs/>
          <w:color w:val="313131"/>
        </w:rPr>
        <w:t>division coursework.  </w:t>
      </w:r>
    </w:p>
    <w:tbl>
      <w:tblPr>
        <w:tblW w:w="9375" w:type="dxa"/>
        <w:tblCellSpacing w:w="0" w:type="dxa"/>
        <w:tblCellMar>
          <w:left w:w="0" w:type="dxa"/>
          <w:right w:w="0" w:type="dxa"/>
        </w:tblCellMar>
        <w:tblLook w:val="04A0" w:firstRow="1" w:lastRow="0" w:firstColumn="1" w:lastColumn="0" w:noHBand="0" w:noVBand="1"/>
      </w:tblPr>
      <w:tblGrid>
        <w:gridCol w:w="4785"/>
        <w:gridCol w:w="4590"/>
      </w:tblGrid>
      <w:tr w:rsidR="007D3FE7" w:rsidRPr="00F61EFB" w:rsidTr="00313C0F">
        <w:trPr>
          <w:tblCellSpacing w:w="0" w:type="dxa"/>
        </w:trPr>
        <w:tc>
          <w:tcPr>
            <w:tcW w:w="9375" w:type="dxa"/>
            <w:gridSpan w:val="2"/>
            <w:hideMark/>
          </w:tcPr>
          <w:p w:rsidR="007D3FE7" w:rsidRPr="00F61EFB" w:rsidRDefault="007D3FE7" w:rsidP="00313C0F">
            <w:pPr>
              <w:spacing w:before="100" w:beforeAutospacing="1" w:after="100" w:afterAutospacing="1"/>
              <w:ind w:firstLine="0"/>
              <w:rPr>
                <w:rFonts w:eastAsia="Times New Roman" w:cs="Arial"/>
                <w:color w:val="313131"/>
              </w:rPr>
            </w:pPr>
            <w:r w:rsidRPr="00F61EFB">
              <w:rPr>
                <w:rFonts w:eastAsia="Times New Roman" w:cs="Arial"/>
                <w:color w:val="313131"/>
              </w:rPr>
              <w:t>Courses must encompass the comprehensive study of a natural language other than written or spoken contemporary English.</w:t>
            </w:r>
          </w:p>
        </w:tc>
      </w:tr>
      <w:tr w:rsidR="00313C0F"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tcPr>
          <w:p w:rsidR="00313C0F" w:rsidRDefault="00313C0F" w:rsidP="00313C0F">
            <w:pPr>
              <w:spacing w:before="100" w:beforeAutospacing="1" w:after="100" w:afterAutospacing="1"/>
              <w:rPr>
                <w:rFonts w:eastAsia="Times New Roman" w:cs="Arial"/>
                <w:color w:val="313131"/>
                <w:u w:val="single"/>
              </w:rPr>
            </w:pPr>
            <w:r w:rsidRPr="00F61EFB">
              <w:rPr>
                <w:rFonts w:eastAsia="Times New Roman" w:cs="Arial"/>
                <w:color w:val="313131"/>
                <w:u w:val="single"/>
              </w:rPr>
              <w:t>Criteria:</w:t>
            </w:r>
            <w:r w:rsidRPr="00F61EFB">
              <w:rPr>
                <w:rFonts w:eastAsia="Times New Roman" w:cs="Arial"/>
                <w:color w:val="313131"/>
              </w:rPr>
              <w:t> </w:t>
            </w:r>
          </w:p>
        </w:tc>
        <w:tc>
          <w:tcPr>
            <w:tcW w:w="4590" w:type="dxa"/>
            <w:tcBorders>
              <w:top w:val="single" w:sz="4" w:space="0" w:color="auto"/>
              <w:left w:val="single" w:sz="4" w:space="0" w:color="auto"/>
              <w:bottom w:val="single" w:sz="4" w:space="0" w:color="auto"/>
              <w:right w:val="single" w:sz="4" w:space="0" w:color="auto"/>
            </w:tcBorders>
          </w:tcPr>
          <w:p w:rsidR="00313C0F" w:rsidRDefault="00313C0F" w:rsidP="00313C0F">
            <w:pPr>
              <w:spacing w:before="100" w:beforeAutospacing="1" w:after="100" w:afterAutospacing="1"/>
              <w:rPr>
                <w:rFonts w:eastAsia="Times New Roman" w:cs="Arial"/>
                <w:color w:val="313131"/>
                <w:u w:val="single"/>
              </w:rPr>
            </w:pPr>
            <w:r w:rsidRPr="00F61EFB">
              <w:rPr>
                <w:rFonts w:eastAsia="Times New Roman" w:cs="Arial"/>
                <w:color w:val="313131"/>
                <w:u w:val="single"/>
              </w:rPr>
              <w:t>Learning Goals:</w:t>
            </w:r>
          </w:p>
        </w:tc>
      </w:tr>
      <w:tr w:rsidR="007D3FE7"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hideMark/>
          </w:tcPr>
          <w:p w:rsidR="007D3FE7" w:rsidRPr="00F61EFB" w:rsidRDefault="00313C0F" w:rsidP="00313C0F">
            <w:pPr>
              <w:spacing w:before="100" w:beforeAutospacing="1" w:after="100" w:afterAutospacing="1"/>
              <w:ind w:firstLine="0"/>
              <w:rPr>
                <w:rFonts w:eastAsia="Times New Roman" w:cs="Times New Roman"/>
                <w:i/>
                <w:iCs/>
              </w:rPr>
            </w:pPr>
            <w:r>
              <w:rPr>
                <w:rFonts w:eastAsia="Times New Roman" w:cs="Arial"/>
                <w:color w:val="313131"/>
              </w:rPr>
              <w:br/>
            </w:r>
            <w:r w:rsidR="007D3FE7" w:rsidRPr="00F61EFB">
              <w:rPr>
                <w:rFonts w:eastAsia="Times New Roman" w:cs="Arial"/>
                <w:color w:val="313131"/>
              </w:rPr>
              <w:t xml:space="preserve">Courses must encompass the comprehensive study of a natural language, excluding written, spoken </w:t>
            </w:r>
            <w:r w:rsidR="007D3FE7" w:rsidRPr="00F61EFB">
              <w:rPr>
                <w:rFonts w:eastAsia="Times New Roman" w:cs="Arial"/>
                <w:iCs/>
                <w:color w:val="313131"/>
              </w:rPr>
              <w:t xml:space="preserve">contemporary English, with the aim of achieving at least a basic functional competency in </w:t>
            </w:r>
            <w:proofErr w:type="gramStart"/>
            <w:r w:rsidR="007D3FE7" w:rsidRPr="00F61EFB">
              <w:rPr>
                <w:rFonts w:eastAsia="Times New Roman" w:cs="Arial"/>
                <w:iCs/>
                <w:color w:val="313131"/>
              </w:rPr>
              <w:t xml:space="preserve">that </w:t>
            </w:r>
            <w:r w:rsidR="007D3FE7">
              <w:rPr>
                <w:rFonts w:eastAsia="Times New Roman" w:cs="Arial"/>
                <w:iCs/>
                <w:color w:val="313131"/>
              </w:rPr>
              <w:t xml:space="preserve"> </w:t>
            </w:r>
            <w:r w:rsidR="007D3FE7" w:rsidRPr="00F61EFB">
              <w:rPr>
                <w:rFonts w:eastAsia="Times New Roman" w:cs="Arial"/>
                <w:iCs/>
                <w:color w:val="313131"/>
              </w:rPr>
              <w:t>language</w:t>
            </w:r>
            <w:proofErr w:type="gramEnd"/>
            <w:r w:rsidR="007D3FE7" w:rsidRPr="00F61EFB">
              <w:rPr>
                <w:rFonts w:eastAsia="Times New Roman" w:cs="Arial"/>
                <w:b/>
                <w:bCs/>
                <w:iCs/>
                <w:color w:val="313131"/>
              </w:rPr>
              <w:t>.</w:t>
            </w:r>
            <w:r w:rsidR="007D3FE7" w:rsidRPr="00F61EFB">
              <w:rPr>
                <w:rFonts w:eastAsia="Times New Roman" w:cs="Arial"/>
                <w:iCs/>
                <w:color w:val="313131"/>
              </w:rPr>
              <w:t xml:space="preserve"> The course should follow a rigorous and pedagogically sound methodology and practice. Language courses proposed outside of current MCLL offerings must be approved by the MCLL Department.</w:t>
            </w:r>
          </w:p>
        </w:tc>
        <w:tc>
          <w:tcPr>
            <w:tcW w:w="4590" w:type="dxa"/>
            <w:tcBorders>
              <w:top w:val="single" w:sz="4" w:space="0" w:color="auto"/>
              <w:left w:val="single" w:sz="4" w:space="0" w:color="auto"/>
              <w:bottom w:val="single" w:sz="4" w:space="0" w:color="auto"/>
              <w:right w:val="single" w:sz="4" w:space="0" w:color="auto"/>
            </w:tcBorders>
            <w:hideMark/>
          </w:tcPr>
          <w:p w:rsidR="007D3FE7" w:rsidRPr="00F61EFB" w:rsidRDefault="00313C0F" w:rsidP="00313C0F">
            <w:pPr>
              <w:spacing w:before="100" w:beforeAutospacing="1" w:after="100" w:afterAutospacing="1"/>
              <w:ind w:firstLine="0"/>
              <w:rPr>
                <w:rFonts w:eastAsia="Times New Roman" w:cs="Arial"/>
                <w:color w:val="313131"/>
              </w:rPr>
            </w:pPr>
            <w:r>
              <w:rPr>
                <w:rFonts w:eastAsia="Times New Roman" w:cs="Arial"/>
                <w:color w:val="313131"/>
              </w:rPr>
              <w:br/>
            </w:r>
            <w:r w:rsidR="007D3FE7" w:rsidRPr="00F61EFB">
              <w:rPr>
                <w:rFonts w:eastAsia="Times New Roman" w:cs="Arial"/>
                <w:color w:val="313131"/>
              </w:rPr>
              <w:t>Upon completion of the Modern and Classical Languages sequence</w:t>
            </w:r>
            <w:r w:rsidR="007D3FE7">
              <w:rPr>
                <w:rFonts w:eastAsia="Times New Roman" w:cs="Arial"/>
                <w:color w:val="313131"/>
              </w:rPr>
              <w:t xml:space="preserve">, </w:t>
            </w:r>
            <w:r w:rsidR="007D3FE7" w:rsidRPr="00F61EFB">
              <w:rPr>
                <w:rFonts w:eastAsia="Times New Roman" w:cs="Arial"/>
                <w:color w:val="313131"/>
              </w:rPr>
              <w:t xml:space="preserve"> the student will have a basic functional knowledge of a second natural language sufficient to:</w:t>
            </w:r>
          </w:p>
          <w:p w:rsidR="007D3FE7" w:rsidRPr="00F61EFB" w:rsidRDefault="007D3FE7" w:rsidP="007D3FE7">
            <w:pPr>
              <w:numPr>
                <w:ilvl w:val="0"/>
                <w:numId w:val="1"/>
              </w:numPr>
              <w:spacing w:before="100" w:beforeAutospacing="1" w:after="100" w:afterAutospacing="1"/>
              <w:ind w:left="225"/>
              <w:rPr>
                <w:rFonts w:eastAsia="Times New Roman" w:cs="Arial"/>
                <w:color w:val="313131"/>
              </w:rPr>
            </w:pPr>
            <w:r w:rsidRPr="00F61EFB">
              <w:rPr>
                <w:rFonts w:eastAsia="Times New Roman" w:cs="Arial"/>
                <w:color w:val="313131"/>
              </w:rPr>
              <w:t xml:space="preserve">1. read and write if the language is classical, such as Latin; </w:t>
            </w:r>
          </w:p>
          <w:p w:rsidR="007D3FE7" w:rsidRPr="00F61EFB" w:rsidRDefault="007D3FE7" w:rsidP="007D3FE7">
            <w:pPr>
              <w:numPr>
                <w:ilvl w:val="0"/>
                <w:numId w:val="1"/>
              </w:numPr>
              <w:spacing w:before="100" w:beforeAutospacing="1" w:after="100" w:afterAutospacing="1"/>
              <w:ind w:left="225"/>
              <w:rPr>
                <w:rFonts w:eastAsia="Times New Roman" w:cs="Arial"/>
                <w:color w:val="313131"/>
              </w:rPr>
            </w:pPr>
            <w:r w:rsidRPr="00F61EFB">
              <w:rPr>
                <w:rFonts w:eastAsia="Times New Roman" w:cs="Arial"/>
                <w:color w:val="313131"/>
              </w:rPr>
              <w:t xml:space="preserve">2. speak and aurally comprehend, if the language does not have a written tradition, such as Salish; </w:t>
            </w:r>
          </w:p>
          <w:p w:rsidR="007D3FE7" w:rsidRPr="00F61EFB" w:rsidRDefault="007D3FE7" w:rsidP="007D3FE7">
            <w:pPr>
              <w:numPr>
                <w:ilvl w:val="0"/>
                <w:numId w:val="1"/>
              </w:numPr>
              <w:spacing w:before="100" w:beforeAutospacing="1" w:after="100" w:afterAutospacing="1"/>
              <w:ind w:left="225"/>
              <w:rPr>
                <w:rFonts w:eastAsia="Times New Roman" w:cs="Arial"/>
                <w:color w:val="313131"/>
              </w:rPr>
            </w:pPr>
            <w:r w:rsidRPr="00F61EFB">
              <w:rPr>
                <w:rFonts w:eastAsia="Times New Roman" w:cs="Arial"/>
                <w:color w:val="313131"/>
              </w:rPr>
              <w:t xml:space="preserve">3. </w:t>
            </w:r>
            <w:proofErr w:type="gramStart"/>
            <w:r w:rsidRPr="00F61EFB">
              <w:rPr>
                <w:rFonts w:eastAsia="Times New Roman" w:cs="Arial"/>
                <w:color w:val="313131"/>
              </w:rPr>
              <w:t>perform</w:t>
            </w:r>
            <w:proofErr w:type="gramEnd"/>
            <w:r w:rsidRPr="00F61EFB">
              <w:rPr>
                <w:rFonts w:eastAsia="Times New Roman" w:cs="Arial"/>
                <w:color w:val="313131"/>
              </w:rPr>
              <w:t xml:space="preserve"> all four skills (speaking, aural comprehension, reading, and writing) if the language is modern and has a written tradition, such as Japanese or French. </w:t>
            </w:r>
          </w:p>
          <w:p w:rsidR="007D3FE7" w:rsidRPr="00F61EFB" w:rsidRDefault="007D3FE7" w:rsidP="007D3FE7">
            <w:pPr>
              <w:numPr>
                <w:ilvl w:val="0"/>
                <w:numId w:val="1"/>
              </w:numPr>
              <w:spacing w:before="100" w:beforeAutospacing="1" w:after="100" w:afterAutospacing="1"/>
              <w:ind w:left="225"/>
              <w:rPr>
                <w:rFonts w:eastAsia="Times New Roman" w:cs="Arial"/>
                <w:color w:val="313131"/>
              </w:rPr>
            </w:pPr>
            <w:r w:rsidRPr="00F61EFB">
              <w:rPr>
                <w:rFonts w:eastAsia="Times New Roman" w:cs="Arial"/>
                <w:color w:val="313131"/>
              </w:rPr>
              <w:t xml:space="preserve">4. </w:t>
            </w:r>
            <w:proofErr w:type="gramStart"/>
            <w:r w:rsidRPr="00F61EFB">
              <w:rPr>
                <w:rFonts w:eastAsia="Times New Roman" w:cs="Arial"/>
                <w:color w:val="313131"/>
              </w:rPr>
              <w:t>demonstrate</w:t>
            </w:r>
            <w:proofErr w:type="gramEnd"/>
            <w:r w:rsidRPr="00F61EFB">
              <w:rPr>
                <w:rFonts w:eastAsia="Times New Roman" w:cs="Arial"/>
                <w:color w:val="313131"/>
              </w:rPr>
              <w:t xml:space="preserve"> both receptive (visual comprehension) and expressive (manual production) proficiency if the language is American Sign Language. </w:t>
            </w:r>
          </w:p>
        </w:tc>
      </w:tr>
      <w:tr w:rsidR="007D3FE7" w:rsidRPr="00F61EFB" w:rsidTr="00313C0F">
        <w:trPr>
          <w:tblCellSpacing w:w="0" w:type="dxa"/>
        </w:trPr>
        <w:tc>
          <w:tcPr>
            <w:tcW w:w="9375" w:type="dxa"/>
            <w:gridSpan w:val="2"/>
            <w:hideMark/>
          </w:tcPr>
          <w:p w:rsidR="00313C0F" w:rsidRDefault="00313C0F" w:rsidP="00313C0F">
            <w:pPr>
              <w:spacing w:before="100" w:beforeAutospacing="1" w:after="100" w:afterAutospacing="1"/>
              <w:ind w:firstLine="0"/>
              <w:rPr>
                <w:rStyle w:val="Heading2Char"/>
              </w:rPr>
            </w:pPr>
          </w:p>
          <w:p w:rsidR="007D3FE7" w:rsidRPr="00F61EFB" w:rsidRDefault="007D3FE7" w:rsidP="00B10B09">
            <w:pPr>
              <w:spacing w:before="100" w:beforeAutospacing="1" w:after="100" w:afterAutospacing="1"/>
              <w:ind w:firstLine="0"/>
              <w:rPr>
                <w:rFonts w:eastAsia="Times New Roman" w:cs="Arial"/>
                <w:color w:val="313131"/>
              </w:rPr>
            </w:pPr>
            <w:r w:rsidRPr="00313C0F">
              <w:rPr>
                <w:rStyle w:val="Heading2Char"/>
              </w:rPr>
              <w:t xml:space="preserve">Group III </w:t>
            </w:r>
            <w:r w:rsidR="00313C0F">
              <w:rPr>
                <w:rStyle w:val="Heading2Char"/>
              </w:rPr>
              <w:t xml:space="preserve">Exemption </w:t>
            </w:r>
          </w:p>
        </w:tc>
      </w:tr>
    </w:tbl>
    <w:p w:rsidR="007D3FE7" w:rsidRDefault="007D3FE7" w:rsidP="007D3FE7"/>
    <w:p w:rsidR="00B10B09" w:rsidRPr="00CB3DB2" w:rsidRDefault="000F04AA" w:rsidP="00B10B09">
      <w:pPr>
        <w:spacing w:before="100" w:beforeAutospacing="1" w:after="100" w:afterAutospacing="1"/>
        <w:ind w:firstLine="0"/>
        <w:rPr>
          <w:rFonts w:eastAsia="Times New Roman" w:cstheme="minorHAnsi"/>
          <w:u w:val="single"/>
        </w:rPr>
      </w:pPr>
      <w:r>
        <w:rPr>
          <w:rFonts w:eastAsia="Times New Roman" w:cstheme="minorHAnsi"/>
          <w:u w:val="single"/>
        </w:rPr>
        <w:t>E</w:t>
      </w:r>
      <w:r w:rsidR="00B10B09" w:rsidRPr="00CB3DB2">
        <w:rPr>
          <w:rFonts w:eastAsia="Times New Roman" w:cstheme="minorHAnsi"/>
          <w:u w:val="single"/>
        </w:rPr>
        <w:t xml:space="preserve">xtended majors </w:t>
      </w:r>
      <w:proofErr w:type="gramStart"/>
      <w:r w:rsidR="00B10B09" w:rsidRPr="00CB3DB2">
        <w:rPr>
          <w:rFonts w:eastAsia="Times New Roman" w:cstheme="minorHAnsi"/>
          <w:u w:val="single"/>
        </w:rPr>
        <w:t>have been granted</w:t>
      </w:r>
      <w:proofErr w:type="gramEnd"/>
      <w:r w:rsidR="00B10B09" w:rsidRPr="00CB3DB2">
        <w:rPr>
          <w:rFonts w:eastAsia="Times New Roman" w:cstheme="minorHAnsi"/>
          <w:u w:val="single"/>
        </w:rPr>
        <w:t xml:space="preserve"> exceptions to the Modern and Classical Language requirement.  Students graduating in any one of these majors are not required to complete the Modern and Classical Language requirement.  Students graduating with an Associate of Arts degree </w:t>
      </w:r>
      <w:proofErr w:type="gramStart"/>
      <w:r w:rsidR="00B10B09" w:rsidRPr="00CB3DB2">
        <w:rPr>
          <w:rFonts w:eastAsia="Times New Roman" w:cstheme="minorHAnsi"/>
          <w:u w:val="single"/>
        </w:rPr>
        <w:t>have also been granted</w:t>
      </w:r>
      <w:proofErr w:type="gramEnd"/>
      <w:r w:rsidR="00B10B09" w:rsidRPr="00CB3DB2">
        <w:rPr>
          <w:rFonts w:eastAsia="Times New Roman" w:cstheme="minorHAnsi"/>
          <w:u w:val="single"/>
        </w:rPr>
        <w:t xml:space="preserve"> an exception to the Group III requirements.  Missoula College students who continue to Mountain Campus without graduating will need to complete Group III unless their declared four-year major </w:t>
      </w:r>
      <w:proofErr w:type="gramStart"/>
      <w:r w:rsidR="00B10B09" w:rsidRPr="00CB3DB2">
        <w:rPr>
          <w:rFonts w:eastAsia="Times New Roman" w:cstheme="minorHAnsi"/>
          <w:u w:val="single"/>
        </w:rPr>
        <w:t>has been granted</w:t>
      </w:r>
      <w:proofErr w:type="gramEnd"/>
      <w:r w:rsidR="00B10B09" w:rsidRPr="00CB3DB2">
        <w:rPr>
          <w:rFonts w:eastAsia="Times New Roman" w:cstheme="minorHAnsi"/>
          <w:u w:val="single"/>
        </w:rPr>
        <w:t xml:space="preserve"> an exception.</w:t>
      </w:r>
      <w:r w:rsidR="00CB3DB2">
        <w:rPr>
          <w:rFonts w:eastAsia="Times New Roman" w:cstheme="minorHAnsi"/>
          <w:u w:val="single"/>
        </w:rPr>
        <w:t xml:space="preserve"> (See catalog for listing)</w:t>
      </w:r>
    </w:p>
    <w:p w:rsidR="00B10B09" w:rsidRDefault="00B10B09" w:rsidP="007D3FE7"/>
    <w:tbl>
      <w:tblPr>
        <w:tblW w:w="9375" w:type="dxa"/>
        <w:tblCellSpacing w:w="0" w:type="dxa"/>
        <w:tblCellMar>
          <w:left w:w="0" w:type="dxa"/>
          <w:right w:w="0" w:type="dxa"/>
        </w:tblCellMar>
        <w:tblLook w:val="04A0" w:firstRow="1" w:lastRow="0" w:firstColumn="1" w:lastColumn="0" w:noHBand="0" w:noVBand="1"/>
      </w:tblPr>
      <w:tblGrid>
        <w:gridCol w:w="4785"/>
        <w:gridCol w:w="4590"/>
      </w:tblGrid>
      <w:tr w:rsidR="007D3FE7" w:rsidRPr="00F61EFB" w:rsidTr="00313C0F">
        <w:trPr>
          <w:tblCellSpacing w:w="0" w:type="dxa"/>
        </w:trPr>
        <w:tc>
          <w:tcPr>
            <w:tcW w:w="9375" w:type="dxa"/>
            <w:gridSpan w:val="2"/>
            <w:hideMark/>
          </w:tcPr>
          <w:p w:rsidR="007D3FE7" w:rsidRPr="00F61EFB" w:rsidRDefault="007D3FE7" w:rsidP="00313C0F">
            <w:pPr>
              <w:spacing w:before="100" w:beforeAutospacing="1" w:after="100" w:afterAutospacing="1"/>
              <w:ind w:firstLine="0"/>
              <w:rPr>
                <w:rFonts w:eastAsia="Times New Roman" w:cs="Arial"/>
                <w:color w:val="313131"/>
              </w:rPr>
            </w:pPr>
            <w:r w:rsidRPr="00313C0F">
              <w:rPr>
                <w:rStyle w:val="Heading2Char"/>
              </w:rPr>
              <w:t>Group IV Expressive Arts</w:t>
            </w:r>
            <w:proofErr w:type="gramStart"/>
            <w:r w:rsidRPr="00313C0F">
              <w:rPr>
                <w:rStyle w:val="Heading2Char"/>
              </w:rPr>
              <w:t>:</w:t>
            </w:r>
            <w:proofErr w:type="gramEnd"/>
            <w:r w:rsidRPr="00F61EFB">
              <w:rPr>
                <w:rFonts w:eastAsia="Times New Roman" w:cs="Arial"/>
                <w:b/>
                <w:bCs/>
                <w:color w:val="313131"/>
              </w:rPr>
              <w:br/>
            </w:r>
            <w:r w:rsidRPr="00F61EFB">
              <w:rPr>
                <w:rFonts w:eastAsia="Times New Roman" w:cs="Arial"/>
                <w:color w:val="313131"/>
              </w:rPr>
              <w:t xml:space="preserve">Expressive Arts courses are activity-based and emphasize the value of </w:t>
            </w:r>
            <w:r w:rsidRPr="00F61EFB">
              <w:rPr>
                <w:rFonts w:eastAsia="Times New Roman" w:cs="Arial"/>
                <w:i/>
                <w:iCs/>
                <w:color w:val="313131"/>
              </w:rPr>
              <w:t>learning by</w:t>
            </w:r>
            <w:r w:rsidRPr="00F61EFB">
              <w:rPr>
                <w:rFonts w:eastAsia="Times New Roman" w:cs="Arial"/>
                <w:color w:val="313131"/>
              </w:rPr>
              <w:t xml:space="preserve"> </w:t>
            </w:r>
            <w:r w:rsidRPr="00F61EFB">
              <w:rPr>
                <w:rFonts w:eastAsia="Times New Roman" w:cs="Arial"/>
                <w:i/>
                <w:iCs/>
                <w:color w:val="313131"/>
              </w:rPr>
              <w:t>doing</w:t>
            </w:r>
            <w:r w:rsidRPr="00F61EFB">
              <w:rPr>
                <w:rFonts w:eastAsia="Times New Roman" w:cs="Arial"/>
                <w:color w:val="313131"/>
              </w:rPr>
              <w:t xml:space="preserve"> in an artistic context.</w:t>
            </w:r>
          </w:p>
        </w:tc>
      </w:tr>
      <w:tr w:rsidR="00313C0F"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tcPr>
          <w:p w:rsidR="00313C0F" w:rsidRDefault="00313C0F" w:rsidP="00313C0F">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590" w:type="dxa"/>
            <w:tcBorders>
              <w:top w:val="single" w:sz="4" w:space="0" w:color="auto"/>
              <w:left w:val="single" w:sz="4" w:space="0" w:color="auto"/>
              <w:bottom w:val="single" w:sz="4" w:space="0" w:color="auto"/>
              <w:right w:val="single" w:sz="4" w:space="0" w:color="auto"/>
            </w:tcBorders>
          </w:tcPr>
          <w:p w:rsidR="00313C0F" w:rsidRDefault="00313C0F" w:rsidP="00313C0F">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Learning Goals</w:t>
            </w:r>
            <w:r>
              <w:rPr>
                <w:rFonts w:eastAsia="Times New Roman" w:cs="Arial"/>
                <w:color w:val="313131"/>
                <w:u w:val="single"/>
              </w:rPr>
              <w:t>:</w:t>
            </w:r>
          </w:p>
        </w:tc>
      </w:tr>
      <w:tr w:rsidR="007D3FE7"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sidRPr="00F61EFB">
              <w:rPr>
                <w:rFonts w:eastAsia="Times New Roman" w:cs="Arial"/>
                <w:color w:val="313131"/>
              </w:rPr>
              <w:lastRenderedPageBreak/>
              <w:br/>
              <w:t xml:space="preserve">Courses guide students, whether in individual or group settings, </w:t>
            </w:r>
            <w:r w:rsidRPr="00F61EFB">
              <w:rPr>
                <w:rFonts w:eastAsia="Times New Roman" w:cs="Arial"/>
                <w:i/>
                <w:iCs/>
                <w:color w:val="313131"/>
              </w:rPr>
              <w:t>to</w:t>
            </w:r>
            <w:r w:rsidRPr="00F61EFB">
              <w:rPr>
                <w:rFonts w:eastAsia="Times New Roman" w:cs="Arial"/>
                <w:color w:val="313131"/>
              </w:rPr>
              <w:t xml:space="preserve"> acquire foundational skills to engage in the creative process and/or in interpretive performance.  Through direct experience (for example, attendance and involvement with live performance, exhibitions, workshops, and readings), they will engage in critical assessment of their own work and the work of others.</w:t>
            </w:r>
          </w:p>
        </w:tc>
        <w:tc>
          <w:tcPr>
            <w:tcW w:w="459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Pr>
                <w:rFonts w:eastAsia="Times New Roman" w:cs="Arial"/>
                <w:color w:val="313131"/>
                <w:u w:val="single"/>
              </w:rPr>
              <w:br/>
            </w:r>
            <w:r w:rsidRPr="00F61EFB">
              <w:rPr>
                <w:rFonts w:eastAsia="Times New Roman" w:cs="Arial"/>
                <w:color w:val="313131"/>
              </w:rPr>
              <w:t xml:space="preserve">Upon completion of this </w:t>
            </w:r>
            <w:r>
              <w:rPr>
                <w:rFonts w:eastAsia="Times New Roman" w:cs="Arial"/>
                <w:color w:val="313131"/>
              </w:rPr>
              <w:t>group</w:t>
            </w:r>
            <w:r w:rsidRPr="00F61EFB">
              <w:rPr>
                <w:rFonts w:eastAsia="Times New Roman" w:cs="Arial"/>
                <w:color w:val="313131"/>
              </w:rPr>
              <w:t xml:space="preserve"> students will be able to:</w:t>
            </w:r>
          </w:p>
          <w:p w:rsidR="007D3FE7" w:rsidRPr="00F61EFB" w:rsidRDefault="007D3FE7" w:rsidP="007D3FE7">
            <w:pPr>
              <w:numPr>
                <w:ilvl w:val="0"/>
                <w:numId w:val="4"/>
              </w:numPr>
              <w:spacing w:before="100" w:beforeAutospacing="1" w:after="100" w:afterAutospacing="1"/>
              <w:ind w:left="225"/>
              <w:rPr>
                <w:rFonts w:eastAsia="Times New Roman" w:cs="Arial"/>
                <w:color w:val="313131"/>
              </w:rPr>
            </w:pPr>
            <w:r w:rsidRPr="00F61EFB">
              <w:rPr>
                <w:rFonts w:eastAsia="Times New Roman" w:cs="Arial"/>
                <w:color w:val="313131"/>
              </w:rPr>
              <w:t xml:space="preserve">1. express themselves in the making of an original work or creative performance; </w:t>
            </w:r>
          </w:p>
          <w:p w:rsidR="007D3FE7" w:rsidRPr="00F61EFB" w:rsidRDefault="007D3FE7" w:rsidP="007D3FE7">
            <w:pPr>
              <w:numPr>
                <w:ilvl w:val="0"/>
                <w:numId w:val="4"/>
              </w:numPr>
              <w:spacing w:before="100" w:beforeAutospacing="1" w:after="100" w:afterAutospacing="1"/>
              <w:ind w:left="225"/>
              <w:rPr>
                <w:rFonts w:eastAsia="Times New Roman" w:cs="Arial"/>
                <w:color w:val="313131"/>
              </w:rPr>
            </w:pPr>
            <w:r w:rsidRPr="00F61EFB">
              <w:rPr>
                <w:rFonts w:eastAsia="Times New Roman" w:cs="Arial"/>
                <w:color w:val="313131"/>
              </w:rPr>
              <w:t xml:space="preserve">2. understand the genres and/or forms that have shaped the medium; and </w:t>
            </w:r>
          </w:p>
          <w:p w:rsidR="007D3FE7" w:rsidRPr="00F61EFB" w:rsidRDefault="007D3FE7" w:rsidP="007D3FE7">
            <w:pPr>
              <w:numPr>
                <w:ilvl w:val="0"/>
                <w:numId w:val="4"/>
              </w:numPr>
              <w:spacing w:before="100" w:beforeAutospacing="1" w:after="100" w:afterAutospacing="1"/>
              <w:ind w:left="225"/>
              <w:rPr>
                <w:rFonts w:eastAsia="Times New Roman" w:cs="Arial"/>
                <w:color w:val="313131"/>
              </w:rPr>
            </w:pPr>
            <w:r w:rsidRPr="00F61EFB">
              <w:rPr>
                <w:rFonts w:eastAsia="Times New Roman" w:cs="Arial"/>
                <w:color w:val="313131"/>
              </w:rPr>
              <w:t xml:space="preserve">3. </w:t>
            </w:r>
            <w:proofErr w:type="gramStart"/>
            <w:r w:rsidRPr="00F61EFB">
              <w:rPr>
                <w:rFonts w:eastAsia="Times New Roman" w:cs="Arial"/>
                <w:color w:val="313131"/>
              </w:rPr>
              <w:t>critique</w:t>
            </w:r>
            <w:proofErr w:type="gramEnd"/>
            <w:r w:rsidRPr="00F61EFB">
              <w:rPr>
                <w:rFonts w:eastAsia="Times New Roman" w:cs="Arial"/>
                <w:color w:val="313131"/>
              </w:rPr>
              <w:t xml:space="preserve"> the quality of their own work and that of others. </w:t>
            </w:r>
          </w:p>
        </w:tc>
      </w:tr>
    </w:tbl>
    <w:p w:rsidR="007D3FE7" w:rsidRDefault="007D3FE7" w:rsidP="007D3FE7"/>
    <w:tbl>
      <w:tblPr>
        <w:tblW w:w="9375" w:type="dxa"/>
        <w:tblCellSpacing w:w="0" w:type="dxa"/>
        <w:tblCellMar>
          <w:left w:w="0" w:type="dxa"/>
          <w:right w:w="0" w:type="dxa"/>
        </w:tblCellMar>
        <w:tblLook w:val="04A0" w:firstRow="1" w:lastRow="0" w:firstColumn="1" w:lastColumn="0" w:noHBand="0" w:noVBand="1"/>
      </w:tblPr>
      <w:tblGrid>
        <w:gridCol w:w="4785"/>
        <w:gridCol w:w="4590"/>
      </w:tblGrid>
      <w:tr w:rsidR="007D3FE7" w:rsidRPr="00F61EFB" w:rsidTr="00313C0F">
        <w:trPr>
          <w:tblCellSpacing w:w="0" w:type="dxa"/>
        </w:trPr>
        <w:tc>
          <w:tcPr>
            <w:tcW w:w="9375" w:type="dxa"/>
            <w:gridSpan w:val="2"/>
            <w:hideMark/>
          </w:tcPr>
          <w:p w:rsidR="007D3FE7" w:rsidRPr="00F61EFB" w:rsidRDefault="007D3FE7" w:rsidP="00313C0F">
            <w:pPr>
              <w:spacing w:before="100" w:beforeAutospacing="1" w:after="100" w:afterAutospacing="1"/>
              <w:ind w:firstLine="0"/>
              <w:rPr>
                <w:rFonts w:eastAsia="Times New Roman" w:cs="Arial"/>
                <w:color w:val="313131"/>
              </w:rPr>
            </w:pPr>
            <w:r w:rsidRPr="00313C0F">
              <w:rPr>
                <w:rStyle w:val="Heading2Char"/>
              </w:rPr>
              <w:t>Group V Literary and Artistic Studies</w:t>
            </w:r>
            <w:proofErr w:type="gramStart"/>
            <w:r w:rsidRPr="00313C0F">
              <w:rPr>
                <w:rStyle w:val="Heading2Char"/>
              </w:rPr>
              <w:t>:</w:t>
            </w:r>
            <w:proofErr w:type="gramEnd"/>
            <w:r w:rsidRPr="00F61EFB">
              <w:rPr>
                <w:rFonts w:eastAsia="Times New Roman" w:cs="Arial"/>
                <w:b/>
                <w:bCs/>
                <w:color w:val="313131"/>
              </w:rPr>
              <w:br/>
            </w:r>
            <w:r w:rsidRPr="00F61EFB">
              <w:rPr>
                <w:rFonts w:eastAsia="Times New Roman" w:cs="Arial"/>
                <w:color w:val="313131"/>
              </w:rPr>
              <w:t>In these courses, students develop familiarity with significant works of artistic representation, including literature, music, visual art, and/or performing arts.  Through this experience, students enhance their analytical skills and explore the historical, aesthetic, philosophical, and cultural features of these works.</w:t>
            </w:r>
            <w:r>
              <w:rPr>
                <w:rFonts w:eastAsia="Times New Roman" w:cs="Arial"/>
                <w:color w:val="313131"/>
              </w:rPr>
              <w:br/>
            </w:r>
            <w:r w:rsidRPr="00F61EFB">
              <w:rPr>
                <w:rFonts w:eastAsia="Times New Roman" w:cs="Arial"/>
                <w:b/>
                <w:bCs/>
                <w:color w:val="313131"/>
              </w:rPr>
              <w:t> </w:t>
            </w:r>
          </w:p>
        </w:tc>
      </w:tr>
      <w:tr w:rsidR="00313C0F"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tcPr>
          <w:p w:rsidR="00313C0F" w:rsidRPr="00F61EFB" w:rsidRDefault="00313C0F" w:rsidP="00313C0F">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590" w:type="dxa"/>
            <w:tcBorders>
              <w:top w:val="single" w:sz="4" w:space="0" w:color="auto"/>
              <w:left w:val="single" w:sz="4" w:space="0" w:color="auto"/>
              <w:bottom w:val="single" w:sz="4" w:space="0" w:color="auto"/>
              <w:right w:val="single" w:sz="4" w:space="0" w:color="auto"/>
            </w:tcBorders>
          </w:tcPr>
          <w:p w:rsidR="00313C0F" w:rsidRPr="00F61EFB" w:rsidRDefault="00313C0F" w:rsidP="00313C0F">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Learning goals</w:t>
            </w:r>
            <w:r>
              <w:rPr>
                <w:rFonts w:eastAsia="Times New Roman" w:cs="Arial"/>
                <w:color w:val="313131"/>
                <w:u w:val="single"/>
              </w:rPr>
              <w:t>:</w:t>
            </w:r>
          </w:p>
        </w:tc>
      </w:tr>
      <w:tr w:rsidR="007D3FE7" w:rsidRPr="00F61EFB" w:rsidTr="00313C0F">
        <w:trPr>
          <w:tblCellSpacing w:w="0" w:type="dxa"/>
        </w:trPr>
        <w:tc>
          <w:tcPr>
            <w:tcW w:w="4785"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Pr>
                <w:rFonts w:eastAsia="Times New Roman" w:cs="Arial"/>
                <w:color w:val="313131"/>
                <w:u w:val="single"/>
              </w:rPr>
              <w:br/>
            </w:r>
            <w:r w:rsidRPr="00F61EFB">
              <w:rPr>
                <w:rFonts w:eastAsia="Times New Roman" w:cs="Arial"/>
                <w:color w:val="313131"/>
              </w:rPr>
              <w:t xml:space="preserve">Courses cover a number of works in one or more of the various forms of artistic representation; </w:t>
            </w:r>
            <w:proofErr w:type="gramStart"/>
            <w:r w:rsidRPr="00F61EFB">
              <w:rPr>
                <w:rFonts w:eastAsia="Times New Roman" w:cs="Arial"/>
                <w:color w:val="313131"/>
              </w:rPr>
              <w:t xml:space="preserve">they </w:t>
            </w:r>
            <w:r>
              <w:rPr>
                <w:rFonts w:eastAsia="Times New Roman" w:cs="Arial"/>
                <w:color w:val="313131"/>
              </w:rPr>
              <w:t xml:space="preserve"> </w:t>
            </w:r>
            <w:r w:rsidRPr="00F61EFB">
              <w:rPr>
                <w:rFonts w:eastAsia="Times New Roman" w:cs="Arial"/>
                <w:color w:val="313131"/>
              </w:rPr>
              <w:t>also</w:t>
            </w:r>
            <w:proofErr w:type="gramEnd"/>
            <w:r w:rsidRPr="00F61EFB">
              <w:rPr>
                <w:rFonts w:eastAsia="Times New Roman" w:cs="Arial"/>
                <w:color w:val="313131"/>
              </w:rPr>
              <w:t xml:space="preserve"> establish a framework and context for analysis of the structure and significance of these works.  In addition, these courses provide mechanisms for students</w:t>
            </w:r>
            <w:r>
              <w:rPr>
                <w:rFonts w:eastAsia="Times New Roman" w:cs="Arial"/>
                <w:color w:val="313131"/>
              </w:rPr>
              <w:t xml:space="preserve">: </w:t>
            </w:r>
            <w:r w:rsidRPr="00F61EFB">
              <w:rPr>
                <w:rFonts w:eastAsia="Times New Roman" w:cs="Arial"/>
                <w:color w:val="313131"/>
              </w:rPr>
              <w:t xml:space="preserve"> 1) to receive instruction on the methods of analysis and criticism</w:t>
            </w:r>
            <w:r>
              <w:rPr>
                <w:rFonts w:eastAsia="Times New Roman" w:cs="Arial"/>
                <w:color w:val="313131"/>
              </w:rPr>
              <w:t>;</w:t>
            </w:r>
            <w:r w:rsidRPr="00F61EFB">
              <w:rPr>
                <w:rFonts w:eastAsia="Times New Roman" w:cs="Arial"/>
                <w:color w:val="313131"/>
              </w:rPr>
              <w:t xml:space="preserve"> 2) to develop arguments about the works from differing critical perspectives.</w:t>
            </w:r>
          </w:p>
        </w:tc>
        <w:tc>
          <w:tcPr>
            <w:tcW w:w="459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sidRPr="00F61EFB">
              <w:rPr>
                <w:rFonts w:eastAsia="Times New Roman" w:cs="Arial"/>
                <w:color w:val="313131"/>
              </w:rPr>
              <w:br/>
              <w:t xml:space="preserve">Upon completion of this </w:t>
            </w:r>
            <w:r>
              <w:rPr>
                <w:rFonts w:eastAsia="Times New Roman" w:cs="Arial"/>
                <w:color w:val="313131"/>
              </w:rPr>
              <w:t>group</w:t>
            </w:r>
            <w:r w:rsidRPr="00F61EFB">
              <w:rPr>
                <w:rFonts w:eastAsia="Times New Roman" w:cs="Arial"/>
                <w:color w:val="313131"/>
              </w:rPr>
              <w:t>, students will be able to:</w:t>
            </w:r>
          </w:p>
          <w:p w:rsidR="007D3FE7" w:rsidRPr="00F61EFB" w:rsidRDefault="007D3FE7" w:rsidP="007D3FE7">
            <w:pPr>
              <w:numPr>
                <w:ilvl w:val="0"/>
                <w:numId w:val="5"/>
              </w:numPr>
              <w:spacing w:before="100" w:beforeAutospacing="1" w:after="100" w:afterAutospacing="1"/>
              <w:ind w:left="225"/>
              <w:rPr>
                <w:rFonts w:eastAsia="Times New Roman" w:cs="Arial"/>
                <w:color w:val="313131"/>
              </w:rPr>
            </w:pPr>
            <w:r w:rsidRPr="00F61EFB">
              <w:rPr>
                <w:rFonts w:eastAsia="Times New Roman" w:cs="Arial"/>
                <w:color w:val="313131"/>
              </w:rPr>
              <w:t xml:space="preserve">1. analyze works of art with respect to structure and significance within literary and artistic traditions, including emergent movements and forms; and </w:t>
            </w:r>
          </w:p>
          <w:p w:rsidR="007D3FE7" w:rsidRPr="00F61EFB" w:rsidRDefault="007D3FE7" w:rsidP="007D3FE7">
            <w:pPr>
              <w:numPr>
                <w:ilvl w:val="0"/>
                <w:numId w:val="5"/>
              </w:numPr>
              <w:spacing w:before="100" w:beforeAutospacing="1" w:after="100" w:afterAutospacing="1"/>
              <w:ind w:left="225"/>
              <w:rPr>
                <w:rFonts w:eastAsia="Times New Roman" w:cs="Arial"/>
                <w:color w:val="313131"/>
              </w:rPr>
            </w:pPr>
            <w:r w:rsidRPr="00F61EFB">
              <w:rPr>
                <w:rFonts w:eastAsia="Times New Roman" w:cs="Arial"/>
                <w:color w:val="313131"/>
              </w:rPr>
              <w:t xml:space="preserve">2. </w:t>
            </w:r>
            <w:proofErr w:type="gramStart"/>
            <w:r w:rsidRPr="00F61EFB">
              <w:rPr>
                <w:rFonts w:eastAsia="Times New Roman" w:cs="Arial"/>
                <w:color w:val="313131"/>
              </w:rPr>
              <w:t>develop</w:t>
            </w:r>
            <w:proofErr w:type="gramEnd"/>
            <w:r w:rsidRPr="00F61EFB">
              <w:rPr>
                <w:rFonts w:eastAsia="Times New Roman" w:cs="Arial"/>
                <w:color w:val="313131"/>
              </w:rPr>
              <w:t xml:space="preserve"> coherent arguments that critique these works from a variety of approaches, such as historical, aesthetic, cultural, psychological, political, and philosophical. </w:t>
            </w:r>
          </w:p>
        </w:tc>
      </w:tr>
      <w:tr w:rsidR="007D3FE7" w:rsidRPr="00F61EFB" w:rsidTr="00313C0F">
        <w:trPr>
          <w:tblCellSpacing w:w="0" w:type="dxa"/>
        </w:trPr>
        <w:tc>
          <w:tcPr>
            <w:tcW w:w="9375" w:type="dxa"/>
            <w:gridSpan w:val="2"/>
            <w:hideMark/>
          </w:tcPr>
          <w:p w:rsidR="007D3FE7" w:rsidRPr="00CB3DB2" w:rsidRDefault="007D3FE7" w:rsidP="00313C0F">
            <w:pPr>
              <w:spacing w:before="100" w:beforeAutospacing="1" w:after="100" w:afterAutospacing="1"/>
              <w:rPr>
                <w:rFonts w:eastAsia="Times New Roman" w:cs="Arial"/>
                <w:b/>
                <w:bCs/>
                <w:color w:val="313131"/>
                <w:u w:val="single"/>
              </w:rPr>
            </w:pPr>
            <w:r w:rsidRPr="00F61EFB">
              <w:rPr>
                <w:rFonts w:eastAsia="Times New Roman" w:cs="Arial"/>
                <w:b/>
                <w:bCs/>
                <w:color w:val="313131"/>
              </w:rPr>
              <w:t> </w:t>
            </w:r>
            <w:r>
              <w:rPr>
                <w:rFonts w:eastAsia="Times New Roman" w:cs="Arial"/>
                <w:b/>
                <w:bCs/>
                <w:color w:val="313131"/>
              </w:rPr>
              <w:br/>
            </w:r>
            <w:r w:rsidRPr="00313C0F">
              <w:rPr>
                <w:rStyle w:val="Heading2Char"/>
              </w:rPr>
              <w:t>Group VI: Historical Studies</w:t>
            </w:r>
            <w:proofErr w:type="gramStart"/>
            <w:r w:rsidRPr="00313C0F">
              <w:rPr>
                <w:rStyle w:val="Heading2Char"/>
              </w:rPr>
              <w:t>:</w:t>
            </w:r>
            <w:proofErr w:type="gramEnd"/>
            <w:r w:rsidRPr="00F61EFB">
              <w:rPr>
                <w:rFonts w:eastAsia="Times New Roman" w:cs="Arial"/>
                <w:b/>
                <w:bCs/>
                <w:color w:val="313131"/>
              </w:rPr>
              <w:br/>
            </w:r>
            <w:r w:rsidR="00072FC7" w:rsidRPr="00CB3DB2">
              <w:rPr>
                <w:rFonts w:eastAsia="Times New Roman" w:cstheme="minorHAnsi"/>
                <w:color w:val="313131"/>
                <w:u w:val="single"/>
              </w:rPr>
              <w:t xml:space="preserve">The primary purpose of courses in this perspective is to explore the historical contexts and narratives of human behavior, ideas, institutions, and societies through an analysis of their patterns of development or differentiation in the past. These </w:t>
            </w:r>
            <w:r w:rsidR="00072FC7" w:rsidRPr="00CB3DB2">
              <w:rPr>
                <w:rFonts w:cstheme="minorHAnsi"/>
                <w:u w:val="single"/>
              </w:rPr>
              <w:t>courses are wide-ranging in chronological, geographical, or topical focus.  They introduce students to methods of inquiry that enable them to understand and evaluate the causes and significance of events, texts, or artifacts.</w:t>
            </w:r>
          </w:p>
          <w:p w:rsidR="00072FC7" w:rsidRPr="00CB3DB2" w:rsidRDefault="00072FC7" w:rsidP="00072FC7">
            <w:pPr>
              <w:spacing w:after="120"/>
              <w:ind w:left="360" w:right="360"/>
              <w:rPr>
                <w:rFonts w:eastAsia="Times New Roman" w:cstheme="minorHAnsi"/>
                <w:color w:val="313131"/>
                <w:u w:val="single"/>
              </w:rPr>
            </w:pPr>
            <w:r w:rsidRPr="00CB3DB2">
              <w:rPr>
                <w:rFonts w:eastAsia="Times New Roman" w:cstheme="minorHAnsi"/>
                <w:color w:val="313131"/>
                <w:u w:val="single"/>
              </w:rPr>
              <w:t>Learning Goals:</w:t>
            </w:r>
            <w:r w:rsidRPr="00CB3DB2">
              <w:rPr>
                <w:rFonts w:eastAsia="Times New Roman" w:cstheme="minorHAnsi"/>
                <w:color w:val="313131"/>
                <w:u w:val="single"/>
              </w:rPr>
              <w:br/>
              <w:t>Upon completion of a course in this group, a student will be able to:</w:t>
            </w:r>
          </w:p>
          <w:p w:rsidR="00072FC7" w:rsidRPr="00CB3DB2" w:rsidRDefault="00072FC7" w:rsidP="00072FC7">
            <w:pPr>
              <w:pStyle w:val="ListParagraph"/>
              <w:numPr>
                <w:ilvl w:val="1"/>
                <w:numId w:val="2"/>
              </w:numPr>
              <w:spacing w:after="120"/>
              <w:ind w:right="360"/>
              <w:rPr>
                <w:rFonts w:eastAsia="Times New Roman" w:cstheme="minorHAnsi"/>
                <w:color w:val="313131"/>
                <w:u w:val="single"/>
              </w:rPr>
            </w:pPr>
            <w:r w:rsidRPr="00CB3DB2">
              <w:rPr>
                <w:rFonts w:eastAsia="Times New Roman" w:cstheme="minorHAnsi"/>
                <w:color w:val="313131"/>
                <w:u w:val="single"/>
              </w:rPr>
              <w:t>Critically analyze and evaluate primary sources – such as texts, pictorial evidence, oral histories, music, and</w:t>
            </w:r>
            <w:r w:rsidR="000F04AA">
              <w:rPr>
                <w:rFonts w:eastAsia="Times New Roman" w:cstheme="minorHAnsi"/>
                <w:color w:val="313131"/>
                <w:u w:val="single"/>
              </w:rPr>
              <w:t>/or</w:t>
            </w:r>
            <w:r w:rsidRPr="00CB3DB2">
              <w:rPr>
                <w:rFonts w:eastAsia="Times New Roman" w:cstheme="minorHAnsi"/>
                <w:color w:val="313131"/>
                <w:u w:val="single"/>
              </w:rPr>
              <w:t xml:space="preserve"> artifacts- within their respective historical contexts. </w:t>
            </w:r>
          </w:p>
          <w:p w:rsidR="00072FC7" w:rsidRPr="00CB3DB2" w:rsidRDefault="00072FC7" w:rsidP="00072FC7">
            <w:pPr>
              <w:pStyle w:val="ListParagraph"/>
              <w:numPr>
                <w:ilvl w:val="1"/>
                <w:numId w:val="2"/>
              </w:numPr>
              <w:spacing w:after="120"/>
              <w:ind w:right="360"/>
              <w:rPr>
                <w:rFonts w:eastAsia="Times New Roman" w:cstheme="minorHAnsi"/>
                <w:color w:val="313131"/>
                <w:u w:val="single"/>
              </w:rPr>
            </w:pPr>
            <w:r w:rsidRPr="00CB3DB2">
              <w:rPr>
                <w:rFonts w:eastAsia="Times New Roman" w:cstheme="minorHAnsi"/>
                <w:color w:val="313131"/>
                <w:u w:val="single"/>
              </w:rPr>
              <w:t>Synthesize ideas and</w:t>
            </w:r>
            <w:r w:rsidR="000F04AA">
              <w:rPr>
                <w:rFonts w:eastAsia="Times New Roman" w:cstheme="minorHAnsi"/>
                <w:color w:val="313131"/>
                <w:u w:val="single"/>
              </w:rPr>
              <w:t>/or</w:t>
            </w:r>
            <w:r w:rsidRPr="00CB3DB2">
              <w:rPr>
                <w:rFonts w:eastAsia="Times New Roman" w:cstheme="minorHAnsi"/>
                <w:color w:val="313131"/>
                <w:u w:val="single"/>
              </w:rPr>
              <w:t xml:space="preserve"> information in order to understand the problems, causes, and consequences of historical developments and events.  </w:t>
            </w:r>
          </w:p>
          <w:p w:rsidR="00313C0F" w:rsidRPr="00F61EFB" w:rsidRDefault="00313C0F" w:rsidP="00313C0F">
            <w:pPr>
              <w:spacing w:before="100" w:beforeAutospacing="1" w:after="100" w:afterAutospacing="1"/>
              <w:rPr>
                <w:rFonts w:eastAsia="Times New Roman" w:cs="Arial"/>
                <w:color w:val="313131"/>
              </w:rPr>
            </w:pPr>
          </w:p>
        </w:tc>
      </w:tr>
    </w:tbl>
    <w:p w:rsidR="007D3FE7" w:rsidRPr="00F61EFB" w:rsidRDefault="007D3FE7" w:rsidP="00313C0F">
      <w:pPr>
        <w:spacing w:before="100" w:beforeAutospacing="1" w:after="100" w:afterAutospacing="1"/>
        <w:ind w:firstLine="0"/>
        <w:rPr>
          <w:rFonts w:eastAsia="Times New Roman" w:cs="Arial"/>
          <w:color w:val="313131"/>
        </w:rPr>
      </w:pPr>
      <w:r w:rsidRPr="00313C0F">
        <w:rPr>
          <w:rStyle w:val="Heading2Char"/>
        </w:rPr>
        <w:lastRenderedPageBreak/>
        <w:t>Group VII Social Science</w:t>
      </w:r>
      <w:proofErr w:type="gramStart"/>
      <w:r>
        <w:rPr>
          <w:rFonts w:eastAsia="Times New Roman" w:cs="Arial"/>
          <w:b/>
          <w:bCs/>
          <w:color w:val="313131"/>
          <w:u w:val="single"/>
        </w:rPr>
        <w:t>:</w:t>
      </w:r>
      <w:proofErr w:type="gramEnd"/>
      <w:r w:rsidRPr="00F61EFB">
        <w:rPr>
          <w:rFonts w:eastAsia="Times New Roman" w:cs="Arial"/>
          <w:b/>
          <w:bCs/>
          <w:i/>
          <w:iCs/>
          <w:color w:val="313131"/>
        </w:rPr>
        <w:br/>
      </w:r>
      <w:r w:rsidRPr="00F61EFB">
        <w:rPr>
          <w:rFonts w:eastAsia="Times New Roman" w:cs="Arial"/>
          <w:color w:val="313131"/>
        </w:rPr>
        <w:t>Social science courses describe and analyze human social organization and interaction, employing social data at a broad scale with statistical relevance, experimental data on individuals or groups, or qualitative data based on observation and discourse.</w:t>
      </w:r>
      <w:r w:rsidRPr="00F61EFB">
        <w:rPr>
          <w:rFonts w:eastAsia="Times New Roman" w:cs="Arial"/>
          <w:i/>
          <w:iCs/>
          <w:color w:val="313131"/>
        </w:rPr>
        <w:t> </w:t>
      </w:r>
    </w:p>
    <w:tbl>
      <w:tblPr>
        <w:tblW w:w="9375" w:type="dxa"/>
        <w:tblCellSpacing w:w="0" w:type="dxa"/>
        <w:tblCellMar>
          <w:left w:w="0" w:type="dxa"/>
          <w:right w:w="0" w:type="dxa"/>
        </w:tblCellMar>
        <w:tblLook w:val="04A0" w:firstRow="1" w:lastRow="0" w:firstColumn="1" w:lastColumn="0" w:noHBand="0" w:noVBand="1"/>
      </w:tblPr>
      <w:tblGrid>
        <w:gridCol w:w="4440"/>
        <w:gridCol w:w="345"/>
        <w:gridCol w:w="4590"/>
      </w:tblGrid>
      <w:tr w:rsidR="00264E56" w:rsidRPr="00F61EFB" w:rsidTr="00264E56">
        <w:trPr>
          <w:trHeight w:val="323"/>
          <w:tblCellSpacing w:w="0" w:type="dxa"/>
        </w:trPr>
        <w:tc>
          <w:tcPr>
            <w:tcW w:w="4440" w:type="dxa"/>
            <w:tcBorders>
              <w:top w:val="single" w:sz="4" w:space="0" w:color="auto"/>
              <w:left w:val="single" w:sz="4" w:space="0" w:color="auto"/>
              <w:bottom w:val="single" w:sz="4" w:space="0" w:color="auto"/>
              <w:right w:val="single" w:sz="4" w:space="0" w:color="auto"/>
            </w:tcBorders>
          </w:tcPr>
          <w:p w:rsidR="00264E56" w:rsidRPr="00F61EFB" w:rsidRDefault="00264E56" w:rsidP="00390493">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935" w:type="dxa"/>
            <w:gridSpan w:val="2"/>
            <w:tcBorders>
              <w:top w:val="single" w:sz="4" w:space="0" w:color="auto"/>
              <w:left w:val="single" w:sz="4" w:space="0" w:color="auto"/>
              <w:bottom w:val="single" w:sz="4" w:space="0" w:color="auto"/>
              <w:right w:val="single" w:sz="4" w:space="0" w:color="auto"/>
            </w:tcBorders>
          </w:tcPr>
          <w:p w:rsidR="00264E56" w:rsidRPr="00F61EFB" w:rsidRDefault="00264E56" w:rsidP="00390493">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Learning goals</w:t>
            </w:r>
            <w:r>
              <w:rPr>
                <w:rFonts w:eastAsia="Times New Roman" w:cs="Arial"/>
                <w:color w:val="313131"/>
                <w:u w:val="single"/>
              </w:rPr>
              <w:t>:</w:t>
            </w:r>
          </w:p>
        </w:tc>
      </w:tr>
      <w:tr w:rsidR="007D3FE7" w:rsidRPr="00F61EFB" w:rsidTr="00313C0F">
        <w:trPr>
          <w:tblCellSpacing w:w="0" w:type="dxa"/>
        </w:trPr>
        <w:tc>
          <w:tcPr>
            <w:tcW w:w="444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Pr>
                <w:rFonts w:eastAsia="Times New Roman" w:cs="Arial"/>
                <w:color w:val="313131"/>
                <w:u w:val="single"/>
              </w:rPr>
              <w:br/>
            </w:r>
            <w:r w:rsidRPr="00F61EFB">
              <w:rPr>
                <w:rFonts w:eastAsia="Times New Roman" w:cs="Arial"/>
                <w:color w:val="313131"/>
              </w:rPr>
              <w:t>Courses:</w:t>
            </w:r>
          </w:p>
          <w:p w:rsidR="007D3FE7" w:rsidRPr="00F61EFB" w:rsidRDefault="007D3FE7" w:rsidP="007D3FE7">
            <w:pPr>
              <w:numPr>
                <w:ilvl w:val="0"/>
                <w:numId w:val="7"/>
              </w:numPr>
              <w:spacing w:before="100" w:beforeAutospacing="1" w:after="100" w:afterAutospacing="1"/>
              <w:ind w:left="225"/>
              <w:rPr>
                <w:rFonts w:eastAsia="Times New Roman" w:cs="Arial"/>
                <w:color w:val="313131"/>
              </w:rPr>
            </w:pPr>
            <w:r w:rsidRPr="00F61EFB">
              <w:rPr>
                <w:rFonts w:eastAsia="Times New Roman" w:cs="Arial"/>
                <w:color w:val="313131"/>
              </w:rPr>
              <w:t xml:space="preserve">1. systematically study individuals, groups, or social institutions; </w:t>
            </w:r>
          </w:p>
          <w:p w:rsidR="007D3FE7" w:rsidRPr="00F61EFB" w:rsidRDefault="007D3FE7" w:rsidP="007D3FE7">
            <w:pPr>
              <w:numPr>
                <w:ilvl w:val="0"/>
                <w:numId w:val="7"/>
              </w:numPr>
              <w:spacing w:before="100" w:beforeAutospacing="1" w:after="100" w:afterAutospacing="1"/>
              <w:ind w:left="225"/>
              <w:rPr>
                <w:rFonts w:eastAsia="Times New Roman" w:cs="Arial"/>
                <w:color w:val="313131"/>
              </w:rPr>
            </w:pPr>
            <w:r w:rsidRPr="00F61EFB">
              <w:rPr>
                <w:rFonts w:eastAsia="Times New Roman" w:cs="Arial"/>
                <w:color w:val="313131"/>
              </w:rPr>
              <w:t xml:space="preserve">2. analyze individuals, groups, or social problems and structures; and/or </w:t>
            </w:r>
          </w:p>
          <w:p w:rsidR="007D3FE7" w:rsidRPr="00F61EFB" w:rsidRDefault="007D3FE7" w:rsidP="007D3FE7">
            <w:pPr>
              <w:numPr>
                <w:ilvl w:val="0"/>
                <w:numId w:val="7"/>
              </w:numPr>
              <w:spacing w:before="100" w:beforeAutospacing="1" w:after="100" w:afterAutospacing="1"/>
              <w:ind w:left="225"/>
              <w:rPr>
                <w:rFonts w:eastAsia="Times New Roman" w:cs="Arial"/>
                <w:color w:val="313131"/>
              </w:rPr>
            </w:pPr>
            <w:r w:rsidRPr="00F61EFB">
              <w:rPr>
                <w:rFonts w:eastAsia="Times New Roman" w:cs="Arial"/>
                <w:color w:val="313131"/>
              </w:rPr>
              <w:t xml:space="preserve">3. </w:t>
            </w:r>
            <w:proofErr w:type="gramStart"/>
            <w:r w:rsidRPr="00F61EFB">
              <w:rPr>
                <w:rFonts w:eastAsia="Times New Roman" w:cs="Arial"/>
                <w:color w:val="313131"/>
              </w:rPr>
              <w:t>give</w:t>
            </w:r>
            <w:proofErr w:type="gramEnd"/>
            <w:r w:rsidRPr="00F61EFB">
              <w:rPr>
                <w:rFonts w:eastAsia="Times New Roman" w:cs="Arial"/>
                <w:color w:val="313131"/>
              </w:rPr>
              <w:t xml:space="preserve"> considerable attention to</w:t>
            </w:r>
            <w:r>
              <w:rPr>
                <w:rFonts w:eastAsia="Times New Roman" w:cs="Arial"/>
                <w:color w:val="313131"/>
              </w:rPr>
              <w:t xml:space="preserve"> </w:t>
            </w:r>
            <w:r w:rsidRPr="00F61EFB">
              <w:rPr>
                <w:rFonts w:eastAsia="Times New Roman" w:cs="Arial"/>
                <w:color w:val="313131"/>
              </w:rPr>
              <w:t xml:space="preserve">ways in which conclusions and generalizations are developed and justified as well as the methods of data collection and analysis. </w:t>
            </w:r>
          </w:p>
        </w:tc>
        <w:tc>
          <w:tcPr>
            <w:tcW w:w="4935" w:type="dxa"/>
            <w:gridSpan w:val="2"/>
            <w:tcBorders>
              <w:top w:val="single" w:sz="4" w:space="0" w:color="auto"/>
              <w:left w:val="single" w:sz="4" w:space="0" w:color="auto"/>
              <w:bottom w:val="single" w:sz="4" w:space="0" w:color="auto"/>
              <w:right w:val="single" w:sz="4" w:space="0" w:color="auto"/>
            </w:tcBorders>
            <w:hideMark/>
          </w:tcPr>
          <w:p w:rsidR="007D3FE7" w:rsidRDefault="007D3FE7" w:rsidP="007D3FE7">
            <w:pPr>
              <w:numPr>
                <w:ilvl w:val="0"/>
                <w:numId w:val="8"/>
              </w:numPr>
              <w:spacing w:before="100" w:beforeAutospacing="1" w:after="100" w:afterAutospacing="1"/>
              <w:ind w:left="225"/>
              <w:rPr>
                <w:rFonts w:eastAsia="Times New Roman" w:cs="Arial"/>
                <w:color w:val="313131"/>
              </w:rPr>
            </w:pPr>
            <w:r w:rsidRPr="00F61EFB">
              <w:rPr>
                <w:rFonts w:eastAsia="Times New Roman" w:cs="Arial"/>
                <w:color w:val="313131"/>
                <w:u w:val="single"/>
              </w:rPr>
              <w:br/>
            </w:r>
            <w:r w:rsidRPr="00F61EFB">
              <w:rPr>
                <w:rFonts w:eastAsia="Times New Roman" w:cs="Arial"/>
                <w:color w:val="313131"/>
              </w:rPr>
              <w:t xml:space="preserve">Students taking courses in the Social Sciences </w:t>
            </w:r>
            <w:r>
              <w:rPr>
                <w:rFonts w:eastAsia="Times New Roman" w:cs="Arial"/>
                <w:color w:val="313131"/>
              </w:rPr>
              <w:t>Group</w:t>
            </w:r>
            <w:r w:rsidRPr="00F61EFB">
              <w:rPr>
                <w:rFonts w:eastAsia="Times New Roman" w:cs="Arial"/>
                <w:color w:val="313131"/>
              </w:rPr>
              <w:t xml:space="preserve"> will be able to: </w:t>
            </w:r>
          </w:p>
          <w:p w:rsidR="007D3FE7" w:rsidRPr="00F61EFB" w:rsidRDefault="007D3FE7" w:rsidP="007D3FE7">
            <w:pPr>
              <w:numPr>
                <w:ilvl w:val="0"/>
                <w:numId w:val="8"/>
              </w:numPr>
              <w:spacing w:before="100" w:beforeAutospacing="1" w:after="100" w:afterAutospacing="1"/>
              <w:ind w:left="225"/>
              <w:rPr>
                <w:rFonts w:eastAsia="Times New Roman" w:cs="Arial"/>
                <w:color w:val="313131"/>
              </w:rPr>
            </w:pPr>
            <w:r>
              <w:rPr>
                <w:rFonts w:eastAsia="Times New Roman" w:cs="Arial"/>
                <w:color w:val="313131"/>
                <w:u w:val="single"/>
              </w:rPr>
              <w:br/>
            </w:r>
            <w:r w:rsidRPr="00AE7425">
              <w:rPr>
                <w:rFonts w:eastAsia="Times New Roman" w:cs="Arial"/>
                <w:color w:val="313131"/>
              </w:rPr>
              <w:t>1.</w:t>
            </w:r>
            <w:r w:rsidRPr="00F61EFB">
              <w:rPr>
                <w:rFonts w:eastAsia="Times New Roman" w:cs="Arial"/>
                <w:color w:val="313131"/>
              </w:rPr>
              <w:t xml:space="preserve">Describe the nature, structure, and historical development of human behavior, organizations, social phenomena, and/or relationships; </w:t>
            </w:r>
          </w:p>
          <w:p w:rsidR="007D3FE7" w:rsidRPr="00F61EFB" w:rsidRDefault="007D3FE7" w:rsidP="007D3FE7">
            <w:pPr>
              <w:numPr>
                <w:ilvl w:val="0"/>
                <w:numId w:val="8"/>
              </w:numPr>
              <w:spacing w:before="100" w:beforeAutospacing="1" w:after="100" w:afterAutospacing="1"/>
              <w:ind w:left="225"/>
              <w:rPr>
                <w:rFonts w:eastAsia="Times New Roman" w:cs="Arial"/>
                <w:color w:val="313131"/>
              </w:rPr>
            </w:pPr>
            <w:r w:rsidRPr="00F61EFB">
              <w:rPr>
                <w:rFonts w:eastAsia="Times New Roman" w:cs="Arial"/>
                <w:color w:val="313131"/>
              </w:rPr>
              <w:t xml:space="preserve">2. use theory in explaining these individual, group, or social phenomena; and/or </w:t>
            </w:r>
          </w:p>
          <w:p w:rsidR="007D3FE7" w:rsidRPr="00F61EFB" w:rsidRDefault="007D3FE7" w:rsidP="00264E56">
            <w:pPr>
              <w:numPr>
                <w:ilvl w:val="0"/>
                <w:numId w:val="8"/>
              </w:numPr>
              <w:spacing w:before="100" w:beforeAutospacing="1" w:after="100" w:afterAutospacing="1"/>
              <w:ind w:left="225"/>
              <w:rPr>
                <w:rFonts w:eastAsia="Times New Roman" w:cs="Arial"/>
                <w:color w:val="313131"/>
              </w:rPr>
            </w:pPr>
            <w:r w:rsidRPr="00F61EFB">
              <w:rPr>
                <w:rFonts w:eastAsia="Times New Roman" w:cs="Arial"/>
                <w:color w:val="313131"/>
              </w:rPr>
              <w:t xml:space="preserve">3. </w:t>
            </w:r>
            <w:proofErr w:type="gramStart"/>
            <w:r w:rsidRPr="00F61EFB">
              <w:rPr>
                <w:rFonts w:eastAsia="Times New Roman" w:cs="Arial"/>
                <w:color w:val="313131"/>
              </w:rPr>
              <w:t>understand</w:t>
            </w:r>
            <w:proofErr w:type="gramEnd"/>
            <w:r w:rsidRPr="00F61EFB">
              <w:rPr>
                <w:rFonts w:eastAsia="Times New Roman" w:cs="Arial"/>
                <w:color w:val="313131"/>
              </w:rPr>
              <w:t>, assess, and evaluate how conclusions and generalizations are justified based on data</w:t>
            </w:r>
            <w:r>
              <w:rPr>
                <w:rFonts w:eastAsia="Times New Roman" w:cs="Arial"/>
                <w:color w:val="313131"/>
              </w:rPr>
              <w:t>.</w:t>
            </w:r>
            <w:r w:rsidRPr="00F61EFB">
              <w:rPr>
                <w:rFonts w:eastAsia="Times New Roman" w:cs="Arial"/>
                <w:color w:val="313131"/>
              </w:rPr>
              <w:t xml:space="preserve"> </w:t>
            </w:r>
          </w:p>
        </w:tc>
      </w:tr>
      <w:tr w:rsidR="007D3FE7" w:rsidRPr="00F61EFB" w:rsidTr="00313C0F">
        <w:trPr>
          <w:tblCellSpacing w:w="0" w:type="dxa"/>
        </w:trPr>
        <w:tc>
          <w:tcPr>
            <w:tcW w:w="9375" w:type="dxa"/>
            <w:gridSpan w:val="3"/>
            <w:hideMark/>
          </w:tcPr>
          <w:p w:rsidR="007D3FE7" w:rsidRPr="00F61EFB" w:rsidRDefault="00264E56" w:rsidP="00264E56">
            <w:pPr>
              <w:spacing w:before="100" w:beforeAutospacing="1" w:after="240"/>
              <w:ind w:firstLine="0"/>
              <w:rPr>
                <w:rFonts w:eastAsia="Times New Roman" w:cs="Arial"/>
                <w:color w:val="313131"/>
              </w:rPr>
            </w:pPr>
            <w:r>
              <w:rPr>
                <w:rStyle w:val="Heading2Char"/>
              </w:rPr>
              <w:br/>
            </w:r>
            <w:r w:rsidR="007D3FE7" w:rsidRPr="00264E56">
              <w:rPr>
                <w:rStyle w:val="Heading2Char"/>
              </w:rPr>
              <w:t>Group VIII Ethics and Human Values</w:t>
            </w:r>
            <w:proofErr w:type="gramStart"/>
            <w:r w:rsidR="007D3FE7" w:rsidRPr="00264E56">
              <w:rPr>
                <w:rStyle w:val="Heading2Char"/>
              </w:rPr>
              <w:t>:</w:t>
            </w:r>
            <w:proofErr w:type="gramEnd"/>
            <w:r w:rsidR="007D3FE7" w:rsidRPr="00F61EFB">
              <w:rPr>
                <w:rFonts w:eastAsia="Times New Roman" w:cs="Arial"/>
                <w:b/>
                <w:bCs/>
                <w:color w:val="313131"/>
              </w:rPr>
              <w:br/>
            </w:r>
            <w:r w:rsidR="007D3FE7" w:rsidRPr="00F61EFB">
              <w:rPr>
                <w:rFonts w:eastAsia="Times New Roman" w:cs="Arial"/>
                <w:color w:val="313131"/>
              </w:rPr>
              <w:t>Ethics and Human Values courses familiarize students with one or more traditions of ethical thought. These courses rigorously present the basic concepts and forms of reasoning that define and distinguish each tradition. The focus of these courses may be on one or more of these traditions, or on a concept such as justice or the good life as conceptualized within one or more of these traditions, or on a professional practice within a particular tradition.</w:t>
            </w:r>
          </w:p>
        </w:tc>
      </w:tr>
      <w:tr w:rsidR="00264E56" w:rsidRPr="00F61EFB" w:rsidTr="00264E56">
        <w:trPr>
          <w:tblCellSpacing w:w="0" w:type="dxa"/>
        </w:trPr>
        <w:tc>
          <w:tcPr>
            <w:tcW w:w="4785" w:type="dxa"/>
            <w:gridSpan w:val="2"/>
            <w:tcBorders>
              <w:top w:val="single" w:sz="4" w:space="0" w:color="auto"/>
              <w:left w:val="single" w:sz="4" w:space="0" w:color="auto"/>
              <w:bottom w:val="single" w:sz="4" w:space="0" w:color="auto"/>
              <w:right w:val="single" w:sz="4" w:space="0" w:color="auto"/>
            </w:tcBorders>
          </w:tcPr>
          <w:p w:rsidR="00264E56" w:rsidRPr="00F61EFB" w:rsidRDefault="00264E56" w:rsidP="00264E56">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590" w:type="dxa"/>
            <w:tcBorders>
              <w:top w:val="single" w:sz="4" w:space="0" w:color="auto"/>
              <w:left w:val="single" w:sz="4" w:space="0" w:color="auto"/>
              <w:bottom w:val="single" w:sz="4" w:space="0" w:color="auto"/>
              <w:right w:val="single" w:sz="4" w:space="0" w:color="auto"/>
            </w:tcBorders>
          </w:tcPr>
          <w:p w:rsidR="00264E56" w:rsidRPr="00F61EFB" w:rsidRDefault="00264E56" w:rsidP="00264E56">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Learning goals</w:t>
            </w:r>
            <w:r>
              <w:rPr>
                <w:rFonts w:eastAsia="Times New Roman" w:cs="Arial"/>
                <w:color w:val="313131"/>
                <w:u w:val="single"/>
              </w:rPr>
              <w:t>:</w:t>
            </w:r>
          </w:p>
        </w:tc>
      </w:tr>
      <w:tr w:rsidR="007D3FE7" w:rsidRPr="00F61EFB" w:rsidTr="00264E56">
        <w:trPr>
          <w:tblCellSpacing w:w="0" w:type="dxa"/>
        </w:trPr>
        <w:tc>
          <w:tcPr>
            <w:tcW w:w="4785" w:type="dxa"/>
            <w:gridSpan w:val="2"/>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Pr>
                <w:rFonts w:eastAsia="Times New Roman" w:cs="Arial"/>
                <w:color w:val="313131"/>
                <w:u w:val="single"/>
              </w:rPr>
              <w:br/>
            </w:r>
            <w:r w:rsidRPr="00F61EFB">
              <w:rPr>
                <w:rFonts w:eastAsia="Times New Roman" w:cs="Arial"/>
                <w:color w:val="313131"/>
              </w:rPr>
              <w:t xml:space="preserve">1. Courses focus on one or more of the specific traditions of ethical thought (either Western or non-Western), on basic ethical topics such as justice or the good life as seen through the lens of one or more traditions of ethical thought, or on a professional practice within a particular tradition of ethical thought. </w:t>
            </w:r>
          </w:p>
          <w:p w:rsidR="007D3FE7" w:rsidRPr="00F61EFB" w:rsidRDefault="007D3FE7" w:rsidP="00264E56">
            <w:pPr>
              <w:spacing w:before="100" w:beforeAutospacing="1" w:after="100" w:afterAutospacing="1"/>
              <w:ind w:firstLine="0"/>
              <w:rPr>
                <w:rFonts w:eastAsia="Times New Roman" w:cs="Arial"/>
                <w:color w:val="313131"/>
              </w:rPr>
            </w:pPr>
            <w:r w:rsidRPr="00F61EFB">
              <w:rPr>
                <w:rFonts w:eastAsia="Times New Roman" w:cs="Arial"/>
                <w:color w:val="313131"/>
              </w:rPr>
              <w:t> </w:t>
            </w:r>
            <w:r>
              <w:rPr>
                <w:rFonts w:eastAsia="Times New Roman" w:cs="Arial"/>
                <w:color w:val="313131"/>
              </w:rPr>
              <w:t>2</w:t>
            </w:r>
            <w:r w:rsidRPr="00F61EFB">
              <w:rPr>
                <w:rFonts w:eastAsia="Times New Roman" w:cs="Arial"/>
                <w:color w:val="313131"/>
              </w:rPr>
              <w:t xml:space="preserve">. Courses provide a rigorous analysis of the basic concepts and forms of reasoning which define the traditions, the ethical topics, or the professional practices that are being studied. </w:t>
            </w:r>
          </w:p>
        </w:tc>
        <w:tc>
          <w:tcPr>
            <w:tcW w:w="4590"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sidRPr="00F61EFB">
              <w:rPr>
                <w:rFonts w:eastAsia="Times New Roman" w:cs="Arial"/>
                <w:color w:val="313131"/>
                <w:u w:val="single"/>
              </w:rPr>
              <w:br/>
            </w:r>
            <w:r w:rsidRPr="00F61EFB">
              <w:rPr>
                <w:rFonts w:eastAsia="Times New Roman" w:cs="Arial"/>
                <w:color w:val="313131"/>
              </w:rPr>
              <w:t>Upon completion of an Ethics and Human Values course, students will be able to:</w:t>
            </w:r>
          </w:p>
          <w:p w:rsidR="007D3FE7" w:rsidRPr="00F61EFB" w:rsidRDefault="007D3FE7" w:rsidP="007D3FE7">
            <w:pPr>
              <w:numPr>
                <w:ilvl w:val="0"/>
                <w:numId w:val="9"/>
              </w:numPr>
              <w:spacing w:before="100" w:beforeAutospacing="1" w:after="100" w:afterAutospacing="1"/>
              <w:ind w:left="225"/>
              <w:rPr>
                <w:rFonts w:eastAsia="Times New Roman" w:cs="Arial"/>
                <w:color w:val="313131"/>
              </w:rPr>
            </w:pPr>
            <w:r w:rsidRPr="00F61EFB">
              <w:rPr>
                <w:rFonts w:eastAsia="Times New Roman" w:cs="Arial"/>
                <w:color w:val="313131"/>
              </w:rPr>
              <w:t xml:space="preserve">1. correctly apply the basic concepts and forms of reasoning from the tradition or professional practice they studied to ethical issues that arise within those traditions or practices; </w:t>
            </w:r>
          </w:p>
          <w:p w:rsidR="007D3FE7" w:rsidRPr="00F61EFB" w:rsidRDefault="007D3FE7" w:rsidP="007D3FE7">
            <w:pPr>
              <w:numPr>
                <w:ilvl w:val="0"/>
                <w:numId w:val="10"/>
              </w:numPr>
              <w:spacing w:before="100" w:beforeAutospacing="1" w:after="100" w:afterAutospacing="1"/>
              <w:ind w:left="225"/>
              <w:rPr>
                <w:rFonts w:eastAsia="Times New Roman" w:cs="Arial"/>
                <w:strike/>
                <w:color w:val="313131"/>
              </w:rPr>
            </w:pPr>
            <w:r w:rsidRPr="00F61EFB">
              <w:rPr>
                <w:rFonts w:eastAsia="Times New Roman" w:cs="Arial"/>
                <w:color w:val="313131"/>
              </w:rPr>
              <w:t xml:space="preserve">2. </w:t>
            </w:r>
            <w:proofErr w:type="gramStart"/>
            <w:r w:rsidRPr="00F61EFB">
              <w:rPr>
                <w:rFonts w:eastAsia="Times New Roman" w:cs="Arial"/>
                <w:color w:val="313131"/>
              </w:rPr>
              <w:t>analyze</w:t>
            </w:r>
            <w:proofErr w:type="gramEnd"/>
            <w:r w:rsidRPr="00F61EFB">
              <w:rPr>
                <w:rFonts w:eastAsia="Times New Roman" w:cs="Arial"/>
                <w:color w:val="313131"/>
              </w:rPr>
              <w:t xml:space="preserve"> and critically evaluate the basic concepts and forms of reasoning from the tradition or professional practice they studied. </w:t>
            </w:r>
          </w:p>
        </w:tc>
      </w:tr>
    </w:tbl>
    <w:p w:rsidR="007D3FE7" w:rsidRDefault="007D3FE7" w:rsidP="007D3FE7"/>
    <w:tbl>
      <w:tblPr>
        <w:tblW w:w="9390" w:type="dxa"/>
        <w:tblCellSpacing w:w="0" w:type="dxa"/>
        <w:tblCellMar>
          <w:left w:w="0" w:type="dxa"/>
          <w:right w:w="0" w:type="dxa"/>
        </w:tblCellMar>
        <w:tblLook w:val="04A0" w:firstRow="1" w:lastRow="0" w:firstColumn="1" w:lastColumn="0" w:noHBand="0" w:noVBand="1"/>
      </w:tblPr>
      <w:tblGrid>
        <w:gridCol w:w="9375"/>
        <w:gridCol w:w="15"/>
      </w:tblGrid>
      <w:tr w:rsidR="007D3FE7" w:rsidRPr="00F61EFB" w:rsidTr="00313C0F">
        <w:trPr>
          <w:gridAfter w:val="1"/>
          <w:wAfter w:w="15" w:type="dxa"/>
          <w:tblCellSpacing w:w="0" w:type="dxa"/>
        </w:trPr>
        <w:tc>
          <w:tcPr>
            <w:tcW w:w="9375" w:type="dxa"/>
            <w:hideMark/>
          </w:tcPr>
          <w:p w:rsidR="00CB3DB2" w:rsidRPr="00CB3DB2" w:rsidRDefault="00CB3DB2" w:rsidP="00FF4007">
            <w:pPr>
              <w:pStyle w:val="ListParagraph"/>
              <w:ind w:left="0" w:firstLine="0"/>
              <w:rPr>
                <w:rStyle w:val="Heading2Char"/>
                <w:u w:val="single"/>
              </w:rPr>
            </w:pPr>
          </w:p>
          <w:p w:rsidR="00FF4007" w:rsidRPr="00CB3DB2" w:rsidRDefault="007D3FE7" w:rsidP="00FF4007">
            <w:pPr>
              <w:pStyle w:val="ListParagraph"/>
              <w:ind w:left="0" w:firstLine="0"/>
              <w:rPr>
                <w:rFonts w:cs="Times"/>
                <w:color w:val="000000"/>
                <w:sz w:val="24"/>
                <w:szCs w:val="24"/>
                <w:u w:val="single"/>
              </w:rPr>
            </w:pPr>
            <w:r w:rsidRPr="00CB3DB2">
              <w:rPr>
                <w:rStyle w:val="Heading2Char"/>
                <w:u w:val="single"/>
              </w:rPr>
              <w:t xml:space="preserve">Group IX: </w:t>
            </w:r>
            <w:r w:rsidR="00FF4007" w:rsidRPr="00CB3DB2">
              <w:rPr>
                <w:rStyle w:val="Heading2Char"/>
                <w:u w:val="single"/>
              </w:rPr>
              <w:t>Democracy and Citizenship</w:t>
            </w:r>
            <w:r w:rsidRPr="00CB3DB2">
              <w:rPr>
                <w:rFonts w:eastAsia="Times New Roman" w:cs="Arial"/>
                <w:b/>
                <w:bCs/>
                <w:color w:val="313131"/>
                <w:u w:val="single"/>
              </w:rPr>
              <w:br/>
            </w:r>
            <w:r w:rsidR="00FF4007" w:rsidRPr="00CB3DB2">
              <w:rPr>
                <w:rFonts w:cs="Arial"/>
                <w:color w:val="000000"/>
                <w:sz w:val="24"/>
                <w:szCs w:val="24"/>
                <w:u w:val="single"/>
              </w:rPr>
              <w:t xml:space="preserve">These courses ground students in the ideas, institutions, and practices of democratic societies and their historical antecedents. Knowledge gained through courses in the Y perspective </w:t>
            </w:r>
            <w:r w:rsidR="00FF4007" w:rsidRPr="00CB3DB2">
              <w:rPr>
                <w:rFonts w:cs="Arial"/>
                <w:color w:val="000000"/>
                <w:sz w:val="24"/>
                <w:szCs w:val="24"/>
                <w:u w:val="single"/>
              </w:rPr>
              <w:lastRenderedPageBreak/>
              <w:t>prepares students to understand the rights and responsibilities of engaged citizenship and to assess the characteristics, contributions, and contradictions of democratic systems.</w:t>
            </w:r>
          </w:p>
          <w:p w:rsidR="00FF4007" w:rsidRPr="00CB3DB2" w:rsidRDefault="00FF4007" w:rsidP="00FF4007">
            <w:pPr>
              <w:pStyle w:val="ListParagraph"/>
              <w:ind w:left="0"/>
              <w:rPr>
                <w:rFonts w:cs="Arial"/>
                <w:color w:val="000000"/>
                <w:sz w:val="24"/>
                <w:szCs w:val="24"/>
                <w:u w:val="single"/>
              </w:rPr>
            </w:pPr>
            <w:r w:rsidRPr="00CB3DB2">
              <w:rPr>
                <w:rFonts w:cs="Times"/>
                <w:color w:val="000000"/>
                <w:sz w:val="24"/>
                <w:szCs w:val="24"/>
                <w:u w:val="single"/>
              </w:rPr>
              <w:t> </w:t>
            </w:r>
          </w:p>
          <w:p w:rsidR="00FF4007" w:rsidRPr="00CB3DB2" w:rsidRDefault="00FF4007" w:rsidP="00FF4007">
            <w:pPr>
              <w:ind w:firstLine="0"/>
              <w:rPr>
                <w:rFonts w:cs="Times New Roman"/>
                <w:color w:val="000000"/>
                <w:sz w:val="24"/>
                <w:szCs w:val="24"/>
                <w:u w:val="single"/>
              </w:rPr>
            </w:pPr>
            <w:r w:rsidRPr="00CB3DB2">
              <w:rPr>
                <w:rFonts w:cs="Arial"/>
                <w:color w:val="000000"/>
                <w:sz w:val="24"/>
                <w:szCs w:val="24"/>
                <w:u w:val="single"/>
              </w:rPr>
              <w:t>Upon completion of a Democracy and Citizenship course, students will be able to:</w:t>
            </w:r>
          </w:p>
          <w:p w:rsidR="00FF4007" w:rsidRPr="00CB3DB2" w:rsidRDefault="00FF4007" w:rsidP="00FF4007">
            <w:pPr>
              <w:pStyle w:val="ListParagraph"/>
              <w:ind w:left="0"/>
              <w:rPr>
                <w:color w:val="000000"/>
                <w:sz w:val="24"/>
                <w:szCs w:val="24"/>
                <w:u w:val="single"/>
              </w:rPr>
            </w:pPr>
          </w:p>
          <w:p w:rsidR="00FF4007" w:rsidRPr="00CB3DB2" w:rsidRDefault="00FF4007" w:rsidP="00FF4007">
            <w:pPr>
              <w:pStyle w:val="ListParagraph"/>
              <w:numPr>
                <w:ilvl w:val="0"/>
                <w:numId w:val="20"/>
              </w:numPr>
              <w:suppressAutoHyphens/>
              <w:spacing w:after="120"/>
              <w:contextualSpacing w:val="0"/>
              <w:rPr>
                <w:sz w:val="24"/>
                <w:szCs w:val="24"/>
                <w:u w:val="single"/>
              </w:rPr>
            </w:pPr>
            <w:r w:rsidRPr="00CB3DB2">
              <w:rPr>
                <w:rFonts w:cs="Arial"/>
                <w:color w:val="000000"/>
                <w:sz w:val="24"/>
                <w:szCs w:val="24"/>
                <w:u w:val="single"/>
              </w:rPr>
              <w:t xml:space="preserve">Demonstrate informed and reasoned understanding of democratic ideas, institutions and practices, from historical and/or contemporary perspectives; </w:t>
            </w:r>
          </w:p>
          <w:p w:rsidR="00FF4007" w:rsidRPr="00CB3DB2" w:rsidRDefault="00FF4007" w:rsidP="00FF4007">
            <w:pPr>
              <w:pStyle w:val="ListParagraph"/>
              <w:numPr>
                <w:ilvl w:val="0"/>
                <w:numId w:val="20"/>
              </w:numPr>
              <w:suppressAutoHyphens/>
              <w:spacing w:after="120"/>
              <w:contextualSpacing w:val="0"/>
              <w:rPr>
                <w:sz w:val="24"/>
                <w:szCs w:val="24"/>
                <w:u w:val="single"/>
              </w:rPr>
            </w:pPr>
            <w:r w:rsidRPr="00CB3DB2">
              <w:rPr>
                <w:sz w:val="24"/>
                <w:szCs w:val="24"/>
                <w:u w:val="single"/>
              </w:rPr>
              <w:t>Analyze and evaluate the significance and complexities of engaged citizenship; and</w:t>
            </w:r>
          </w:p>
          <w:p w:rsidR="00FF4007" w:rsidRPr="00CB3DB2" w:rsidRDefault="00FF4007" w:rsidP="00FF4007">
            <w:pPr>
              <w:pStyle w:val="ListParagraph"/>
              <w:numPr>
                <w:ilvl w:val="0"/>
                <w:numId w:val="20"/>
              </w:numPr>
              <w:suppressAutoHyphens/>
              <w:spacing w:after="120"/>
              <w:contextualSpacing w:val="0"/>
              <w:rPr>
                <w:rFonts w:cs="Garamond"/>
                <w:sz w:val="24"/>
                <w:szCs w:val="24"/>
                <w:u w:val="single"/>
              </w:rPr>
            </w:pPr>
            <w:r w:rsidRPr="00CB3DB2">
              <w:rPr>
                <w:sz w:val="24"/>
                <w:szCs w:val="24"/>
                <w:u w:val="single"/>
              </w:rPr>
              <w:t>Articulate the causes and consequences of key historical and/or contemporary struggles within democratic systems or their antecedents, including but not limited to those pertaining to issues of diversity, equity, and justice.</w:t>
            </w:r>
            <w:r w:rsidRPr="00CB3DB2">
              <w:rPr>
                <w:rFonts w:cs="Garamond"/>
                <w:sz w:val="24"/>
                <w:szCs w:val="24"/>
                <w:u w:val="single"/>
              </w:rPr>
              <w:t> </w:t>
            </w:r>
          </w:p>
          <w:p w:rsidR="007D3FE7" w:rsidRPr="00CB3DB2" w:rsidRDefault="007D3FE7" w:rsidP="00FF4007">
            <w:pPr>
              <w:spacing w:before="100" w:beforeAutospacing="1" w:after="100" w:afterAutospacing="1"/>
              <w:ind w:firstLine="0"/>
              <w:rPr>
                <w:rFonts w:eastAsia="Times New Roman" w:cs="Arial"/>
                <w:color w:val="313131"/>
                <w:u w:val="single"/>
              </w:rPr>
            </w:pPr>
          </w:p>
        </w:tc>
      </w:tr>
      <w:tr w:rsidR="007D3FE7" w:rsidRPr="00F61EFB" w:rsidTr="00313C0F">
        <w:trPr>
          <w:tblCellSpacing w:w="0" w:type="dxa"/>
        </w:trPr>
        <w:tc>
          <w:tcPr>
            <w:tcW w:w="9390" w:type="dxa"/>
            <w:gridSpan w:val="2"/>
            <w:hideMark/>
          </w:tcPr>
          <w:p w:rsidR="00FF4007" w:rsidRPr="00CB3DB2" w:rsidRDefault="007D3FE7" w:rsidP="00FF4007">
            <w:pPr>
              <w:ind w:firstLine="0"/>
              <w:rPr>
                <w:rFonts w:eastAsia="Times New Roman" w:cs="Arial"/>
                <w:color w:val="171717"/>
                <w:sz w:val="24"/>
                <w:szCs w:val="24"/>
                <w:u w:val="single"/>
              </w:rPr>
            </w:pPr>
            <w:r w:rsidRPr="00FF4007">
              <w:rPr>
                <w:rStyle w:val="Heading2Char"/>
              </w:rPr>
              <w:lastRenderedPageBreak/>
              <w:t>Group X: </w:t>
            </w:r>
            <w:r w:rsidR="00FF4007" w:rsidRPr="00FF4007">
              <w:rPr>
                <w:rStyle w:val="Heading2Char"/>
              </w:rPr>
              <w:t>Cultural &amp; International Diversity</w:t>
            </w:r>
            <w:r w:rsidR="00FF4007">
              <w:br/>
            </w:r>
            <w:r w:rsidR="00FF4007" w:rsidRPr="00CB3DB2">
              <w:rPr>
                <w:color w:val="171717"/>
                <w:sz w:val="24"/>
                <w:szCs w:val="24"/>
                <w:u w:val="single"/>
              </w:rPr>
              <w:t>These courses foster an appreciation for diverse cultures, their histories</w:t>
            </w:r>
            <w:r w:rsidR="009707CF">
              <w:rPr>
                <w:color w:val="171717"/>
                <w:sz w:val="24"/>
                <w:szCs w:val="24"/>
                <w:u w:val="single"/>
              </w:rPr>
              <w:t>,</w:t>
            </w:r>
            <w:r w:rsidR="00FF4007" w:rsidRPr="00CB3DB2">
              <w:rPr>
                <w:color w:val="171717"/>
                <w:sz w:val="24"/>
                <w:szCs w:val="24"/>
                <w:u w:val="single"/>
              </w:rPr>
              <w:t xml:space="preserve"> and their positions in world spheres of power and change. This includes knowledge of diverse cultures in comparative and thematic frameworks. Knowledge gained through courses in the X perspective prepares students to cultivate ways of thinking that foster an understanding of the complexities of indigenous or international cultures and global issues, </w:t>
            </w:r>
            <w:r w:rsidR="009707CF">
              <w:rPr>
                <w:color w:val="171717"/>
                <w:sz w:val="24"/>
                <w:szCs w:val="24"/>
                <w:u w:val="single"/>
              </w:rPr>
              <w:t xml:space="preserve">both </w:t>
            </w:r>
            <w:bookmarkStart w:id="0" w:name="_GoBack"/>
            <w:bookmarkEnd w:id="0"/>
            <w:r w:rsidR="00FF4007" w:rsidRPr="00CB3DB2">
              <w:rPr>
                <w:color w:val="171717"/>
                <w:sz w:val="24"/>
                <w:szCs w:val="24"/>
                <w:u w:val="single"/>
              </w:rPr>
              <w:t xml:space="preserve">past and present. </w:t>
            </w:r>
          </w:p>
          <w:p w:rsidR="00FF4007" w:rsidRPr="00CB3DB2" w:rsidRDefault="00FF4007" w:rsidP="00FF4007">
            <w:pPr>
              <w:spacing w:before="280" w:after="280"/>
              <w:ind w:firstLine="0"/>
              <w:rPr>
                <w:rFonts w:eastAsia="Times New Roman" w:cs="Arial"/>
                <w:color w:val="171717"/>
                <w:sz w:val="24"/>
                <w:szCs w:val="24"/>
                <w:u w:val="single"/>
              </w:rPr>
            </w:pPr>
            <w:r w:rsidRPr="00CB3DB2">
              <w:rPr>
                <w:rFonts w:eastAsia="Times New Roman" w:cs="Arial"/>
                <w:color w:val="171717"/>
                <w:sz w:val="24"/>
                <w:szCs w:val="24"/>
                <w:u w:val="single"/>
              </w:rPr>
              <w:t>Upon completion of a course in this group, students will be able to:</w:t>
            </w:r>
          </w:p>
          <w:p w:rsidR="00FF4007" w:rsidRPr="00CB3DB2" w:rsidRDefault="00FF4007" w:rsidP="00FF4007">
            <w:pPr>
              <w:pStyle w:val="ListParagraph"/>
              <w:numPr>
                <w:ilvl w:val="0"/>
                <w:numId w:val="21"/>
              </w:numPr>
              <w:suppressAutoHyphens/>
              <w:spacing w:before="280" w:after="120"/>
              <w:contextualSpacing w:val="0"/>
              <w:rPr>
                <w:rFonts w:eastAsia="Times New Roman" w:cs="Arial"/>
                <w:color w:val="171717"/>
                <w:sz w:val="24"/>
                <w:szCs w:val="24"/>
                <w:u w:val="single"/>
              </w:rPr>
            </w:pPr>
            <w:r w:rsidRPr="00CB3DB2">
              <w:rPr>
                <w:rFonts w:eastAsia="Times New Roman" w:cs="Arial"/>
                <w:color w:val="171717"/>
                <w:sz w:val="24"/>
                <w:szCs w:val="24"/>
                <w:u w:val="single"/>
              </w:rPr>
              <w:t>Demonstrate an understanding of the diverse ways humans structure their social, political, and cultural lives;</w:t>
            </w:r>
          </w:p>
          <w:p w:rsidR="00FF4007" w:rsidRPr="00CB3DB2" w:rsidRDefault="00FF4007" w:rsidP="00FF4007">
            <w:pPr>
              <w:pStyle w:val="ListParagraph"/>
              <w:numPr>
                <w:ilvl w:val="0"/>
                <w:numId w:val="21"/>
              </w:numPr>
              <w:suppressAutoHyphens/>
              <w:spacing w:after="120"/>
              <w:contextualSpacing w:val="0"/>
              <w:rPr>
                <w:rFonts w:eastAsia="Times New Roman" w:cs="Arial"/>
                <w:color w:val="171717"/>
                <w:sz w:val="24"/>
                <w:szCs w:val="24"/>
                <w:u w:val="single"/>
              </w:rPr>
            </w:pPr>
            <w:r w:rsidRPr="00CB3DB2">
              <w:rPr>
                <w:rFonts w:eastAsia="Times New Roman" w:cs="Arial"/>
                <w:color w:val="171717"/>
                <w:sz w:val="24"/>
                <w:szCs w:val="24"/>
                <w:u w:val="single"/>
              </w:rPr>
              <w:t>Interpret human activities, ideas, and institutions with reference to diverse cultural, historical and geo-political perspectives and physical environments; and</w:t>
            </w:r>
          </w:p>
          <w:p w:rsidR="007D3FE7" w:rsidRPr="00F61EFB" w:rsidRDefault="00FF4007" w:rsidP="00FF4007">
            <w:pPr>
              <w:pStyle w:val="ListParagraph"/>
              <w:numPr>
                <w:ilvl w:val="0"/>
                <w:numId w:val="21"/>
              </w:numPr>
              <w:suppressAutoHyphens/>
              <w:spacing w:after="200"/>
              <w:contextualSpacing w:val="0"/>
              <w:rPr>
                <w:rFonts w:eastAsia="Times New Roman" w:cs="Arial"/>
                <w:color w:val="313131"/>
              </w:rPr>
            </w:pPr>
            <w:r w:rsidRPr="00CB3DB2">
              <w:rPr>
                <w:rFonts w:eastAsia="Times New Roman" w:cs="Arial"/>
                <w:color w:val="171717"/>
                <w:sz w:val="24"/>
                <w:szCs w:val="24"/>
                <w:u w:val="single"/>
              </w:rPr>
              <w:t>Recognize the complexities of inter-cultural and international communications and collaborative endeavors, and relate this to the complex challenges of the 21</w:t>
            </w:r>
            <w:r w:rsidRPr="00CB3DB2">
              <w:rPr>
                <w:rFonts w:eastAsia="Times New Roman" w:cs="Arial"/>
                <w:color w:val="171717"/>
                <w:sz w:val="24"/>
                <w:szCs w:val="24"/>
                <w:u w:val="single"/>
                <w:vertAlign w:val="superscript"/>
              </w:rPr>
              <w:t>st</w:t>
            </w:r>
            <w:r w:rsidRPr="00CB3DB2">
              <w:rPr>
                <w:rFonts w:eastAsia="Times New Roman" w:cs="Arial"/>
                <w:color w:val="171717"/>
                <w:sz w:val="24"/>
                <w:szCs w:val="24"/>
                <w:u w:val="single"/>
              </w:rPr>
              <w:t xml:space="preserve"> century.</w:t>
            </w:r>
            <w:r w:rsidRPr="00FF4007">
              <w:rPr>
                <w:rFonts w:eastAsia="Times New Roman" w:cs="Arial"/>
                <w:color w:val="171717"/>
                <w:sz w:val="24"/>
                <w:szCs w:val="24"/>
              </w:rPr>
              <w:t xml:space="preserve">  </w:t>
            </w:r>
          </w:p>
        </w:tc>
      </w:tr>
    </w:tbl>
    <w:p w:rsidR="007D3FE7" w:rsidRDefault="007D3FE7" w:rsidP="007D3FE7"/>
    <w:tbl>
      <w:tblPr>
        <w:tblW w:w="9390" w:type="dxa"/>
        <w:tblCellSpacing w:w="0" w:type="dxa"/>
        <w:tblCellMar>
          <w:left w:w="0" w:type="dxa"/>
          <w:right w:w="0" w:type="dxa"/>
        </w:tblCellMar>
        <w:tblLook w:val="04A0" w:firstRow="1" w:lastRow="0" w:firstColumn="1" w:lastColumn="0" w:noHBand="0" w:noVBand="1"/>
      </w:tblPr>
      <w:tblGrid>
        <w:gridCol w:w="4448"/>
        <w:gridCol w:w="4942"/>
      </w:tblGrid>
      <w:tr w:rsidR="007D3FE7" w:rsidRPr="00F61EFB" w:rsidTr="00313C0F">
        <w:trPr>
          <w:tblCellSpacing w:w="0" w:type="dxa"/>
        </w:trPr>
        <w:tc>
          <w:tcPr>
            <w:tcW w:w="9390" w:type="dxa"/>
            <w:gridSpan w:val="2"/>
            <w:hideMark/>
          </w:tcPr>
          <w:p w:rsidR="007D3FE7" w:rsidRPr="00F61EFB" w:rsidRDefault="007D3FE7" w:rsidP="00264E56">
            <w:pPr>
              <w:spacing w:before="100" w:beforeAutospacing="1" w:after="100" w:afterAutospacing="1"/>
              <w:ind w:firstLine="0"/>
              <w:rPr>
                <w:rFonts w:eastAsia="Times New Roman" w:cs="Arial"/>
                <w:color w:val="313131"/>
              </w:rPr>
            </w:pPr>
            <w:r w:rsidRPr="00264E56">
              <w:rPr>
                <w:rStyle w:val="Heading2Char"/>
              </w:rPr>
              <w:t>Group XI Natural Science</w:t>
            </w:r>
            <w:proofErr w:type="gramStart"/>
            <w:r w:rsidRPr="00264E56">
              <w:rPr>
                <w:rStyle w:val="Heading2Char"/>
              </w:rPr>
              <w:t>:</w:t>
            </w:r>
            <w:proofErr w:type="gramEnd"/>
            <w:r w:rsidRPr="00F61EFB">
              <w:rPr>
                <w:rFonts w:eastAsia="Times New Roman" w:cs="Arial"/>
                <w:b/>
                <w:bCs/>
                <w:color w:val="313131"/>
              </w:rPr>
              <w:br/>
            </w:r>
            <w:r w:rsidRPr="00F61EFB">
              <w:rPr>
                <w:rFonts w:eastAsia="Times New Roman" w:cs="Arial"/>
                <w:color w:val="313131"/>
              </w:rPr>
              <w:t>These courses present scientific conclusions about the structure and function of the natural world, demonstrate or exemplify scientific questioning and validation of findings.</w:t>
            </w:r>
          </w:p>
        </w:tc>
      </w:tr>
      <w:tr w:rsidR="00264E56" w:rsidRPr="00F61EFB" w:rsidTr="00264E56">
        <w:trPr>
          <w:tblCellSpacing w:w="0" w:type="dxa"/>
        </w:trPr>
        <w:tc>
          <w:tcPr>
            <w:tcW w:w="4448" w:type="dxa"/>
            <w:tcBorders>
              <w:top w:val="single" w:sz="4" w:space="0" w:color="auto"/>
              <w:left w:val="single" w:sz="4" w:space="0" w:color="auto"/>
              <w:bottom w:val="single" w:sz="4" w:space="0" w:color="auto"/>
              <w:right w:val="single" w:sz="4" w:space="0" w:color="auto"/>
            </w:tcBorders>
          </w:tcPr>
          <w:p w:rsidR="00264E56" w:rsidRDefault="00264E56" w:rsidP="00264E56">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Criteria</w:t>
            </w:r>
            <w:r>
              <w:rPr>
                <w:rFonts w:eastAsia="Times New Roman" w:cs="Arial"/>
                <w:color w:val="313131"/>
                <w:u w:val="single"/>
              </w:rPr>
              <w:t>:</w:t>
            </w:r>
          </w:p>
        </w:tc>
        <w:tc>
          <w:tcPr>
            <w:tcW w:w="4942" w:type="dxa"/>
            <w:tcBorders>
              <w:top w:val="single" w:sz="4" w:space="0" w:color="auto"/>
              <w:left w:val="single" w:sz="4" w:space="0" w:color="auto"/>
              <w:bottom w:val="single" w:sz="4" w:space="0" w:color="auto"/>
              <w:right w:val="single" w:sz="4" w:space="0" w:color="auto"/>
            </w:tcBorders>
          </w:tcPr>
          <w:p w:rsidR="00264E56" w:rsidRDefault="00264E56" w:rsidP="00264E56">
            <w:pPr>
              <w:spacing w:before="100" w:beforeAutospacing="1" w:after="100" w:afterAutospacing="1"/>
              <w:ind w:firstLine="0"/>
              <w:rPr>
                <w:rFonts w:eastAsia="Times New Roman" w:cs="Arial"/>
                <w:color w:val="313131"/>
                <w:u w:val="single"/>
              </w:rPr>
            </w:pPr>
            <w:r w:rsidRPr="00F61EFB">
              <w:rPr>
                <w:rFonts w:eastAsia="Times New Roman" w:cs="Arial"/>
                <w:color w:val="313131"/>
                <w:u w:val="single"/>
              </w:rPr>
              <w:t>Learning Goals</w:t>
            </w:r>
            <w:r>
              <w:rPr>
                <w:rFonts w:eastAsia="Times New Roman" w:cs="Arial"/>
                <w:color w:val="313131"/>
                <w:u w:val="single"/>
              </w:rPr>
              <w:t>:</w:t>
            </w:r>
          </w:p>
        </w:tc>
      </w:tr>
      <w:tr w:rsidR="007D3FE7" w:rsidRPr="00F61EFB" w:rsidTr="00264E56">
        <w:trPr>
          <w:tblCellSpacing w:w="0" w:type="dxa"/>
        </w:trPr>
        <w:tc>
          <w:tcPr>
            <w:tcW w:w="4448" w:type="dxa"/>
            <w:tcBorders>
              <w:top w:val="single" w:sz="4" w:space="0" w:color="auto"/>
              <w:left w:val="single" w:sz="4" w:space="0" w:color="auto"/>
              <w:bottom w:val="single" w:sz="4" w:space="0" w:color="auto"/>
              <w:right w:val="single" w:sz="4" w:space="0" w:color="auto"/>
            </w:tcBorders>
            <w:hideMark/>
          </w:tcPr>
          <w:p w:rsidR="007D3FE7" w:rsidRPr="00F61EFB" w:rsidRDefault="007D3FE7" w:rsidP="00264E56">
            <w:pPr>
              <w:spacing w:before="100" w:beforeAutospacing="1" w:after="100" w:afterAutospacing="1"/>
              <w:ind w:firstLine="0"/>
              <w:rPr>
                <w:rFonts w:eastAsia="Times New Roman" w:cs="Arial"/>
                <w:color w:val="313131"/>
              </w:rPr>
            </w:pPr>
          </w:p>
          <w:p w:rsidR="007D3FE7" w:rsidRPr="00F61EFB" w:rsidRDefault="007D3FE7" w:rsidP="00264E56">
            <w:pPr>
              <w:spacing w:before="100" w:beforeAutospacing="1" w:after="100" w:afterAutospacing="1"/>
              <w:ind w:firstLine="0"/>
              <w:rPr>
                <w:rFonts w:eastAsia="Times New Roman" w:cs="Arial"/>
                <w:color w:val="313131"/>
              </w:rPr>
            </w:pPr>
            <w:r w:rsidRPr="00F61EFB">
              <w:rPr>
                <w:rFonts w:eastAsia="Times New Roman" w:cs="Arial"/>
                <w:color w:val="313131"/>
              </w:rPr>
              <w:t>1. Courses explore a discipline in the natural sciences and demonstrate how the scientific method is used within the discipline to draw scientific conclusions</w:t>
            </w:r>
            <w:r>
              <w:rPr>
                <w:rFonts w:eastAsia="Times New Roman" w:cs="Arial"/>
                <w:color w:val="313131"/>
              </w:rPr>
              <w:t>:</w:t>
            </w:r>
            <w:r w:rsidRPr="00F61EFB">
              <w:rPr>
                <w:rFonts w:eastAsia="Times New Roman" w:cs="Arial"/>
                <w:color w:val="313131"/>
              </w:rPr>
              <w:t xml:space="preserve"> </w:t>
            </w:r>
          </w:p>
          <w:p w:rsidR="007D3FE7" w:rsidRPr="00F61EFB" w:rsidRDefault="007D3FE7" w:rsidP="00264E56">
            <w:pPr>
              <w:spacing w:before="100" w:beforeAutospacing="1" w:after="100" w:afterAutospacing="1"/>
              <w:rPr>
                <w:rFonts w:eastAsia="Times New Roman" w:cs="Arial"/>
                <w:color w:val="313131"/>
              </w:rPr>
            </w:pPr>
            <w:r w:rsidRPr="00F61EFB">
              <w:rPr>
                <w:rFonts w:eastAsia="Times New Roman" w:cs="Arial"/>
                <w:color w:val="313131"/>
              </w:rPr>
              <w:t xml:space="preserve">2. Courses address the concept of analytic uncertainty and the rigorous process required to </w:t>
            </w:r>
            <w:r w:rsidRPr="00F61EFB">
              <w:rPr>
                <w:rFonts w:eastAsia="Times New Roman" w:cs="Arial"/>
                <w:color w:val="313131"/>
              </w:rPr>
              <w:lastRenderedPageBreak/>
              <w:t>take an idea to a hypothesis and then to a validated scientific theory</w:t>
            </w:r>
            <w:r>
              <w:rPr>
                <w:rFonts w:eastAsia="Times New Roman" w:cs="Arial"/>
                <w:color w:val="313131"/>
              </w:rPr>
              <w:t>;</w:t>
            </w:r>
            <w:r w:rsidRPr="00F61EFB">
              <w:rPr>
                <w:rFonts w:eastAsia="Times New Roman" w:cs="Arial"/>
                <w:color w:val="313131"/>
              </w:rPr>
              <w:t xml:space="preserve"> </w:t>
            </w:r>
            <w:r w:rsidR="00264E56">
              <w:rPr>
                <w:rFonts w:eastAsia="Times New Roman" w:cs="Arial"/>
                <w:color w:val="313131"/>
              </w:rPr>
              <w:br/>
            </w:r>
            <w:r>
              <w:rPr>
                <w:rFonts w:eastAsia="Times New Roman" w:cs="Arial"/>
                <w:color w:val="313131"/>
              </w:rPr>
              <w:br/>
            </w:r>
            <w:r w:rsidRPr="00F61EFB">
              <w:rPr>
                <w:rFonts w:eastAsia="Times New Roman" w:cs="Arial"/>
                <w:color w:val="313131"/>
              </w:rPr>
              <w:t xml:space="preserve">3. Lab courses engage students in inquiry-based learning activities where they formulate a hypothesis, design an experiment to test the hypothesis, and collect, interpret, and present the data to support their conclusions. </w:t>
            </w:r>
          </w:p>
        </w:tc>
        <w:tc>
          <w:tcPr>
            <w:tcW w:w="4942" w:type="dxa"/>
            <w:tcBorders>
              <w:top w:val="single" w:sz="4" w:space="0" w:color="auto"/>
              <w:left w:val="single" w:sz="4" w:space="0" w:color="auto"/>
              <w:bottom w:val="single" w:sz="4" w:space="0" w:color="auto"/>
              <w:right w:val="single" w:sz="4" w:space="0" w:color="auto"/>
            </w:tcBorders>
            <w:hideMark/>
          </w:tcPr>
          <w:p w:rsidR="007D3FE7" w:rsidRPr="00F61EFB" w:rsidRDefault="007D3FE7" w:rsidP="00313C0F">
            <w:pPr>
              <w:spacing w:before="100" w:beforeAutospacing="1" w:after="100" w:afterAutospacing="1"/>
              <w:rPr>
                <w:rFonts w:eastAsia="Times New Roman" w:cs="Arial"/>
                <w:color w:val="313131"/>
              </w:rPr>
            </w:pPr>
            <w:r>
              <w:rPr>
                <w:rFonts w:eastAsia="Times New Roman" w:cs="Arial"/>
                <w:color w:val="313131"/>
                <w:u w:val="single"/>
              </w:rPr>
              <w:lastRenderedPageBreak/>
              <w:br/>
            </w:r>
            <w:r w:rsidRPr="00F61EFB">
              <w:rPr>
                <w:rFonts w:eastAsia="Times New Roman" w:cs="Arial"/>
                <w:color w:val="313131"/>
              </w:rPr>
              <w:br/>
              <w:t xml:space="preserve">Upon completion of this </w:t>
            </w:r>
            <w:r>
              <w:rPr>
                <w:rFonts w:eastAsia="Times New Roman" w:cs="Arial"/>
                <w:color w:val="313131"/>
              </w:rPr>
              <w:t>group</w:t>
            </w:r>
            <w:r w:rsidRPr="00F61EFB">
              <w:rPr>
                <w:rFonts w:eastAsia="Times New Roman" w:cs="Arial"/>
                <w:color w:val="313131"/>
              </w:rPr>
              <w:t>, a student will be able to:</w:t>
            </w:r>
          </w:p>
          <w:p w:rsidR="007D3FE7" w:rsidRPr="00F61EFB" w:rsidRDefault="007D3FE7" w:rsidP="007D3FE7">
            <w:pPr>
              <w:numPr>
                <w:ilvl w:val="0"/>
                <w:numId w:val="14"/>
              </w:numPr>
              <w:spacing w:before="100" w:beforeAutospacing="1" w:after="100" w:afterAutospacing="1"/>
              <w:ind w:left="225"/>
              <w:rPr>
                <w:rFonts w:eastAsia="Times New Roman" w:cs="Arial"/>
                <w:color w:val="313131"/>
              </w:rPr>
            </w:pPr>
            <w:r w:rsidRPr="00F61EFB">
              <w:rPr>
                <w:rFonts w:eastAsia="Times New Roman" w:cs="Arial"/>
                <w:color w:val="313131"/>
              </w:rPr>
              <w:t xml:space="preserve">1. </w:t>
            </w:r>
            <w:proofErr w:type="gramStart"/>
            <w:r w:rsidRPr="00F61EFB">
              <w:rPr>
                <w:rFonts w:eastAsia="Times New Roman" w:cs="Arial"/>
                <w:color w:val="313131"/>
              </w:rPr>
              <w:t>understand</w:t>
            </w:r>
            <w:proofErr w:type="gramEnd"/>
            <w:r w:rsidRPr="00F61EFB">
              <w:rPr>
                <w:rFonts w:eastAsia="Times New Roman" w:cs="Arial"/>
                <w:color w:val="313131"/>
              </w:rPr>
              <w:t xml:space="preserve"> the general principles associated with the discipline(s) studied; </w:t>
            </w:r>
            <w:r w:rsidRPr="00AE7425">
              <w:rPr>
                <w:rFonts w:eastAsia="Times New Roman" w:cs="Arial"/>
                <w:color w:val="313131"/>
              </w:rPr>
              <w:br/>
            </w:r>
            <w:r w:rsidRPr="00F61EFB">
              <w:rPr>
                <w:rFonts w:eastAsia="Times New Roman" w:cs="Arial"/>
                <w:color w:val="313131"/>
              </w:rPr>
              <w:t xml:space="preserve">2. </w:t>
            </w:r>
            <w:proofErr w:type="gramStart"/>
            <w:r w:rsidRPr="00F61EFB">
              <w:rPr>
                <w:rFonts w:eastAsia="Times New Roman" w:cs="Arial"/>
                <w:color w:val="313131"/>
              </w:rPr>
              <w:t>understand</w:t>
            </w:r>
            <w:proofErr w:type="gramEnd"/>
            <w:r w:rsidRPr="00F61EFB">
              <w:rPr>
                <w:rFonts w:eastAsia="Times New Roman" w:cs="Arial"/>
                <w:color w:val="313131"/>
              </w:rPr>
              <w:t xml:space="preserve"> the methodology and activities scientists use to gather, validate and interpret data </w:t>
            </w:r>
            <w:r w:rsidRPr="00F61EFB">
              <w:rPr>
                <w:rFonts w:eastAsia="Times New Roman" w:cs="Arial"/>
                <w:color w:val="313131"/>
              </w:rPr>
              <w:lastRenderedPageBreak/>
              <w:t xml:space="preserve">related to natural processes; </w:t>
            </w:r>
            <w:r w:rsidRPr="00AE7425">
              <w:rPr>
                <w:rFonts w:eastAsia="Times New Roman" w:cs="Arial"/>
                <w:color w:val="313131"/>
              </w:rPr>
              <w:br/>
            </w:r>
            <w:r w:rsidRPr="00F61EFB">
              <w:rPr>
                <w:rFonts w:eastAsia="Times New Roman" w:cs="Arial"/>
                <w:color w:val="313131"/>
              </w:rPr>
              <w:t xml:space="preserve">3. </w:t>
            </w:r>
            <w:proofErr w:type="gramStart"/>
            <w:r w:rsidRPr="00F61EFB">
              <w:rPr>
                <w:rFonts w:eastAsia="Times New Roman" w:cs="Arial"/>
                <w:color w:val="313131"/>
              </w:rPr>
              <w:t>detect</w:t>
            </w:r>
            <w:proofErr w:type="gramEnd"/>
            <w:r w:rsidRPr="00F61EFB">
              <w:rPr>
                <w:rFonts w:eastAsia="Times New Roman" w:cs="Arial"/>
                <w:color w:val="313131"/>
              </w:rPr>
              <w:t xml:space="preserve"> patterns, draw conclusions, develop conjectures and hypotheses, and test them by appropriate means and experiments; </w:t>
            </w:r>
            <w:r>
              <w:rPr>
                <w:rFonts w:eastAsia="Times New Roman" w:cs="Arial"/>
                <w:color w:val="313131"/>
              </w:rPr>
              <w:br/>
            </w:r>
            <w:r w:rsidRPr="00F61EFB">
              <w:rPr>
                <w:rFonts w:eastAsia="Times New Roman" w:cs="Arial"/>
                <w:color w:val="313131"/>
              </w:rPr>
              <w:t xml:space="preserve">4. </w:t>
            </w:r>
            <w:proofErr w:type="gramStart"/>
            <w:r w:rsidRPr="00F61EFB">
              <w:rPr>
                <w:rFonts w:eastAsia="Times New Roman" w:cs="Arial"/>
                <w:color w:val="313131"/>
              </w:rPr>
              <w:t>understand</w:t>
            </w:r>
            <w:proofErr w:type="gramEnd"/>
            <w:r w:rsidRPr="00F61EFB">
              <w:rPr>
                <w:rFonts w:eastAsia="Times New Roman" w:cs="Arial"/>
                <w:color w:val="313131"/>
              </w:rPr>
              <w:t xml:space="preserve"> how scientific laws and theories are verified by quantitative measurement, scientific observation, and logical/critical reasoning; and </w:t>
            </w:r>
            <w:r>
              <w:rPr>
                <w:rFonts w:eastAsia="Times New Roman" w:cs="Arial"/>
                <w:color w:val="313131"/>
              </w:rPr>
              <w:br/>
            </w:r>
            <w:r w:rsidRPr="00F61EFB">
              <w:rPr>
                <w:rFonts w:eastAsia="Times New Roman" w:cs="Arial"/>
                <w:color w:val="313131"/>
              </w:rPr>
              <w:t xml:space="preserve">5. </w:t>
            </w:r>
            <w:proofErr w:type="gramStart"/>
            <w:r w:rsidRPr="00F61EFB">
              <w:rPr>
                <w:rFonts w:eastAsia="Times New Roman" w:cs="Arial"/>
                <w:color w:val="313131"/>
              </w:rPr>
              <w:t>understand</w:t>
            </w:r>
            <w:proofErr w:type="gramEnd"/>
            <w:r w:rsidRPr="00F61EFB">
              <w:rPr>
                <w:rFonts w:eastAsia="Times New Roman" w:cs="Arial"/>
                <w:color w:val="313131"/>
              </w:rPr>
              <w:t xml:space="preserve"> the means by which analytic uncertainty is quantified and expressed in the natural sciences. </w:t>
            </w:r>
          </w:p>
        </w:tc>
      </w:tr>
    </w:tbl>
    <w:p w:rsidR="007D3FE7" w:rsidRPr="00F61EFB" w:rsidRDefault="007D3FE7" w:rsidP="007D3FE7">
      <w:pPr>
        <w:spacing w:before="100" w:beforeAutospacing="1" w:after="100" w:afterAutospacing="1"/>
        <w:rPr>
          <w:rFonts w:cs="Arial"/>
          <w:noProof/>
        </w:rPr>
      </w:pPr>
    </w:p>
    <w:p w:rsidR="002A79B7" w:rsidRPr="002A79B7" w:rsidRDefault="002A79B7" w:rsidP="007D3FE7">
      <w:pPr>
        <w:spacing w:before="100" w:beforeAutospacing="1" w:after="100" w:afterAutospacing="1"/>
        <w:ind w:firstLine="0"/>
      </w:pPr>
    </w:p>
    <w:sectPr w:rsidR="002A79B7" w:rsidRPr="002A79B7"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720"/>
      </w:pPr>
      <w:rPr>
        <w:rFonts w:cs="Times New Roman"/>
        <w:color w:val="000000"/>
        <w:sz w:val="24"/>
        <w:szCs w:val="24"/>
      </w:rPr>
    </w:lvl>
  </w:abstractNum>
  <w:abstractNum w:abstractNumId="1" w15:restartNumberingAfterBreak="0">
    <w:nsid w:val="00000003"/>
    <w:multiLevelType w:val="multilevel"/>
    <w:tmpl w:val="00000003"/>
    <w:name w:val="WW8Num6"/>
    <w:lvl w:ilvl="0">
      <w:start w:val="1"/>
      <w:numFmt w:val="decimal"/>
      <w:lvlText w:val="%1."/>
      <w:lvlJc w:val="left"/>
      <w:pPr>
        <w:tabs>
          <w:tab w:val="num" w:pos="0"/>
        </w:tabs>
        <w:ind w:left="225" w:hanging="225"/>
      </w:pPr>
      <w:rPr>
        <w:rFonts w:eastAsia="Times New Roman" w:cs="Arial"/>
        <w:color w:val="171717"/>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80047A"/>
    <w:multiLevelType w:val="hybridMultilevel"/>
    <w:tmpl w:val="F9CC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5D6C"/>
    <w:multiLevelType w:val="multilevel"/>
    <w:tmpl w:val="707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13707"/>
    <w:multiLevelType w:val="hybridMultilevel"/>
    <w:tmpl w:val="85E63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F2041B"/>
    <w:multiLevelType w:val="multilevel"/>
    <w:tmpl w:val="6D1E928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6" w15:restartNumberingAfterBreak="0">
    <w:nsid w:val="1C120B93"/>
    <w:multiLevelType w:val="multilevel"/>
    <w:tmpl w:val="79F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16EEE"/>
    <w:multiLevelType w:val="multilevel"/>
    <w:tmpl w:val="E8FA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31BC9"/>
    <w:multiLevelType w:val="multilevel"/>
    <w:tmpl w:val="355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250D6"/>
    <w:multiLevelType w:val="multilevel"/>
    <w:tmpl w:val="93F6C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17046"/>
    <w:multiLevelType w:val="multilevel"/>
    <w:tmpl w:val="EC5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E956EE"/>
    <w:multiLevelType w:val="multilevel"/>
    <w:tmpl w:val="768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3342CF"/>
    <w:multiLevelType w:val="multilevel"/>
    <w:tmpl w:val="807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D25B4D"/>
    <w:multiLevelType w:val="multilevel"/>
    <w:tmpl w:val="B09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F7CFA"/>
    <w:multiLevelType w:val="hybridMultilevel"/>
    <w:tmpl w:val="C878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62779"/>
    <w:multiLevelType w:val="multilevel"/>
    <w:tmpl w:val="F84077AC"/>
    <w:lvl w:ilvl="0">
      <w:start w:val="1"/>
      <w:numFmt w:val="bullet"/>
      <w:lvlText w:val=""/>
      <w:lvlJc w:val="left"/>
      <w:pPr>
        <w:tabs>
          <w:tab w:val="num" w:pos="0"/>
        </w:tabs>
        <w:ind w:left="225" w:hanging="225"/>
      </w:pPr>
      <w:rPr>
        <w:rFonts w:ascii="Symbol" w:hAnsi="Symbol" w:hint="default"/>
        <w:color w:val="171717"/>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4A5A14A5"/>
    <w:multiLevelType w:val="hybridMultilevel"/>
    <w:tmpl w:val="4C445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A7F65"/>
    <w:multiLevelType w:val="hybridMultilevel"/>
    <w:tmpl w:val="C83E8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26A2E"/>
    <w:multiLevelType w:val="multilevel"/>
    <w:tmpl w:val="6A2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E86E1B"/>
    <w:multiLevelType w:val="multilevel"/>
    <w:tmpl w:val="A0A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574464"/>
    <w:multiLevelType w:val="multilevel"/>
    <w:tmpl w:val="EDB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3"/>
  </w:num>
  <w:num w:numId="4">
    <w:abstractNumId w:val="21"/>
  </w:num>
  <w:num w:numId="5">
    <w:abstractNumId w:val="19"/>
  </w:num>
  <w:num w:numId="6">
    <w:abstractNumId w:val="8"/>
  </w:num>
  <w:num w:numId="7">
    <w:abstractNumId w:val="5"/>
  </w:num>
  <w:num w:numId="8">
    <w:abstractNumId w:val="12"/>
  </w:num>
  <w:num w:numId="9">
    <w:abstractNumId w:val="6"/>
  </w:num>
  <w:num w:numId="10">
    <w:abstractNumId w:val="20"/>
  </w:num>
  <w:num w:numId="11">
    <w:abstractNumId w:val="14"/>
  </w:num>
  <w:num w:numId="12">
    <w:abstractNumId w:val="3"/>
  </w:num>
  <w:num w:numId="13">
    <w:abstractNumId w:val="9"/>
  </w:num>
  <w:num w:numId="14">
    <w:abstractNumId w:val="11"/>
  </w:num>
  <w:num w:numId="15">
    <w:abstractNumId w:val="18"/>
  </w:num>
  <w:num w:numId="16">
    <w:abstractNumId w:val="17"/>
  </w:num>
  <w:num w:numId="17">
    <w:abstractNumId w:val="2"/>
  </w:num>
  <w:num w:numId="18">
    <w:abstractNumId w:val="0"/>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94"/>
    <w:rsid w:val="00013186"/>
    <w:rsid w:val="00050949"/>
    <w:rsid w:val="000721FA"/>
    <w:rsid w:val="00072FC7"/>
    <w:rsid w:val="000F04AA"/>
    <w:rsid w:val="000F419B"/>
    <w:rsid w:val="00100B1D"/>
    <w:rsid w:val="00111C0E"/>
    <w:rsid w:val="00146F92"/>
    <w:rsid w:val="001664B7"/>
    <w:rsid w:val="0019128D"/>
    <w:rsid w:val="00193577"/>
    <w:rsid w:val="0019758C"/>
    <w:rsid w:val="001C2E40"/>
    <w:rsid w:val="001E20D7"/>
    <w:rsid w:val="002570C9"/>
    <w:rsid w:val="00264E56"/>
    <w:rsid w:val="00273BB0"/>
    <w:rsid w:val="002A79B7"/>
    <w:rsid w:val="002E3612"/>
    <w:rsid w:val="002F1FFC"/>
    <w:rsid w:val="003000B0"/>
    <w:rsid w:val="00302297"/>
    <w:rsid w:val="00313C0F"/>
    <w:rsid w:val="003200C4"/>
    <w:rsid w:val="003229C4"/>
    <w:rsid w:val="00324A01"/>
    <w:rsid w:val="00372968"/>
    <w:rsid w:val="00380803"/>
    <w:rsid w:val="003A71B0"/>
    <w:rsid w:val="003B718A"/>
    <w:rsid w:val="003D6667"/>
    <w:rsid w:val="003E24AF"/>
    <w:rsid w:val="00413C92"/>
    <w:rsid w:val="00432B02"/>
    <w:rsid w:val="004418A7"/>
    <w:rsid w:val="0044234A"/>
    <w:rsid w:val="004504F5"/>
    <w:rsid w:val="0047678D"/>
    <w:rsid w:val="0049335C"/>
    <w:rsid w:val="00495C08"/>
    <w:rsid w:val="00495F23"/>
    <w:rsid w:val="004A6F6F"/>
    <w:rsid w:val="004B0FD5"/>
    <w:rsid w:val="004B5E58"/>
    <w:rsid w:val="004D5F07"/>
    <w:rsid w:val="004F7E75"/>
    <w:rsid w:val="00536698"/>
    <w:rsid w:val="00547F1B"/>
    <w:rsid w:val="00557A60"/>
    <w:rsid w:val="00560C0D"/>
    <w:rsid w:val="00573925"/>
    <w:rsid w:val="005812FA"/>
    <w:rsid w:val="00587BDE"/>
    <w:rsid w:val="00596155"/>
    <w:rsid w:val="005D29A4"/>
    <w:rsid w:val="005F023E"/>
    <w:rsid w:val="005F0B83"/>
    <w:rsid w:val="005F364B"/>
    <w:rsid w:val="005F3DAE"/>
    <w:rsid w:val="0065113E"/>
    <w:rsid w:val="00652475"/>
    <w:rsid w:val="00665CF6"/>
    <w:rsid w:val="00670FC7"/>
    <w:rsid w:val="006739F6"/>
    <w:rsid w:val="00674DDA"/>
    <w:rsid w:val="00696B96"/>
    <w:rsid w:val="006A1988"/>
    <w:rsid w:val="006A471B"/>
    <w:rsid w:val="006B4A4E"/>
    <w:rsid w:val="006D0636"/>
    <w:rsid w:val="006D3651"/>
    <w:rsid w:val="006D463A"/>
    <w:rsid w:val="006E19A5"/>
    <w:rsid w:val="006F2825"/>
    <w:rsid w:val="00700054"/>
    <w:rsid w:val="00713C59"/>
    <w:rsid w:val="007408BF"/>
    <w:rsid w:val="00790566"/>
    <w:rsid w:val="00797A9E"/>
    <w:rsid w:val="007C002A"/>
    <w:rsid w:val="007D3FE7"/>
    <w:rsid w:val="007D7714"/>
    <w:rsid w:val="007F7282"/>
    <w:rsid w:val="008202A8"/>
    <w:rsid w:val="00846FAB"/>
    <w:rsid w:val="00882179"/>
    <w:rsid w:val="008942F3"/>
    <w:rsid w:val="008B5DB1"/>
    <w:rsid w:val="008B73BD"/>
    <w:rsid w:val="008C0E99"/>
    <w:rsid w:val="008D0EB4"/>
    <w:rsid w:val="008D2F97"/>
    <w:rsid w:val="008D695A"/>
    <w:rsid w:val="00911573"/>
    <w:rsid w:val="00913694"/>
    <w:rsid w:val="0092488E"/>
    <w:rsid w:val="009707CF"/>
    <w:rsid w:val="009C72C9"/>
    <w:rsid w:val="00A26D0A"/>
    <w:rsid w:val="00A4119E"/>
    <w:rsid w:val="00A71CBA"/>
    <w:rsid w:val="00A770C7"/>
    <w:rsid w:val="00A936B3"/>
    <w:rsid w:val="00A97E95"/>
    <w:rsid w:val="00AC67E0"/>
    <w:rsid w:val="00AE035B"/>
    <w:rsid w:val="00B04190"/>
    <w:rsid w:val="00B10B09"/>
    <w:rsid w:val="00B61A09"/>
    <w:rsid w:val="00BB118E"/>
    <w:rsid w:val="00BB7B3D"/>
    <w:rsid w:val="00BC302F"/>
    <w:rsid w:val="00BD3A63"/>
    <w:rsid w:val="00BE68B0"/>
    <w:rsid w:val="00C32ADA"/>
    <w:rsid w:val="00C91E3F"/>
    <w:rsid w:val="00CA154F"/>
    <w:rsid w:val="00CA59B9"/>
    <w:rsid w:val="00CB01F1"/>
    <w:rsid w:val="00CB3DB2"/>
    <w:rsid w:val="00CC4242"/>
    <w:rsid w:val="00D4252B"/>
    <w:rsid w:val="00D42F17"/>
    <w:rsid w:val="00D472C1"/>
    <w:rsid w:val="00D5487C"/>
    <w:rsid w:val="00D6165E"/>
    <w:rsid w:val="00DA611C"/>
    <w:rsid w:val="00DC7D8F"/>
    <w:rsid w:val="00DE32D3"/>
    <w:rsid w:val="00E108BB"/>
    <w:rsid w:val="00E47214"/>
    <w:rsid w:val="00E67679"/>
    <w:rsid w:val="00E72148"/>
    <w:rsid w:val="00E9399A"/>
    <w:rsid w:val="00EE475A"/>
    <w:rsid w:val="00EE7177"/>
    <w:rsid w:val="00F14C5E"/>
    <w:rsid w:val="00F25E28"/>
    <w:rsid w:val="00F33083"/>
    <w:rsid w:val="00F83DAD"/>
    <w:rsid w:val="00F938D1"/>
    <w:rsid w:val="00F94E42"/>
    <w:rsid w:val="00FA2456"/>
    <w:rsid w:val="00FA32C5"/>
    <w:rsid w:val="00FA5733"/>
    <w:rsid w:val="00FE4F78"/>
    <w:rsid w:val="00FF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409A"/>
  <w15:docId w15:val="{B4651A43-9CB0-4487-924F-ACDE4DBD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91714">
      <w:bodyDiv w:val="1"/>
      <w:marLeft w:val="0"/>
      <w:marRight w:val="0"/>
      <w:marTop w:val="0"/>
      <w:marBottom w:val="0"/>
      <w:divBdr>
        <w:top w:val="none" w:sz="0" w:space="0" w:color="auto"/>
        <w:left w:val="none" w:sz="0" w:space="0" w:color="auto"/>
        <w:bottom w:val="none" w:sz="0" w:space="0" w:color="auto"/>
        <w:right w:val="none" w:sz="0" w:space="0" w:color="auto"/>
      </w:divBdr>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0717">
      <w:bodyDiv w:val="1"/>
      <w:marLeft w:val="0"/>
      <w:marRight w:val="0"/>
      <w:marTop w:val="0"/>
      <w:marBottom w:val="0"/>
      <w:divBdr>
        <w:top w:val="none" w:sz="0" w:space="0" w:color="auto"/>
        <w:left w:val="none" w:sz="0" w:space="0" w:color="auto"/>
        <w:bottom w:val="none" w:sz="0" w:space="0" w:color="auto"/>
        <w:right w:val="none" w:sz="0" w:space="0" w:color="auto"/>
      </w:divBdr>
      <w:divsChild>
        <w:div w:id="579288547">
          <w:marLeft w:val="0"/>
          <w:marRight w:val="0"/>
          <w:marTop w:val="0"/>
          <w:marBottom w:val="0"/>
          <w:divBdr>
            <w:top w:val="none" w:sz="0" w:space="0" w:color="auto"/>
            <w:left w:val="none" w:sz="0" w:space="0" w:color="auto"/>
            <w:bottom w:val="none" w:sz="0" w:space="0" w:color="auto"/>
            <w:right w:val="none" w:sz="0" w:space="0" w:color="auto"/>
          </w:divBdr>
        </w:div>
      </w:divsChild>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8416">
      <w:bodyDiv w:val="1"/>
      <w:marLeft w:val="0"/>
      <w:marRight w:val="0"/>
      <w:marTop w:val="0"/>
      <w:marBottom w:val="0"/>
      <w:divBdr>
        <w:top w:val="none" w:sz="0" w:space="0" w:color="auto"/>
        <w:left w:val="none" w:sz="0" w:space="0" w:color="auto"/>
        <w:bottom w:val="none" w:sz="0" w:space="0" w:color="auto"/>
        <w:right w:val="none" w:sz="0" w:space="0" w:color="auto"/>
      </w:divBdr>
    </w:div>
    <w:div w:id="1867980749">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CC65-EE09-4732-AC79-4C1D2A36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2010-10-21T20:35:00Z</cp:lastPrinted>
  <dcterms:created xsi:type="dcterms:W3CDTF">2017-11-30T17:13:00Z</dcterms:created>
  <dcterms:modified xsi:type="dcterms:W3CDTF">2017-11-30T23:33:00Z</dcterms:modified>
</cp:coreProperties>
</file>