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27" w:rsidRPr="00526024" w:rsidRDefault="00165E59" w:rsidP="00F72F27">
      <w:pPr>
        <w:rPr>
          <w:rFonts w:ascii="Geneva" w:hAnsi="Geneva"/>
          <w:b/>
          <w:sz w:val="36"/>
          <w:szCs w:val="36"/>
        </w:rPr>
      </w:pPr>
      <w:r>
        <w:rPr>
          <w:noProof/>
        </w:rPr>
        <w:drawing>
          <wp:anchor distT="0" distB="0" distL="114300" distR="114300" simplePos="0" relativeHeight="251657728" behindDoc="1" locked="0" layoutInCell="1" allowOverlap="1">
            <wp:simplePos x="0" y="0"/>
            <wp:positionH relativeFrom="column">
              <wp:posOffset>3808730</wp:posOffset>
            </wp:positionH>
            <wp:positionV relativeFrom="paragraph">
              <wp:posOffset>-57150</wp:posOffset>
            </wp:positionV>
            <wp:extent cx="2144395" cy="1440180"/>
            <wp:effectExtent l="19050" t="0" r="8255" b="0"/>
            <wp:wrapTight wrapText="bothSides">
              <wp:wrapPolygon edited="0">
                <wp:start x="-192" y="0"/>
                <wp:lineTo x="-192" y="21429"/>
                <wp:lineTo x="21683" y="21429"/>
                <wp:lineTo x="21683" y="0"/>
                <wp:lineTo x="-192" y="0"/>
              </wp:wrapPolygon>
            </wp:wrapTight>
            <wp:docPr id="26" name="Picture 24" descr="Mans Library logo 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s Library logo color copy"/>
                    <pic:cNvPicPr>
                      <a:picLocks noChangeAspect="1" noChangeArrowheads="1"/>
                    </pic:cNvPicPr>
                  </pic:nvPicPr>
                  <pic:blipFill>
                    <a:blip r:embed="rId7" cstate="print"/>
                    <a:srcRect/>
                    <a:stretch>
                      <a:fillRect/>
                    </a:stretch>
                  </pic:blipFill>
                  <pic:spPr bwMode="auto">
                    <a:xfrm>
                      <a:off x="0" y="0"/>
                      <a:ext cx="2144395" cy="1440180"/>
                    </a:xfrm>
                    <a:prstGeom prst="rect">
                      <a:avLst/>
                    </a:prstGeom>
                    <a:noFill/>
                    <a:ln w="9525">
                      <a:noFill/>
                      <a:miter lim="800000"/>
                      <a:headEnd/>
                      <a:tailEnd/>
                    </a:ln>
                  </pic:spPr>
                </pic:pic>
              </a:graphicData>
            </a:graphic>
          </wp:anchor>
        </w:drawing>
      </w:r>
    </w:p>
    <w:p w:rsidR="00F72F27" w:rsidRPr="00526024" w:rsidRDefault="00F72F27" w:rsidP="00F72F27">
      <w:pPr>
        <w:rPr>
          <w:rFonts w:ascii="Geneva" w:hAnsi="Geneva"/>
          <w:b/>
          <w:sz w:val="36"/>
          <w:szCs w:val="36"/>
        </w:rPr>
      </w:pPr>
    </w:p>
    <w:p w:rsidR="00F72F27" w:rsidRPr="00526024" w:rsidRDefault="00F72F27" w:rsidP="00F72F27">
      <w:pPr>
        <w:rPr>
          <w:rFonts w:ascii="Geneva" w:hAnsi="Geneva"/>
          <w:b/>
          <w:sz w:val="40"/>
          <w:szCs w:val="40"/>
        </w:rPr>
      </w:pPr>
    </w:p>
    <w:p w:rsidR="00F72F27" w:rsidRPr="00526024" w:rsidRDefault="00F72F27" w:rsidP="00F72F27">
      <w:pPr>
        <w:rPr>
          <w:rFonts w:ascii="Geneva" w:hAnsi="Geneva"/>
          <w:b/>
          <w:sz w:val="40"/>
          <w:szCs w:val="40"/>
        </w:rPr>
      </w:pPr>
    </w:p>
    <w:p w:rsidR="00F72F27" w:rsidRPr="00526024" w:rsidRDefault="00F72F27" w:rsidP="00F72F27">
      <w:pPr>
        <w:rPr>
          <w:rFonts w:ascii="Geneva" w:hAnsi="Geneva"/>
          <w:b/>
          <w:sz w:val="40"/>
          <w:szCs w:val="40"/>
        </w:rPr>
      </w:pPr>
    </w:p>
    <w:p w:rsidR="00F72F27" w:rsidRPr="00526024" w:rsidRDefault="00F72F27" w:rsidP="00F72F27">
      <w:pPr>
        <w:rPr>
          <w:rFonts w:ascii="Geneva" w:hAnsi="Geneva"/>
          <w:b/>
          <w:sz w:val="40"/>
          <w:szCs w:val="40"/>
        </w:rPr>
      </w:pPr>
    </w:p>
    <w:p w:rsidR="00F72F27" w:rsidRPr="00526024" w:rsidRDefault="00F72F27" w:rsidP="00F72F27">
      <w:pPr>
        <w:rPr>
          <w:rFonts w:ascii="Geneva" w:hAnsi="Geneva"/>
          <w:b/>
          <w:sz w:val="40"/>
          <w:szCs w:val="40"/>
        </w:rPr>
      </w:pPr>
    </w:p>
    <w:p w:rsidR="00F72F27" w:rsidRPr="00526024" w:rsidRDefault="00F72F27" w:rsidP="00F72F27">
      <w:pPr>
        <w:rPr>
          <w:rFonts w:ascii="Geneva" w:hAnsi="Geneva"/>
          <w:b/>
          <w:sz w:val="40"/>
          <w:szCs w:val="40"/>
        </w:rPr>
      </w:pPr>
    </w:p>
    <w:p w:rsidR="00F72F27" w:rsidRPr="00455279" w:rsidRDefault="00F72F27" w:rsidP="00F72F27">
      <w:pPr>
        <w:rPr>
          <w:b/>
          <w:sz w:val="32"/>
          <w:szCs w:val="40"/>
        </w:rPr>
      </w:pPr>
      <w:r w:rsidRPr="00455279">
        <w:rPr>
          <w:b/>
          <w:sz w:val="32"/>
          <w:szCs w:val="40"/>
        </w:rPr>
        <w:t>Mansfield Library Trends and Directions:</w:t>
      </w:r>
    </w:p>
    <w:p w:rsidR="00F72F27" w:rsidRPr="00455279" w:rsidRDefault="00F72F27" w:rsidP="00F72F27">
      <w:pPr>
        <w:rPr>
          <w:b/>
          <w:sz w:val="32"/>
          <w:szCs w:val="40"/>
        </w:rPr>
      </w:pPr>
      <w:r w:rsidRPr="00455279">
        <w:rPr>
          <w:b/>
          <w:sz w:val="32"/>
          <w:szCs w:val="40"/>
        </w:rPr>
        <w:t>FY2004-2008</w:t>
      </w:r>
    </w:p>
    <w:p w:rsidR="00F72F27" w:rsidRPr="00455279" w:rsidRDefault="00F72F27" w:rsidP="00F72F27"/>
    <w:p w:rsidR="00F72F27" w:rsidRPr="00455279" w:rsidRDefault="00F72F27" w:rsidP="00F72F27"/>
    <w:p w:rsidR="00F72F27" w:rsidRPr="00455279" w:rsidRDefault="00F72F27" w:rsidP="00F72F27"/>
    <w:p w:rsidR="00F72F27" w:rsidRPr="00455279" w:rsidRDefault="00F72F27" w:rsidP="00F72F27"/>
    <w:p w:rsidR="00F72F27" w:rsidRPr="00455279" w:rsidRDefault="00F72F27" w:rsidP="00F72F27"/>
    <w:p w:rsidR="00F72F27" w:rsidRPr="00455279" w:rsidRDefault="00F72F27" w:rsidP="00F72F27">
      <w:pPr>
        <w:rPr>
          <w:sz w:val="28"/>
          <w:szCs w:val="32"/>
        </w:rPr>
      </w:pPr>
      <w:r w:rsidRPr="00455279">
        <w:rPr>
          <w:i/>
          <w:sz w:val="28"/>
          <w:szCs w:val="32"/>
        </w:rPr>
        <w:t>Prepared by</w:t>
      </w:r>
      <w:r w:rsidRPr="00455279">
        <w:rPr>
          <w:sz w:val="28"/>
          <w:szCs w:val="32"/>
        </w:rPr>
        <w:t>:</w:t>
      </w:r>
    </w:p>
    <w:p w:rsidR="00F172FC" w:rsidRPr="00455279" w:rsidRDefault="00F72F27" w:rsidP="00F72F27">
      <w:pPr>
        <w:rPr>
          <w:sz w:val="28"/>
          <w:szCs w:val="32"/>
        </w:rPr>
      </w:pPr>
      <w:r w:rsidRPr="00455279">
        <w:rPr>
          <w:sz w:val="28"/>
          <w:szCs w:val="32"/>
        </w:rPr>
        <w:t>Sue Samson</w:t>
      </w:r>
      <w:r w:rsidR="00F172FC" w:rsidRPr="00455279">
        <w:rPr>
          <w:sz w:val="28"/>
          <w:szCs w:val="32"/>
        </w:rPr>
        <w:t>, Chair, Assessment Services Group,</w:t>
      </w:r>
      <w:r w:rsidRPr="00455279">
        <w:rPr>
          <w:sz w:val="28"/>
          <w:szCs w:val="32"/>
        </w:rPr>
        <w:t xml:space="preserve"> and </w:t>
      </w:r>
    </w:p>
    <w:p w:rsidR="00F72F27" w:rsidRPr="00455279" w:rsidRDefault="00F72F27" w:rsidP="00F72F27">
      <w:pPr>
        <w:rPr>
          <w:sz w:val="28"/>
          <w:szCs w:val="32"/>
        </w:rPr>
      </w:pPr>
      <w:r w:rsidRPr="00455279">
        <w:rPr>
          <w:sz w:val="28"/>
          <w:szCs w:val="32"/>
        </w:rPr>
        <w:t>Kate Zoellner</w:t>
      </w:r>
      <w:r w:rsidR="00F172FC" w:rsidRPr="00455279">
        <w:rPr>
          <w:sz w:val="28"/>
          <w:szCs w:val="32"/>
        </w:rPr>
        <w:t>, Assessment Coordinator</w:t>
      </w:r>
      <w:r w:rsidRPr="00455279">
        <w:rPr>
          <w:sz w:val="28"/>
          <w:szCs w:val="32"/>
        </w:rPr>
        <w:t xml:space="preserve"> </w:t>
      </w:r>
    </w:p>
    <w:p w:rsidR="00F172FC" w:rsidRPr="00455279" w:rsidRDefault="00F172FC" w:rsidP="00F72F27">
      <w:pPr>
        <w:rPr>
          <w:sz w:val="28"/>
          <w:szCs w:val="32"/>
        </w:rPr>
      </w:pPr>
      <w:r w:rsidRPr="00455279">
        <w:rPr>
          <w:sz w:val="28"/>
          <w:szCs w:val="32"/>
        </w:rPr>
        <w:t>June 2009</w:t>
      </w:r>
    </w:p>
    <w:p w:rsidR="00F172FC" w:rsidRPr="00455279" w:rsidRDefault="00F172FC" w:rsidP="00F72F27">
      <w:pPr>
        <w:rPr>
          <w:sz w:val="28"/>
          <w:szCs w:val="32"/>
        </w:rPr>
      </w:pPr>
    </w:p>
    <w:p w:rsidR="00F172FC" w:rsidRPr="00455279" w:rsidRDefault="00F172FC" w:rsidP="00F72F27">
      <w:pPr>
        <w:rPr>
          <w:sz w:val="28"/>
          <w:szCs w:val="32"/>
        </w:rPr>
      </w:pPr>
      <w:r w:rsidRPr="00455279">
        <w:rPr>
          <w:i/>
          <w:sz w:val="28"/>
          <w:szCs w:val="32"/>
        </w:rPr>
        <w:t>With Group Members</w:t>
      </w:r>
      <w:r w:rsidRPr="00455279">
        <w:rPr>
          <w:sz w:val="28"/>
          <w:szCs w:val="32"/>
        </w:rPr>
        <w:t>:</w:t>
      </w:r>
    </w:p>
    <w:p w:rsidR="00F172FC" w:rsidRPr="00455279" w:rsidRDefault="00F172FC" w:rsidP="00F72F27">
      <w:pPr>
        <w:rPr>
          <w:sz w:val="28"/>
          <w:szCs w:val="32"/>
        </w:rPr>
      </w:pPr>
      <w:r w:rsidRPr="00455279">
        <w:rPr>
          <w:sz w:val="28"/>
          <w:szCs w:val="32"/>
        </w:rPr>
        <w:t>Barry Brown, Head, Access &amp; Collection Services</w:t>
      </w:r>
    </w:p>
    <w:p w:rsidR="00F172FC" w:rsidRPr="00455279" w:rsidRDefault="00F172FC" w:rsidP="00F72F27">
      <w:pPr>
        <w:rPr>
          <w:sz w:val="28"/>
          <w:szCs w:val="32"/>
        </w:rPr>
      </w:pPr>
      <w:r w:rsidRPr="00455279">
        <w:rPr>
          <w:sz w:val="28"/>
          <w:szCs w:val="32"/>
        </w:rPr>
        <w:t>Jennie Burroughs, Interim Head, Bibliographic Management Services</w:t>
      </w:r>
    </w:p>
    <w:p w:rsidR="00F172FC" w:rsidRPr="00455279" w:rsidRDefault="00F172FC" w:rsidP="00F72F27">
      <w:pPr>
        <w:rPr>
          <w:sz w:val="28"/>
          <w:szCs w:val="32"/>
        </w:rPr>
      </w:pPr>
      <w:r w:rsidRPr="00455279">
        <w:rPr>
          <w:sz w:val="28"/>
          <w:szCs w:val="32"/>
        </w:rPr>
        <w:t>Kim Granath, Public Health Librarian</w:t>
      </w:r>
    </w:p>
    <w:p w:rsidR="00F172FC" w:rsidRPr="00455279" w:rsidRDefault="00F172FC" w:rsidP="00F72F27">
      <w:pPr>
        <w:rPr>
          <w:sz w:val="28"/>
          <w:szCs w:val="32"/>
        </w:rPr>
      </w:pPr>
      <w:r w:rsidRPr="00455279">
        <w:rPr>
          <w:sz w:val="28"/>
          <w:szCs w:val="32"/>
        </w:rPr>
        <w:t>John Greer, Head, Technology &amp; Systems Services</w:t>
      </w:r>
    </w:p>
    <w:p w:rsidR="00F172FC" w:rsidRPr="00455279" w:rsidRDefault="00F172FC" w:rsidP="00F72F27">
      <w:pPr>
        <w:rPr>
          <w:sz w:val="28"/>
          <w:szCs w:val="32"/>
        </w:rPr>
      </w:pPr>
      <w:r w:rsidRPr="00455279">
        <w:rPr>
          <w:sz w:val="28"/>
          <w:szCs w:val="32"/>
        </w:rPr>
        <w:t>Kathy Hendricks, Head, Administrative Services</w:t>
      </w:r>
    </w:p>
    <w:p w:rsidR="00F72F27" w:rsidRPr="001C66A1" w:rsidRDefault="00F72F27" w:rsidP="001C66A1">
      <w:pPr>
        <w:jc w:val="center"/>
        <w:rPr>
          <w:b/>
          <w:sz w:val="28"/>
          <w:szCs w:val="28"/>
        </w:rPr>
      </w:pPr>
      <w:r w:rsidRPr="00526024">
        <w:br w:type="page"/>
      </w:r>
      <w:r w:rsidRPr="001C66A1">
        <w:rPr>
          <w:b/>
          <w:sz w:val="28"/>
          <w:szCs w:val="28"/>
        </w:rPr>
        <w:lastRenderedPageBreak/>
        <w:t>Table of Contents</w:t>
      </w:r>
    </w:p>
    <w:p w:rsidR="00F72F27" w:rsidRPr="00526024" w:rsidRDefault="00F72F27" w:rsidP="001C66A1"/>
    <w:p w:rsidR="00F72F27" w:rsidRPr="00526024" w:rsidRDefault="00F72F27" w:rsidP="001C66A1"/>
    <w:p w:rsidR="00F72F27" w:rsidRPr="00526024" w:rsidRDefault="00F72F27" w:rsidP="001C66A1">
      <w:r w:rsidRPr="00526024">
        <w:tab/>
      </w:r>
      <w:r w:rsidR="001C66A1">
        <w:tab/>
      </w:r>
      <w:r w:rsidR="001C66A1">
        <w:tab/>
      </w:r>
      <w:r w:rsidR="001C66A1">
        <w:tab/>
      </w:r>
      <w:r w:rsidR="001C66A1">
        <w:tab/>
      </w:r>
      <w:r w:rsidR="001C66A1">
        <w:tab/>
      </w:r>
      <w:r w:rsidR="001C66A1">
        <w:tab/>
      </w:r>
      <w:r w:rsidR="001C66A1">
        <w:tab/>
      </w:r>
      <w:r w:rsidR="001C66A1">
        <w:tab/>
      </w:r>
      <w:r w:rsidR="001C66A1">
        <w:tab/>
      </w:r>
      <w:r w:rsidR="001C66A1">
        <w:tab/>
      </w:r>
      <w:r w:rsidR="001C66A1">
        <w:tab/>
      </w:r>
      <w:r w:rsidRPr="00526024">
        <w:t>Page</w:t>
      </w:r>
    </w:p>
    <w:p w:rsidR="001C66A1" w:rsidRDefault="001C66A1" w:rsidP="001C66A1"/>
    <w:p w:rsidR="00F72F27" w:rsidRPr="00526024" w:rsidRDefault="00F72F27" w:rsidP="001C66A1">
      <w:r w:rsidRPr="001C66A1">
        <w:rPr>
          <w:b/>
        </w:rPr>
        <w:t>Introduction</w:t>
      </w:r>
      <w:r w:rsidRPr="001C66A1">
        <w:rPr>
          <w:b/>
        </w:rPr>
        <w:tab/>
      </w:r>
      <w:r w:rsidR="001C66A1">
        <w:tab/>
      </w:r>
      <w:r w:rsidR="001C66A1">
        <w:tab/>
      </w:r>
      <w:r w:rsidR="001C66A1">
        <w:tab/>
      </w:r>
      <w:r w:rsidR="001C66A1">
        <w:tab/>
      </w:r>
      <w:r w:rsidR="001C66A1">
        <w:tab/>
      </w:r>
      <w:r w:rsidR="001C66A1">
        <w:tab/>
      </w:r>
      <w:r w:rsidR="001C66A1">
        <w:tab/>
      </w:r>
      <w:r w:rsidR="001C66A1">
        <w:tab/>
      </w:r>
      <w:r w:rsidR="001C66A1">
        <w:tab/>
      </w:r>
      <w:r w:rsidR="001C66A1">
        <w:tab/>
      </w:r>
      <w:r w:rsidRPr="00526024">
        <w:t>3</w:t>
      </w:r>
    </w:p>
    <w:p w:rsidR="00F72F27" w:rsidRPr="00526024" w:rsidRDefault="00F72F27" w:rsidP="001C66A1"/>
    <w:p w:rsidR="00F72F27" w:rsidRPr="000E6620" w:rsidRDefault="00F72F27" w:rsidP="001C66A1">
      <w:r w:rsidRPr="001C66A1">
        <w:rPr>
          <w:b/>
        </w:rPr>
        <w:t xml:space="preserve">Section I. </w:t>
      </w:r>
      <w:r w:rsidR="001C66A1" w:rsidRPr="001C66A1">
        <w:rPr>
          <w:b/>
        </w:rPr>
        <w:t>Mulit-year</w:t>
      </w:r>
      <w:r w:rsidRPr="001C66A1">
        <w:rPr>
          <w:b/>
        </w:rPr>
        <w:t xml:space="preserve"> Trends at the Mansfield Library</w:t>
      </w:r>
      <w:r w:rsidR="000E6620">
        <w:tab/>
      </w:r>
      <w:r w:rsidR="001C66A1">
        <w:tab/>
      </w:r>
      <w:r w:rsidR="001C66A1">
        <w:tab/>
      </w:r>
      <w:r w:rsidR="001C66A1">
        <w:tab/>
      </w:r>
      <w:r w:rsidR="000E6620">
        <w:t>4</w:t>
      </w:r>
    </w:p>
    <w:p w:rsidR="00F72F27" w:rsidRPr="00526024" w:rsidRDefault="00F72F27" w:rsidP="001C66A1">
      <w:pPr>
        <w:numPr>
          <w:ilvl w:val="0"/>
          <w:numId w:val="26"/>
        </w:numPr>
      </w:pPr>
      <w:r w:rsidRPr="00526024">
        <w:t>Human Resources</w:t>
      </w:r>
      <w:r w:rsidRPr="00526024">
        <w:tab/>
      </w:r>
      <w:r w:rsidR="001C66A1">
        <w:tab/>
      </w:r>
      <w:r w:rsidR="001C66A1">
        <w:tab/>
      </w:r>
      <w:r w:rsidR="001C66A1">
        <w:tab/>
      </w:r>
      <w:r w:rsidR="001C66A1">
        <w:tab/>
      </w:r>
      <w:r w:rsidR="001C66A1">
        <w:tab/>
      </w:r>
      <w:r w:rsidR="001C66A1">
        <w:tab/>
      </w:r>
      <w:r w:rsidR="001C66A1">
        <w:tab/>
      </w:r>
      <w:r w:rsidR="001C66A1">
        <w:tab/>
      </w:r>
      <w:r w:rsidR="000E6620">
        <w:t>5</w:t>
      </w:r>
    </w:p>
    <w:p w:rsidR="00F72F27" w:rsidRPr="00526024" w:rsidRDefault="00F72F27" w:rsidP="001C66A1">
      <w:pPr>
        <w:numPr>
          <w:ilvl w:val="0"/>
          <w:numId w:val="26"/>
        </w:numPr>
      </w:pPr>
      <w:r w:rsidRPr="00526024">
        <w:t>Collections</w:t>
      </w:r>
      <w:r w:rsidRPr="00526024">
        <w:tab/>
      </w:r>
      <w:r w:rsidR="001C66A1">
        <w:tab/>
      </w:r>
      <w:r w:rsidR="001C66A1">
        <w:tab/>
      </w:r>
      <w:r w:rsidR="001C66A1">
        <w:tab/>
      </w:r>
      <w:r w:rsidR="001C66A1">
        <w:tab/>
      </w:r>
      <w:r w:rsidR="001C66A1">
        <w:tab/>
      </w:r>
      <w:r w:rsidR="001C66A1">
        <w:tab/>
      </w:r>
      <w:r w:rsidR="001C66A1">
        <w:tab/>
      </w:r>
      <w:r w:rsidR="001C66A1">
        <w:tab/>
      </w:r>
      <w:r w:rsidR="001C66A1">
        <w:tab/>
      </w:r>
      <w:r w:rsidR="00F070E8">
        <w:t>7</w:t>
      </w:r>
    </w:p>
    <w:p w:rsidR="00F72F27" w:rsidRDefault="00F72F27" w:rsidP="001C66A1">
      <w:pPr>
        <w:numPr>
          <w:ilvl w:val="0"/>
          <w:numId w:val="26"/>
        </w:numPr>
      </w:pPr>
      <w:r w:rsidRPr="00526024">
        <w:t>Services</w:t>
      </w:r>
      <w:r w:rsidR="001C66A1">
        <w:tab/>
      </w:r>
      <w:r w:rsidR="001C66A1">
        <w:tab/>
      </w:r>
      <w:r w:rsidR="001C66A1">
        <w:tab/>
      </w:r>
      <w:r w:rsidR="001C66A1">
        <w:tab/>
      </w:r>
      <w:r w:rsidR="001C66A1">
        <w:tab/>
      </w:r>
      <w:r w:rsidR="001C66A1">
        <w:tab/>
      </w:r>
      <w:r w:rsidR="001C66A1">
        <w:tab/>
      </w:r>
      <w:r w:rsidR="001C66A1">
        <w:tab/>
      </w:r>
      <w:r w:rsidR="001C66A1">
        <w:tab/>
      </w:r>
      <w:r w:rsidR="001C66A1">
        <w:tab/>
      </w:r>
      <w:r w:rsidR="00F070E8">
        <w:t>9</w:t>
      </w:r>
    </w:p>
    <w:p w:rsidR="001C66A1" w:rsidRDefault="001C66A1" w:rsidP="001C66A1">
      <w:pPr>
        <w:numPr>
          <w:ilvl w:val="1"/>
          <w:numId w:val="26"/>
        </w:numPr>
      </w:pPr>
      <w:r>
        <w:t>Reference and Instruction</w:t>
      </w:r>
      <w:r>
        <w:tab/>
      </w:r>
      <w:r>
        <w:tab/>
      </w:r>
      <w:r>
        <w:tab/>
      </w:r>
      <w:r>
        <w:tab/>
      </w:r>
      <w:r>
        <w:tab/>
      </w:r>
      <w:r>
        <w:tab/>
      </w:r>
      <w:r>
        <w:tab/>
      </w:r>
      <w:r w:rsidR="00F070E8">
        <w:t>9</w:t>
      </w:r>
    </w:p>
    <w:p w:rsidR="001C66A1" w:rsidRDefault="001C66A1" w:rsidP="001C66A1">
      <w:pPr>
        <w:numPr>
          <w:ilvl w:val="1"/>
          <w:numId w:val="26"/>
        </w:numPr>
      </w:pPr>
      <w:r>
        <w:t>Website Usage</w:t>
      </w:r>
      <w:r>
        <w:tab/>
      </w:r>
      <w:r>
        <w:tab/>
      </w:r>
      <w:r>
        <w:tab/>
      </w:r>
      <w:r>
        <w:tab/>
      </w:r>
      <w:r>
        <w:tab/>
      </w:r>
      <w:r>
        <w:tab/>
      </w:r>
      <w:r>
        <w:tab/>
      </w:r>
      <w:r>
        <w:tab/>
        <w:t>1</w:t>
      </w:r>
      <w:r w:rsidR="00F070E8">
        <w:t>1</w:t>
      </w:r>
    </w:p>
    <w:p w:rsidR="001C66A1" w:rsidRDefault="001C66A1" w:rsidP="001C66A1">
      <w:pPr>
        <w:numPr>
          <w:ilvl w:val="1"/>
          <w:numId w:val="26"/>
        </w:numPr>
      </w:pPr>
      <w:r>
        <w:t>Building Use</w:t>
      </w:r>
      <w:r>
        <w:tab/>
      </w:r>
      <w:r>
        <w:tab/>
      </w:r>
      <w:r>
        <w:tab/>
      </w:r>
      <w:r>
        <w:tab/>
      </w:r>
      <w:r>
        <w:tab/>
      </w:r>
      <w:r>
        <w:tab/>
      </w:r>
      <w:r>
        <w:tab/>
      </w:r>
      <w:r>
        <w:tab/>
      </w:r>
      <w:r>
        <w:tab/>
        <w:t>1</w:t>
      </w:r>
      <w:r w:rsidR="00F070E8">
        <w:t>2</w:t>
      </w:r>
    </w:p>
    <w:p w:rsidR="001C66A1" w:rsidRPr="001C66A1" w:rsidRDefault="001C66A1" w:rsidP="001C66A1">
      <w:pPr>
        <w:numPr>
          <w:ilvl w:val="1"/>
          <w:numId w:val="26"/>
        </w:numPr>
      </w:pPr>
      <w:r>
        <w:t>Circulation</w:t>
      </w:r>
      <w:r>
        <w:tab/>
      </w:r>
      <w:r>
        <w:tab/>
      </w:r>
      <w:r>
        <w:tab/>
      </w:r>
      <w:r>
        <w:tab/>
      </w:r>
      <w:r>
        <w:tab/>
      </w:r>
      <w:r>
        <w:tab/>
      </w:r>
      <w:r>
        <w:tab/>
      </w:r>
      <w:r>
        <w:tab/>
      </w:r>
      <w:r>
        <w:tab/>
        <w:t>1</w:t>
      </w:r>
      <w:r w:rsidR="00F070E8">
        <w:t>3</w:t>
      </w:r>
    </w:p>
    <w:p w:rsidR="001C66A1" w:rsidRPr="00526024" w:rsidRDefault="001C66A1" w:rsidP="001C66A1">
      <w:r>
        <w:tab/>
      </w:r>
      <w:r>
        <w:tab/>
      </w:r>
    </w:p>
    <w:p w:rsidR="00F72F27" w:rsidRPr="00526024" w:rsidRDefault="00F72F27" w:rsidP="001C66A1"/>
    <w:p w:rsidR="00F72F27" w:rsidRPr="001C66A1" w:rsidRDefault="00F72F27" w:rsidP="001C66A1">
      <w:pPr>
        <w:rPr>
          <w:b/>
        </w:rPr>
      </w:pPr>
      <w:r w:rsidRPr="001C66A1">
        <w:rPr>
          <w:b/>
        </w:rPr>
        <w:t>Section II. The Questions We Should Ask</w:t>
      </w:r>
    </w:p>
    <w:p w:rsidR="00F72F27" w:rsidRDefault="00F72F27" w:rsidP="001C66A1">
      <w:pPr>
        <w:numPr>
          <w:ilvl w:val="0"/>
          <w:numId w:val="27"/>
        </w:numPr>
      </w:pPr>
      <w:r w:rsidRPr="00526024">
        <w:t>What are the peak times of use for librar</w:t>
      </w:r>
      <w:r>
        <w:t>y services and what are library</w:t>
      </w:r>
    </w:p>
    <w:p w:rsidR="00F72F27" w:rsidRPr="00526024" w:rsidRDefault="00F72F27" w:rsidP="001C66A1">
      <w:pPr>
        <w:ind w:left="720"/>
      </w:pPr>
      <w:r>
        <w:t>users doing in the building?</w:t>
      </w:r>
      <w:r>
        <w:tab/>
      </w:r>
      <w:r w:rsidR="001C66A1">
        <w:tab/>
      </w:r>
      <w:r w:rsidR="001C66A1">
        <w:tab/>
      </w:r>
      <w:r w:rsidR="001C66A1">
        <w:tab/>
      </w:r>
      <w:r w:rsidR="001C66A1">
        <w:tab/>
      </w:r>
      <w:r w:rsidR="001C66A1">
        <w:tab/>
      </w:r>
      <w:r w:rsidR="001C66A1">
        <w:tab/>
      </w:r>
      <w:r w:rsidR="001C66A1">
        <w:tab/>
      </w:r>
      <w:r>
        <w:t>1</w:t>
      </w:r>
      <w:r w:rsidR="00455279">
        <w:t>5</w:t>
      </w:r>
    </w:p>
    <w:p w:rsidR="00F72F27" w:rsidRPr="00526024" w:rsidRDefault="00F72F27" w:rsidP="001C66A1">
      <w:pPr>
        <w:numPr>
          <w:ilvl w:val="0"/>
          <w:numId w:val="27"/>
        </w:numPr>
      </w:pPr>
      <w:r>
        <w:t>Who are the library users?</w:t>
      </w:r>
      <w:r>
        <w:tab/>
      </w:r>
      <w:r w:rsidR="001C66A1">
        <w:tab/>
      </w:r>
      <w:r w:rsidR="001C66A1">
        <w:tab/>
      </w:r>
      <w:r w:rsidR="001C66A1">
        <w:tab/>
      </w:r>
      <w:r w:rsidR="001C66A1">
        <w:tab/>
      </w:r>
      <w:r w:rsidR="001C66A1">
        <w:tab/>
      </w:r>
      <w:r w:rsidR="001C66A1">
        <w:tab/>
      </w:r>
      <w:r w:rsidR="001C66A1">
        <w:tab/>
      </w:r>
      <w:r>
        <w:t>2</w:t>
      </w:r>
      <w:r w:rsidR="00455279">
        <w:t>6</w:t>
      </w:r>
    </w:p>
    <w:p w:rsidR="00F72F27" w:rsidRPr="00526024" w:rsidRDefault="00F72F27" w:rsidP="001C66A1">
      <w:pPr>
        <w:numPr>
          <w:ilvl w:val="0"/>
          <w:numId w:val="27"/>
        </w:numPr>
      </w:pPr>
      <w:r w:rsidRPr="00526024">
        <w:t>What are our users per</w:t>
      </w:r>
      <w:r>
        <w:t>ceptions of library services?</w:t>
      </w:r>
      <w:r>
        <w:tab/>
      </w:r>
      <w:r w:rsidR="001C66A1">
        <w:tab/>
      </w:r>
      <w:r w:rsidR="001C66A1">
        <w:tab/>
      </w:r>
      <w:r w:rsidR="001C66A1">
        <w:tab/>
      </w:r>
      <w:r w:rsidR="001C66A1">
        <w:tab/>
      </w:r>
      <w:r w:rsidR="00455279">
        <w:t>30</w:t>
      </w:r>
    </w:p>
    <w:p w:rsidR="00F72F27" w:rsidRPr="00526024" w:rsidRDefault="00F72F27" w:rsidP="001C66A1">
      <w:pPr>
        <w:numPr>
          <w:ilvl w:val="0"/>
          <w:numId w:val="27"/>
        </w:numPr>
      </w:pPr>
      <w:r w:rsidRPr="00526024">
        <w:t xml:space="preserve">What kinds of questions and </w:t>
      </w:r>
      <w:r>
        <w:t>suggestions are we receiving?</w:t>
      </w:r>
      <w:r>
        <w:tab/>
      </w:r>
      <w:r w:rsidR="001C66A1">
        <w:tab/>
      </w:r>
      <w:r w:rsidR="001C66A1">
        <w:tab/>
      </w:r>
      <w:r w:rsidR="001C66A1">
        <w:tab/>
      </w:r>
      <w:r w:rsidR="00455279">
        <w:t>32</w:t>
      </w:r>
    </w:p>
    <w:p w:rsidR="00F72F27" w:rsidRPr="00526024" w:rsidRDefault="00F72F27" w:rsidP="001C66A1">
      <w:pPr>
        <w:numPr>
          <w:ilvl w:val="0"/>
          <w:numId w:val="27"/>
        </w:numPr>
      </w:pPr>
      <w:r w:rsidRPr="00526024">
        <w:t>What collections are most/leas</w:t>
      </w:r>
      <w:r>
        <w:t>t heavily used and requested?</w:t>
      </w:r>
      <w:r>
        <w:tab/>
      </w:r>
      <w:r w:rsidR="001C66A1">
        <w:tab/>
      </w:r>
      <w:r w:rsidR="001C66A1">
        <w:tab/>
      </w:r>
      <w:r>
        <w:t>3</w:t>
      </w:r>
      <w:r w:rsidR="00455279">
        <w:t>3</w:t>
      </w:r>
    </w:p>
    <w:p w:rsidR="00F72F27" w:rsidRPr="00526024" w:rsidRDefault="00F72F27" w:rsidP="001C66A1">
      <w:pPr>
        <w:numPr>
          <w:ilvl w:val="0"/>
          <w:numId w:val="27"/>
        </w:numPr>
      </w:pPr>
      <w:r w:rsidRPr="00526024">
        <w:t>What monograph and serial collections are most/least purchased?</w:t>
      </w:r>
      <w:r w:rsidRPr="00526024">
        <w:tab/>
      </w:r>
      <w:r w:rsidR="001C66A1">
        <w:tab/>
      </w:r>
      <w:r w:rsidR="001C66A1">
        <w:tab/>
      </w:r>
      <w:r w:rsidRPr="00526024">
        <w:t>3</w:t>
      </w:r>
      <w:r w:rsidR="00455279">
        <w:t>6</w:t>
      </w:r>
    </w:p>
    <w:p w:rsidR="00F72F27" w:rsidRPr="00526024" w:rsidRDefault="00F72F27" w:rsidP="001C66A1">
      <w:pPr>
        <w:numPr>
          <w:ilvl w:val="0"/>
          <w:numId w:val="27"/>
        </w:numPr>
      </w:pPr>
      <w:r w:rsidRPr="00526024">
        <w:t>What academic departments request the most/least library instruction</w:t>
      </w:r>
      <w:r w:rsidRPr="00526024">
        <w:tab/>
      </w:r>
      <w:r>
        <w:br/>
        <w:t>and at what levels?</w:t>
      </w:r>
      <w:r>
        <w:tab/>
      </w:r>
      <w:r w:rsidR="001C66A1">
        <w:tab/>
      </w:r>
      <w:r w:rsidR="001C66A1">
        <w:tab/>
      </w:r>
      <w:r w:rsidR="001C66A1">
        <w:tab/>
      </w:r>
      <w:r w:rsidR="001C66A1">
        <w:tab/>
      </w:r>
      <w:r w:rsidR="001C66A1">
        <w:tab/>
      </w:r>
      <w:r w:rsidR="001C66A1">
        <w:tab/>
      </w:r>
      <w:r w:rsidR="001C66A1">
        <w:tab/>
      </w:r>
      <w:r w:rsidR="001C66A1">
        <w:tab/>
      </w:r>
      <w:r>
        <w:t>3</w:t>
      </w:r>
      <w:r w:rsidR="00455279">
        <w:t>8</w:t>
      </w:r>
    </w:p>
    <w:p w:rsidR="00F72F27" w:rsidRPr="00526024" w:rsidRDefault="00F72F27" w:rsidP="001C66A1"/>
    <w:p w:rsidR="00F72F27" w:rsidRPr="00526024" w:rsidRDefault="00F72F27" w:rsidP="001C66A1"/>
    <w:p w:rsidR="00F72F27" w:rsidRPr="001C66A1" w:rsidRDefault="00F72F27" w:rsidP="001C66A1">
      <w:pPr>
        <w:rPr>
          <w:b/>
        </w:rPr>
      </w:pPr>
      <w:r w:rsidRPr="001C66A1">
        <w:rPr>
          <w:b/>
        </w:rPr>
        <w:t>Section III. Institutional Data</w:t>
      </w:r>
    </w:p>
    <w:p w:rsidR="00F72F27" w:rsidRPr="00446ADA" w:rsidRDefault="00F72F27" w:rsidP="001C66A1">
      <w:pPr>
        <w:numPr>
          <w:ilvl w:val="0"/>
          <w:numId w:val="28"/>
        </w:numPr>
      </w:pPr>
      <w:r w:rsidRPr="00446ADA">
        <w:t>Enrollment</w:t>
      </w:r>
      <w:r w:rsidRPr="00446ADA">
        <w:tab/>
      </w:r>
      <w:r w:rsidR="001C66A1">
        <w:tab/>
      </w:r>
      <w:r w:rsidR="001C66A1">
        <w:tab/>
      </w:r>
      <w:r w:rsidR="001C66A1">
        <w:tab/>
      </w:r>
      <w:r w:rsidR="001C66A1">
        <w:tab/>
      </w:r>
      <w:r w:rsidR="001C66A1">
        <w:tab/>
      </w:r>
      <w:r w:rsidR="001C66A1">
        <w:tab/>
      </w:r>
      <w:r w:rsidR="001C66A1">
        <w:tab/>
      </w:r>
      <w:r w:rsidR="001C66A1">
        <w:tab/>
      </w:r>
      <w:r w:rsidR="001C66A1">
        <w:tab/>
      </w:r>
      <w:r>
        <w:t>4</w:t>
      </w:r>
      <w:r w:rsidR="00455279">
        <w:t>1</w:t>
      </w:r>
    </w:p>
    <w:p w:rsidR="00F72F27" w:rsidRPr="00446ADA" w:rsidRDefault="00F72F27" w:rsidP="001C66A1">
      <w:pPr>
        <w:numPr>
          <w:ilvl w:val="0"/>
          <w:numId w:val="28"/>
        </w:numPr>
      </w:pPr>
      <w:r w:rsidRPr="00446ADA">
        <w:t>Blackboard</w:t>
      </w:r>
      <w:r w:rsidRPr="00446ADA">
        <w:tab/>
      </w:r>
      <w:r w:rsidR="001C66A1">
        <w:tab/>
      </w:r>
      <w:r w:rsidR="001C66A1">
        <w:tab/>
      </w:r>
      <w:r w:rsidR="001C66A1">
        <w:tab/>
      </w:r>
      <w:r w:rsidR="001C66A1">
        <w:tab/>
      </w:r>
      <w:r w:rsidR="001C66A1">
        <w:tab/>
      </w:r>
      <w:r w:rsidR="001C66A1">
        <w:tab/>
      </w:r>
      <w:r w:rsidR="001C66A1">
        <w:tab/>
      </w:r>
      <w:r w:rsidR="001C66A1">
        <w:tab/>
      </w:r>
      <w:r w:rsidR="001C66A1">
        <w:tab/>
      </w:r>
      <w:r>
        <w:t>4</w:t>
      </w:r>
      <w:r w:rsidR="00455279">
        <w:t>3</w:t>
      </w:r>
    </w:p>
    <w:p w:rsidR="00F72F27" w:rsidRPr="00F070E8" w:rsidRDefault="00F72F27" w:rsidP="001C66A1">
      <w:pPr>
        <w:rPr>
          <w:b/>
          <w:sz w:val="28"/>
          <w:szCs w:val="28"/>
        </w:rPr>
      </w:pPr>
      <w:r w:rsidRPr="00526024">
        <w:br w:type="page"/>
      </w:r>
      <w:r w:rsidRPr="00F070E8">
        <w:rPr>
          <w:b/>
          <w:sz w:val="28"/>
          <w:szCs w:val="28"/>
        </w:rPr>
        <w:lastRenderedPageBreak/>
        <w:t>Introduction</w:t>
      </w:r>
    </w:p>
    <w:p w:rsidR="00F72F27" w:rsidRPr="00526024" w:rsidRDefault="00F72F27" w:rsidP="00F72F27">
      <w:pPr>
        <w:rPr>
          <w:rFonts w:ascii="Geneva" w:hAnsi="Geneva"/>
          <w:b/>
          <w:szCs w:val="28"/>
        </w:rPr>
      </w:pPr>
    </w:p>
    <w:p w:rsidR="002E159A" w:rsidRPr="002A0F10" w:rsidRDefault="002E159A" w:rsidP="002E159A">
      <w:r w:rsidRPr="002A0F10">
        <w:t xml:space="preserve">This document analyzes </w:t>
      </w:r>
      <w:r>
        <w:t xml:space="preserve">core </w:t>
      </w:r>
      <w:r w:rsidRPr="002A0F10">
        <w:t>statistical information about the Mansfield Library, its services and operations. The analysis is based on data provided in Statistics Central, LibQUAL+ Survey data, unit-level operation information, and institutional data.</w:t>
      </w:r>
    </w:p>
    <w:p w:rsidR="00455279" w:rsidRDefault="00455279" w:rsidP="002E159A"/>
    <w:p w:rsidR="002E159A" w:rsidRPr="002A0F10" w:rsidRDefault="002E159A" w:rsidP="002E159A">
      <w:r w:rsidRPr="002A0F10">
        <w:t>This document provides:</w:t>
      </w:r>
    </w:p>
    <w:p w:rsidR="002E159A" w:rsidRPr="002A0F10" w:rsidRDefault="002E159A" w:rsidP="00897845">
      <w:pPr>
        <w:numPr>
          <w:ilvl w:val="0"/>
          <w:numId w:val="9"/>
        </w:numPr>
      </w:pPr>
      <w:r w:rsidRPr="002A0F10">
        <w:t>multiple-year trends of library operations and services in three areas—human resources and budget, collections, and services;</w:t>
      </w:r>
    </w:p>
    <w:p w:rsidR="002E159A" w:rsidRPr="002A0F10" w:rsidRDefault="002E159A" w:rsidP="00897845">
      <w:pPr>
        <w:numPr>
          <w:ilvl w:val="0"/>
          <w:numId w:val="9"/>
        </w:numPr>
      </w:pPr>
      <w:r w:rsidRPr="002A0F10">
        <w:t>analysis of how and when li</w:t>
      </w:r>
      <w:r>
        <w:t>brary users use the library; and</w:t>
      </w:r>
    </w:p>
    <w:p w:rsidR="002E159A" w:rsidRDefault="002E159A" w:rsidP="00897845">
      <w:pPr>
        <w:numPr>
          <w:ilvl w:val="0"/>
          <w:numId w:val="9"/>
        </w:numPr>
      </w:pPr>
      <w:r>
        <w:t>institutional</w:t>
      </w:r>
      <w:r w:rsidRPr="002A0F10">
        <w:t xml:space="preserve"> data</w:t>
      </w:r>
      <w:r>
        <w:t>.</w:t>
      </w:r>
    </w:p>
    <w:p w:rsidR="00455279" w:rsidRDefault="00455279" w:rsidP="002E159A"/>
    <w:p w:rsidR="002E159A" w:rsidRPr="002A0F10" w:rsidRDefault="002E159A" w:rsidP="002E159A">
      <w:r w:rsidRPr="002A0F10">
        <w:t xml:space="preserve">The goal of this analysis is to provide relevant data for informed data-driven decision making and to support strategic planning in the Mansfield Library. Section I provides trend data to identify how operations and services have evolved during the past </w:t>
      </w:r>
      <w:r>
        <w:t>six</w:t>
      </w:r>
      <w:r w:rsidRPr="002A0F10">
        <w:t xml:space="preserve"> years</w:t>
      </w:r>
      <w:r>
        <w:t xml:space="preserve"> and context for these trends</w:t>
      </w:r>
      <w:r w:rsidRPr="002A0F10">
        <w:t xml:space="preserve">. Section II addresses specific questions drafted by the Assessment Services Group </w:t>
      </w:r>
      <w:r>
        <w:t>to inform strategic planning</w:t>
      </w:r>
      <w:r w:rsidRPr="002A0F10">
        <w:t xml:space="preserve">. Section III provides relevant </w:t>
      </w:r>
      <w:r>
        <w:t xml:space="preserve">institutional </w:t>
      </w:r>
      <w:r w:rsidRPr="002A0F10">
        <w:t>data from The University of Montana.</w:t>
      </w:r>
      <w:r>
        <w:t xml:space="preserve"> </w:t>
      </w:r>
    </w:p>
    <w:p w:rsidR="00F72F27" w:rsidRPr="00526024" w:rsidRDefault="00F72F27" w:rsidP="00F72F27">
      <w:pPr>
        <w:rPr>
          <w:rFonts w:ascii="Geneva" w:hAnsi="Geneva"/>
          <w:b/>
          <w:szCs w:val="28"/>
        </w:rPr>
      </w:pPr>
    </w:p>
    <w:p w:rsidR="00F72F27" w:rsidRPr="00F070E8" w:rsidRDefault="00F72F27" w:rsidP="00F72F27">
      <w:pPr>
        <w:rPr>
          <w:b/>
          <w:sz w:val="28"/>
          <w:szCs w:val="28"/>
        </w:rPr>
      </w:pPr>
      <w:r w:rsidRPr="00526024">
        <w:rPr>
          <w:rFonts w:ascii="Geneva" w:hAnsi="Geneva"/>
          <w:b/>
          <w:szCs w:val="28"/>
        </w:rPr>
        <w:br w:type="page"/>
      </w:r>
      <w:r w:rsidRPr="00F070E8">
        <w:rPr>
          <w:b/>
          <w:sz w:val="28"/>
          <w:szCs w:val="28"/>
        </w:rPr>
        <w:lastRenderedPageBreak/>
        <w:t xml:space="preserve">Section I. </w:t>
      </w:r>
      <w:r w:rsidR="00F172FC" w:rsidRPr="00F070E8">
        <w:rPr>
          <w:b/>
          <w:sz w:val="28"/>
          <w:szCs w:val="28"/>
        </w:rPr>
        <w:t>Multi-</w:t>
      </w:r>
      <w:r w:rsidRPr="00F070E8">
        <w:rPr>
          <w:b/>
          <w:sz w:val="28"/>
          <w:szCs w:val="28"/>
        </w:rPr>
        <w:t>year Trends at the Mansfield Library</w:t>
      </w:r>
    </w:p>
    <w:p w:rsidR="00F72F27" w:rsidRPr="00526024" w:rsidRDefault="00F72F27" w:rsidP="00F72F27">
      <w:pPr>
        <w:rPr>
          <w:rFonts w:ascii="Geneva" w:hAnsi="Geneva"/>
        </w:rPr>
      </w:pPr>
    </w:p>
    <w:p w:rsidR="00F72F27" w:rsidRPr="00795D3D" w:rsidRDefault="00F72F27" w:rsidP="00F72F27">
      <w:r w:rsidRPr="00795D3D">
        <w:t xml:space="preserve">Analysis of trend data is based on information posted in Statistics Central and is based on NISO standards used by academic libraries. Three categories—human resources, collections, and services—provide the basis for the data. </w:t>
      </w:r>
    </w:p>
    <w:p w:rsidR="00F72F27" w:rsidRPr="00795D3D" w:rsidRDefault="00F72F27" w:rsidP="00F72F27"/>
    <w:p w:rsidR="00F72F27" w:rsidRPr="00795D3D" w:rsidRDefault="00F72F27" w:rsidP="00F72F27">
      <w:r w:rsidRPr="00795D3D">
        <w:t xml:space="preserve">Analysis of data across </w:t>
      </w:r>
      <w:r w:rsidR="002E159A" w:rsidRPr="00795D3D">
        <w:t>multi</w:t>
      </w:r>
      <w:r w:rsidRPr="00795D3D">
        <w:t>-year fiscal postings identified the following notable trends:</w:t>
      </w:r>
    </w:p>
    <w:p w:rsidR="00501CC4" w:rsidRDefault="00F172FC" w:rsidP="00795D3D">
      <w:pPr>
        <w:numPr>
          <w:ilvl w:val="0"/>
          <w:numId w:val="25"/>
        </w:numPr>
      </w:pPr>
      <w:r>
        <w:t>Staffing at all levels has remained static.</w:t>
      </w:r>
    </w:p>
    <w:p w:rsidR="00F72F27" w:rsidRDefault="00F72F27" w:rsidP="00795D3D">
      <w:pPr>
        <w:numPr>
          <w:ilvl w:val="0"/>
          <w:numId w:val="25"/>
        </w:numPr>
      </w:pPr>
      <w:r w:rsidRPr="00526024">
        <w:t>Collections in all categories have increased with the greatest increase (</w:t>
      </w:r>
      <w:r>
        <w:t>140.0</w:t>
      </w:r>
      <w:r w:rsidRPr="00526024">
        <w:t>%) in access to journals.</w:t>
      </w:r>
    </w:p>
    <w:p w:rsidR="008D703E" w:rsidRPr="008D703E" w:rsidRDefault="008D703E" w:rsidP="00795D3D">
      <w:pPr>
        <w:numPr>
          <w:ilvl w:val="0"/>
          <w:numId w:val="25"/>
        </w:numPr>
        <w:rPr>
          <w:rFonts w:cs="Helvetica"/>
        </w:rPr>
      </w:pPr>
      <w:r>
        <w:rPr>
          <w:rFonts w:eastAsia="Times New Roman"/>
        </w:rPr>
        <w:t>Journal subscriptions have increased dramatically due to the library’s acquisition of e-journal packages, consortial purchases of databases, and the systematic shift from paper to electronic journal access.</w:t>
      </w:r>
    </w:p>
    <w:p w:rsidR="00501CC4" w:rsidRPr="002E159A" w:rsidRDefault="00501CC4" w:rsidP="00795D3D">
      <w:pPr>
        <w:numPr>
          <w:ilvl w:val="0"/>
          <w:numId w:val="25"/>
        </w:numPr>
        <w:rPr>
          <w:rFonts w:cs="Helvetica"/>
        </w:rPr>
      </w:pPr>
      <w:r w:rsidRPr="0091382D">
        <w:t xml:space="preserve">The process of acquisitions of monographs has evolved from an uneven purchasing pattern with allocations and orders divided among departments and librarians to a carefully crafted approval plan that is supplemented by individual orders.   </w:t>
      </w:r>
    </w:p>
    <w:p w:rsidR="00501CC4" w:rsidRDefault="00501CC4" w:rsidP="00795D3D">
      <w:pPr>
        <w:numPr>
          <w:ilvl w:val="0"/>
          <w:numId w:val="25"/>
        </w:numPr>
      </w:pPr>
      <w:r>
        <w:t>T</w:t>
      </w:r>
      <w:r w:rsidRPr="00DA670C">
        <w:t>he core services of Information Center Reference transactions and curriculum-integrated instruction are at an all time high</w:t>
      </w:r>
      <w:r w:rsidR="00795D3D">
        <w:t>.</w:t>
      </w:r>
    </w:p>
    <w:p w:rsidR="00795D3D" w:rsidRDefault="00795D3D" w:rsidP="00795D3D">
      <w:pPr>
        <w:numPr>
          <w:ilvl w:val="0"/>
          <w:numId w:val="25"/>
        </w:numPr>
      </w:pPr>
      <w:r>
        <w:t>Usage of electronic databases increased dramatically, but data collection needs to be viewed with caution</w:t>
      </w:r>
      <w:r w:rsidR="005378E8">
        <w:t xml:space="preserve"> </w:t>
      </w:r>
      <w:r w:rsidR="005378E8" w:rsidRPr="005760A6">
        <w:t>since the data gathering was not from the same source</w:t>
      </w:r>
      <w:r w:rsidR="005378E8">
        <w:t>,</w:t>
      </w:r>
      <w:r w:rsidR="005378E8" w:rsidRPr="005760A6">
        <w:t xml:space="preserve"> but </w:t>
      </w:r>
      <w:r w:rsidR="005378E8">
        <w:t xml:space="preserve">it </w:t>
      </w:r>
      <w:r w:rsidR="005378E8" w:rsidRPr="005760A6">
        <w:t xml:space="preserve">does </w:t>
      </w:r>
      <w:r w:rsidR="005378E8">
        <w:t xml:space="preserve">serve to </w:t>
      </w:r>
      <w:r w:rsidR="005378E8" w:rsidRPr="005760A6">
        <w:t xml:space="preserve">indicate the </w:t>
      </w:r>
      <w:r w:rsidR="005378E8">
        <w:t>impact</w:t>
      </w:r>
      <w:r w:rsidR="005378E8" w:rsidRPr="005760A6">
        <w:t xml:space="preserve"> of federated searching </w:t>
      </w:r>
      <w:r w:rsidR="005378E8">
        <w:t>on database usage</w:t>
      </w:r>
      <w:r w:rsidR="005378E8" w:rsidRPr="005760A6">
        <w:t>.</w:t>
      </w:r>
      <w:r w:rsidR="005378E8">
        <w:t xml:space="preserve"> Also, </w:t>
      </w:r>
      <w:r>
        <w:t xml:space="preserve">data connecting this usage with patron status is unavailable. </w:t>
      </w:r>
    </w:p>
    <w:p w:rsidR="00501CC4" w:rsidRPr="00DA670C" w:rsidRDefault="00501CC4" w:rsidP="00795D3D">
      <w:pPr>
        <w:numPr>
          <w:ilvl w:val="0"/>
          <w:numId w:val="25"/>
        </w:numPr>
      </w:pPr>
      <w:r>
        <w:t>U</w:t>
      </w:r>
      <w:r w:rsidRPr="00DA670C">
        <w:t>sage patterns of the web site, buildings, and collections are fluctuating.</w:t>
      </w:r>
    </w:p>
    <w:p w:rsidR="00F72F27" w:rsidRDefault="00795D3D" w:rsidP="00795D3D">
      <w:pPr>
        <w:numPr>
          <w:ilvl w:val="0"/>
          <w:numId w:val="25"/>
        </w:numPr>
      </w:pPr>
      <w:r>
        <w:t>Circulation of materials has decrease</w:t>
      </w:r>
      <w:r w:rsidR="007A540E">
        <w:t>d slightly in all categories.</w:t>
      </w:r>
    </w:p>
    <w:p w:rsidR="007A540E" w:rsidRDefault="007A540E" w:rsidP="00795D3D">
      <w:pPr>
        <w:numPr>
          <w:ilvl w:val="0"/>
          <w:numId w:val="25"/>
        </w:numPr>
      </w:pPr>
      <w:r>
        <w:t>Circulation of reserve materials has decreased at the Mansfield Library but increased dramatically at the Mansfield Library at the College of Technology.</w:t>
      </w:r>
    </w:p>
    <w:p w:rsidR="008D703E" w:rsidRPr="008D703E" w:rsidRDefault="008D703E" w:rsidP="00795D3D">
      <w:pPr>
        <w:numPr>
          <w:ilvl w:val="0"/>
          <w:numId w:val="25"/>
        </w:numPr>
      </w:pPr>
      <w:r>
        <w:rPr>
          <w:rFonts w:eastAsia="Times New Roman"/>
        </w:rPr>
        <w:t>Interlibrary loan b</w:t>
      </w:r>
      <w:r w:rsidRPr="008D703E">
        <w:rPr>
          <w:rFonts w:eastAsia="Times New Roman"/>
        </w:rPr>
        <w:t xml:space="preserve">orrowing </w:t>
      </w:r>
      <w:r>
        <w:rPr>
          <w:rFonts w:eastAsia="Times New Roman"/>
        </w:rPr>
        <w:t>of articles</w:t>
      </w:r>
      <w:r w:rsidRPr="008D703E">
        <w:rPr>
          <w:rFonts w:eastAsia="Times New Roman"/>
        </w:rPr>
        <w:t xml:space="preserve"> has greatly decreased.</w:t>
      </w:r>
    </w:p>
    <w:p w:rsidR="008D703E" w:rsidRPr="008D703E" w:rsidRDefault="005378E8" w:rsidP="00795D3D">
      <w:pPr>
        <w:numPr>
          <w:ilvl w:val="0"/>
          <w:numId w:val="25"/>
        </w:numPr>
      </w:pPr>
      <w:r>
        <w:rPr>
          <w:rFonts w:eastAsia="Times New Roman"/>
        </w:rPr>
        <w:t xml:space="preserve">Interlibrary loan borrowing of </w:t>
      </w:r>
      <w:r w:rsidR="008D703E" w:rsidRPr="008D703E">
        <w:rPr>
          <w:rFonts w:eastAsia="Times New Roman"/>
        </w:rPr>
        <w:t>books, media, etc. has generally increased.</w:t>
      </w:r>
      <w:r w:rsidR="008D703E" w:rsidRPr="008D703E">
        <w:rPr>
          <w:rFonts w:eastAsia="Times New Roman"/>
        </w:rPr>
        <w:br/>
      </w:r>
    </w:p>
    <w:p w:rsidR="00F72F27" w:rsidRPr="00526024" w:rsidRDefault="00F72F27" w:rsidP="00501CC4">
      <w:r w:rsidRPr="00526024">
        <w:t xml:space="preserve"> </w:t>
      </w:r>
    </w:p>
    <w:p w:rsidR="00F72F27" w:rsidRPr="00526024" w:rsidRDefault="00F72F27" w:rsidP="00F72F27">
      <w:pPr>
        <w:rPr>
          <w:rFonts w:ascii="Geneva" w:hAnsi="Geneva"/>
          <w:b/>
        </w:rPr>
      </w:pPr>
    </w:p>
    <w:p w:rsidR="00F72F27" w:rsidRDefault="00F72F27" w:rsidP="00F72F27">
      <w:pPr>
        <w:rPr>
          <w:rFonts w:ascii="Geneva" w:hAnsi="Geneva"/>
          <w:b/>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F172FC" w:rsidRDefault="00F172FC" w:rsidP="00F72F27">
      <w:pPr>
        <w:rPr>
          <w:rFonts w:ascii="Geneva" w:hAnsi="Geneva"/>
          <w:b/>
          <w:sz w:val="28"/>
          <w:szCs w:val="28"/>
        </w:rPr>
      </w:pPr>
    </w:p>
    <w:p w:rsidR="005055AA" w:rsidRPr="0026075B" w:rsidRDefault="005055AA" w:rsidP="005055AA">
      <w:pPr>
        <w:rPr>
          <w:rFonts w:ascii="Geneva" w:hAnsi="Geneva"/>
          <w:b/>
          <w:sz w:val="28"/>
          <w:szCs w:val="28"/>
        </w:rPr>
      </w:pPr>
      <w:r w:rsidRPr="0026075B">
        <w:rPr>
          <w:rFonts w:ascii="Geneva" w:hAnsi="Geneva"/>
          <w:b/>
          <w:sz w:val="28"/>
          <w:szCs w:val="28"/>
        </w:rPr>
        <w:lastRenderedPageBreak/>
        <w:t>Human Resources</w:t>
      </w:r>
    </w:p>
    <w:p w:rsidR="005055AA" w:rsidRDefault="005055AA" w:rsidP="005055AA"/>
    <w:p w:rsidR="005055AA" w:rsidRDefault="005055AA" w:rsidP="005055AA">
      <w:r>
        <w:t xml:space="preserve">Library staffing levels have remained relatively static over the past four years. As a result of extending hours from 98 hours per week to 111 hours per week in 2006/2007, the library staff and student FTE increased slightly with some central funding support. There has been no increase in faculty FTE over the period being measured (Chart 1). </w:t>
      </w:r>
    </w:p>
    <w:p w:rsidR="005055AA" w:rsidRPr="00526024" w:rsidRDefault="005055AA" w:rsidP="005055AA">
      <w:pPr>
        <w:rPr>
          <w:rFonts w:ascii="Geneva" w:hAnsi="Geneva"/>
        </w:rPr>
      </w:pPr>
      <w:r w:rsidRPr="00526024">
        <w:rPr>
          <w:rFonts w:ascii="Geneva" w:hAnsi="Geneva"/>
        </w:rPr>
        <w:t>.</w:t>
      </w:r>
    </w:p>
    <w:p w:rsidR="005055AA" w:rsidRPr="00526024" w:rsidRDefault="00165E59" w:rsidP="005055AA">
      <w:pPr>
        <w:jc w:val="center"/>
        <w:rPr>
          <w:rFonts w:ascii="Geneva" w:hAnsi="Geneva"/>
        </w:rPr>
      </w:pPr>
      <w:r>
        <w:rPr>
          <w:noProof/>
        </w:rPr>
        <w:drawing>
          <wp:inline distT="0" distB="0" distL="0" distR="0">
            <wp:extent cx="4261221" cy="2289429"/>
            <wp:effectExtent l="12192" t="6096" r="3312"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55AA" w:rsidRPr="00526024" w:rsidRDefault="005055AA" w:rsidP="005055AA">
      <w:pPr>
        <w:rPr>
          <w:rFonts w:ascii="Geneva" w:hAnsi="Geneva"/>
        </w:rPr>
      </w:pPr>
    </w:p>
    <w:p w:rsidR="005055AA" w:rsidRDefault="005055AA" w:rsidP="005055AA">
      <w:r>
        <w:t xml:space="preserve">Personnel budgets also remained relatively static from FY2004 – FY2008. The faculty/staff budget increased slightly each year as a result of pay plan increases employees received and the addition in 2006 of a half-time night supervisor to cover extended hours (Table 1).  Student/hourly payroll costs are not fully funded.  The library is dependent on student staff to meet library goals and provide quality services. During the past five years, the library has depended on vacancy savings (Table 2) and designated funds to cover student payroll costs. </w:t>
      </w:r>
    </w:p>
    <w:p w:rsidR="005055AA" w:rsidRDefault="005055AA" w:rsidP="005055AA"/>
    <w:p w:rsidR="005055AA" w:rsidRDefault="005055AA" w:rsidP="005055AA">
      <w:r>
        <w:t>Student budget increases over the period being measured have come from reallocation of permanent salary savings from staff turnover and a small budget increase from the university in 2006 for extended hours staffing costs (Table 1).</w:t>
      </w:r>
    </w:p>
    <w:p w:rsidR="005055AA" w:rsidRDefault="005055AA" w:rsidP="005055AA"/>
    <w:p w:rsidR="005055AA" w:rsidRDefault="005055AA" w:rsidP="005055AA">
      <w:pPr>
        <w:ind w:firstLine="720"/>
      </w:pPr>
      <w:r>
        <w:t xml:space="preserve">    Table 1. Personnel and operations budget, FY2004 – FY2008</w:t>
      </w:r>
    </w:p>
    <w:tbl>
      <w:tblPr>
        <w:tblW w:w="83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274"/>
        <w:gridCol w:w="1336"/>
        <w:gridCol w:w="1296"/>
        <w:gridCol w:w="1274"/>
        <w:gridCol w:w="1274"/>
      </w:tblGrid>
      <w:tr w:rsidR="005055AA" w:rsidRPr="00977329" w:rsidTr="005055AA">
        <w:trPr>
          <w:trHeight w:val="255"/>
          <w:jc w:val="center"/>
        </w:trPr>
        <w:tc>
          <w:tcPr>
            <w:tcW w:w="1917" w:type="dxa"/>
            <w:shd w:val="clear" w:color="auto" w:fill="auto"/>
            <w:noWrap/>
            <w:vAlign w:val="bottom"/>
            <w:hideMark/>
          </w:tcPr>
          <w:p w:rsidR="005055AA" w:rsidRPr="005055AA" w:rsidRDefault="005055AA" w:rsidP="0099518D">
            <w:pPr>
              <w:rPr>
                <w:rFonts w:cs="Arial"/>
              </w:rPr>
            </w:pPr>
          </w:p>
        </w:tc>
        <w:tc>
          <w:tcPr>
            <w:tcW w:w="6454" w:type="dxa"/>
            <w:gridSpan w:val="5"/>
            <w:shd w:val="clear" w:color="auto" w:fill="auto"/>
            <w:noWrap/>
            <w:vAlign w:val="bottom"/>
            <w:hideMark/>
          </w:tcPr>
          <w:p w:rsidR="005055AA" w:rsidRPr="005055AA" w:rsidRDefault="005055AA" w:rsidP="0099518D">
            <w:pPr>
              <w:jc w:val="center"/>
              <w:rPr>
                <w:rFonts w:cs="Arial"/>
                <w:b/>
                <w:bCs/>
              </w:rPr>
            </w:pPr>
            <w:r w:rsidRPr="005055AA">
              <w:rPr>
                <w:rFonts w:cs="Arial"/>
                <w:b/>
                <w:bCs/>
              </w:rPr>
              <w:t>General Operating Budget</w:t>
            </w:r>
          </w:p>
        </w:tc>
      </w:tr>
      <w:tr w:rsidR="005055AA" w:rsidRPr="00977329" w:rsidTr="005055AA">
        <w:trPr>
          <w:trHeight w:val="255"/>
          <w:jc w:val="center"/>
        </w:trPr>
        <w:tc>
          <w:tcPr>
            <w:tcW w:w="1917" w:type="dxa"/>
            <w:shd w:val="clear" w:color="auto" w:fill="auto"/>
            <w:noWrap/>
            <w:vAlign w:val="bottom"/>
            <w:hideMark/>
          </w:tcPr>
          <w:p w:rsidR="005055AA" w:rsidRPr="005055AA" w:rsidRDefault="005055AA" w:rsidP="0099518D">
            <w:pPr>
              <w:rPr>
                <w:rFonts w:cs="Arial"/>
              </w:rPr>
            </w:pPr>
          </w:p>
        </w:tc>
        <w:tc>
          <w:tcPr>
            <w:tcW w:w="1274" w:type="dxa"/>
            <w:shd w:val="clear" w:color="auto" w:fill="auto"/>
            <w:noWrap/>
            <w:vAlign w:val="bottom"/>
            <w:hideMark/>
          </w:tcPr>
          <w:p w:rsidR="005055AA" w:rsidRPr="005055AA" w:rsidRDefault="005055AA" w:rsidP="0099518D">
            <w:pPr>
              <w:jc w:val="center"/>
              <w:rPr>
                <w:rFonts w:cs="Arial"/>
                <w:u w:val="single"/>
              </w:rPr>
            </w:pPr>
            <w:r w:rsidRPr="005055AA">
              <w:rPr>
                <w:rFonts w:cs="Arial"/>
                <w:u w:val="single"/>
              </w:rPr>
              <w:t>FY 2004</w:t>
            </w:r>
          </w:p>
        </w:tc>
        <w:tc>
          <w:tcPr>
            <w:tcW w:w="1336" w:type="dxa"/>
            <w:shd w:val="clear" w:color="auto" w:fill="auto"/>
            <w:noWrap/>
            <w:vAlign w:val="bottom"/>
            <w:hideMark/>
          </w:tcPr>
          <w:p w:rsidR="005055AA" w:rsidRPr="005055AA" w:rsidRDefault="005055AA" w:rsidP="0099518D">
            <w:pPr>
              <w:jc w:val="center"/>
              <w:rPr>
                <w:rFonts w:cs="Arial"/>
                <w:u w:val="single"/>
              </w:rPr>
            </w:pPr>
            <w:r w:rsidRPr="005055AA">
              <w:rPr>
                <w:rFonts w:cs="Arial"/>
                <w:u w:val="single"/>
              </w:rPr>
              <w:t>FY 2005</w:t>
            </w:r>
          </w:p>
        </w:tc>
        <w:tc>
          <w:tcPr>
            <w:tcW w:w="1296" w:type="dxa"/>
            <w:shd w:val="clear" w:color="auto" w:fill="auto"/>
            <w:noWrap/>
            <w:vAlign w:val="bottom"/>
            <w:hideMark/>
          </w:tcPr>
          <w:p w:rsidR="005055AA" w:rsidRPr="005055AA" w:rsidRDefault="005055AA" w:rsidP="0099518D">
            <w:pPr>
              <w:jc w:val="center"/>
              <w:rPr>
                <w:rFonts w:cs="Arial"/>
                <w:u w:val="single"/>
              </w:rPr>
            </w:pPr>
            <w:r w:rsidRPr="005055AA">
              <w:rPr>
                <w:rFonts w:cs="Arial"/>
                <w:u w:val="single"/>
              </w:rPr>
              <w:t>FY 2006</w:t>
            </w:r>
          </w:p>
        </w:tc>
        <w:tc>
          <w:tcPr>
            <w:tcW w:w="1274" w:type="dxa"/>
            <w:shd w:val="clear" w:color="auto" w:fill="auto"/>
            <w:noWrap/>
            <w:vAlign w:val="bottom"/>
            <w:hideMark/>
          </w:tcPr>
          <w:p w:rsidR="005055AA" w:rsidRPr="005055AA" w:rsidRDefault="005055AA" w:rsidP="0099518D">
            <w:pPr>
              <w:jc w:val="center"/>
              <w:rPr>
                <w:rFonts w:cs="Arial"/>
                <w:u w:val="single"/>
              </w:rPr>
            </w:pPr>
            <w:r w:rsidRPr="005055AA">
              <w:rPr>
                <w:rFonts w:cs="Arial"/>
                <w:u w:val="single"/>
              </w:rPr>
              <w:t>FY 2007</w:t>
            </w:r>
          </w:p>
        </w:tc>
        <w:tc>
          <w:tcPr>
            <w:tcW w:w="1274" w:type="dxa"/>
            <w:shd w:val="clear" w:color="auto" w:fill="auto"/>
            <w:noWrap/>
            <w:vAlign w:val="bottom"/>
            <w:hideMark/>
          </w:tcPr>
          <w:p w:rsidR="005055AA" w:rsidRPr="005055AA" w:rsidRDefault="005055AA" w:rsidP="0099518D">
            <w:pPr>
              <w:jc w:val="center"/>
              <w:rPr>
                <w:rFonts w:cs="Arial"/>
                <w:u w:val="single"/>
              </w:rPr>
            </w:pPr>
            <w:r w:rsidRPr="005055AA">
              <w:rPr>
                <w:rFonts w:cs="Arial"/>
                <w:u w:val="single"/>
              </w:rPr>
              <w:t>FY 2008</w:t>
            </w:r>
          </w:p>
        </w:tc>
      </w:tr>
      <w:tr w:rsidR="005055AA" w:rsidRPr="00977329" w:rsidTr="005055AA">
        <w:trPr>
          <w:trHeight w:val="255"/>
          <w:jc w:val="center"/>
        </w:trPr>
        <w:tc>
          <w:tcPr>
            <w:tcW w:w="1917" w:type="dxa"/>
            <w:shd w:val="clear" w:color="auto" w:fill="auto"/>
            <w:noWrap/>
            <w:vAlign w:val="bottom"/>
            <w:hideMark/>
          </w:tcPr>
          <w:p w:rsidR="005055AA" w:rsidRPr="005055AA" w:rsidRDefault="005055AA" w:rsidP="0099518D">
            <w:pPr>
              <w:rPr>
                <w:rFonts w:cs="Arial"/>
                <w:bCs/>
              </w:rPr>
            </w:pPr>
            <w:r w:rsidRPr="005055AA">
              <w:rPr>
                <w:rFonts w:cs="Arial"/>
                <w:bCs/>
              </w:rPr>
              <w:t xml:space="preserve">  Faculty/Staff</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1,989,861</w:t>
            </w:r>
          </w:p>
        </w:tc>
        <w:tc>
          <w:tcPr>
            <w:tcW w:w="1336" w:type="dxa"/>
            <w:shd w:val="clear" w:color="auto" w:fill="auto"/>
            <w:noWrap/>
            <w:vAlign w:val="bottom"/>
            <w:hideMark/>
          </w:tcPr>
          <w:p w:rsidR="005055AA" w:rsidRPr="005055AA" w:rsidRDefault="005055AA" w:rsidP="0099518D">
            <w:pPr>
              <w:jc w:val="right"/>
              <w:rPr>
                <w:rFonts w:cs="Arial"/>
              </w:rPr>
            </w:pPr>
            <w:r w:rsidRPr="005055AA">
              <w:rPr>
                <w:rFonts w:cs="Arial"/>
              </w:rPr>
              <w:t>1,974,877</w:t>
            </w:r>
          </w:p>
        </w:tc>
        <w:tc>
          <w:tcPr>
            <w:tcW w:w="1296" w:type="dxa"/>
            <w:shd w:val="clear" w:color="auto" w:fill="auto"/>
            <w:noWrap/>
            <w:vAlign w:val="bottom"/>
            <w:hideMark/>
          </w:tcPr>
          <w:p w:rsidR="005055AA" w:rsidRPr="005055AA" w:rsidRDefault="005055AA" w:rsidP="0099518D">
            <w:pPr>
              <w:jc w:val="right"/>
              <w:rPr>
                <w:rFonts w:cs="Arial"/>
              </w:rPr>
            </w:pPr>
            <w:r w:rsidRPr="005055AA">
              <w:rPr>
                <w:rFonts w:cs="Arial"/>
              </w:rPr>
              <w:t>1,962,255</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2,098,774</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2,125,482</w:t>
            </w:r>
          </w:p>
        </w:tc>
      </w:tr>
      <w:tr w:rsidR="005055AA" w:rsidRPr="00977329" w:rsidTr="005055AA">
        <w:trPr>
          <w:trHeight w:val="255"/>
          <w:jc w:val="center"/>
        </w:trPr>
        <w:tc>
          <w:tcPr>
            <w:tcW w:w="1917" w:type="dxa"/>
            <w:shd w:val="clear" w:color="auto" w:fill="auto"/>
            <w:noWrap/>
            <w:vAlign w:val="bottom"/>
            <w:hideMark/>
          </w:tcPr>
          <w:p w:rsidR="005055AA" w:rsidRPr="005055AA" w:rsidRDefault="005055AA" w:rsidP="0099518D">
            <w:pPr>
              <w:rPr>
                <w:rFonts w:cs="Arial"/>
                <w:bCs/>
              </w:rPr>
            </w:pPr>
            <w:r w:rsidRPr="005055AA">
              <w:rPr>
                <w:rFonts w:cs="Arial"/>
                <w:bCs/>
              </w:rPr>
              <w:t xml:space="preserve">  Student/Hourly</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7,090</w:t>
            </w:r>
          </w:p>
        </w:tc>
        <w:tc>
          <w:tcPr>
            <w:tcW w:w="1336" w:type="dxa"/>
            <w:shd w:val="clear" w:color="auto" w:fill="auto"/>
            <w:noWrap/>
            <w:vAlign w:val="bottom"/>
            <w:hideMark/>
          </w:tcPr>
          <w:p w:rsidR="005055AA" w:rsidRPr="005055AA" w:rsidRDefault="005055AA" w:rsidP="0099518D">
            <w:pPr>
              <w:jc w:val="right"/>
              <w:rPr>
                <w:rFonts w:cs="Arial"/>
              </w:rPr>
            </w:pPr>
            <w:r w:rsidRPr="005055AA">
              <w:rPr>
                <w:rFonts w:cs="Arial"/>
              </w:rPr>
              <w:t>27,135</w:t>
            </w:r>
          </w:p>
        </w:tc>
        <w:tc>
          <w:tcPr>
            <w:tcW w:w="1296" w:type="dxa"/>
            <w:shd w:val="clear" w:color="auto" w:fill="auto"/>
            <w:noWrap/>
            <w:vAlign w:val="bottom"/>
            <w:hideMark/>
          </w:tcPr>
          <w:p w:rsidR="005055AA" w:rsidRPr="005055AA" w:rsidRDefault="005055AA" w:rsidP="0099518D">
            <w:pPr>
              <w:jc w:val="right"/>
              <w:rPr>
                <w:rFonts w:cs="Arial"/>
              </w:rPr>
            </w:pPr>
            <w:r w:rsidRPr="005055AA">
              <w:rPr>
                <w:rFonts w:cs="Arial"/>
              </w:rPr>
              <w:t>59,137</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70,484</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99,091</w:t>
            </w:r>
          </w:p>
        </w:tc>
      </w:tr>
      <w:tr w:rsidR="005055AA" w:rsidRPr="00977329" w:rsidTr="005055AA">
        <w:trPr>
          <w:trHeight w:val="255"/>
          <w:jc w:val="center"/>
        </w:trPr>
        <w:tc>
          <w:tcPr>
            <w:tcW w:w="1917" w:type="dxa"/>
            <w:shd w:val="clear" w:color="auto" w:fill="auto"/>
            <w:noWrap/>
            <w:vAlign w:val="bottom"/>
            <w:hideMark/>
          </w:tcPr>
          <w:p w:rsidR="005055AA" w:rsidRPr="005055AA" w:rsidRDefault="005055AA" w:rsidP="0099518D">
            <w:pPr>
              <w:rPr>
                <w:rFonts w:cs="Arial"/>
                <w:bCs/>
              </w:rPr>
            </w:pPr>
            <w:r w:rsidRPr="005055AA">
              <w:rPr>
                <w:rFonts w:cs="Arial"/>
                <w:bCs/>
              </w:rPr>
              <w:t>Total Personnel</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 xml:space="preserve">1,996,951 </w:t>
            </w:r>
          </w:p>
        </w:tc>
        <w:tc>
          <w:tcPr>
            <w:tcW w:w="1336" w:type="dxa"/>
            <w:shd w:val="clear" w:color="auto" w:fill="auto"/>
            <w:noWrap/>
            <w:vAlign w:val="bottom"/>
            <w:hideMark/>
          </w:tcPr>
          <w:p w:rsidR="005055AA" w:rsidRPr="005055AA" w:rsidRDefault="005055AA" w:rsidP="0099518D">
            <w:pPr>
              <w:jc w:val="right"/>
              <w:rPr>
                <w:rFonts w:cs="Arial"/>
              </w:rPr>
            </w:pPr>
            <w:r w:rsidRPr="005055AA">
              <w:rPr>
                <w:rFonts w:cs="Arial"/>
              </w:rPr>
              <w:t xml:space="preserve">2,002,012 </w:t>
            </w:r>
          </w:p>
        </w:tc>
        <w:tc>
          <w:tcPr>
            <w:tcW w:w="1296" w:type="dxa"/>
            <w:shd w:val="clear" w:color="auto" w:fill="auto"/>
            <w:noWrap/>
            <w:vAlign w:val="bottom"/>
            <w:hideMark/>
          </w:tcPr>
          <w:p w:rsidR="005055AA" w:rsidRPr="005055AA" w:rsidRDefault="005055AA" w:rsidP="0099518D">
            <w:pPr>
              <w:jc w:val="right"/>
              <w:rPr>
                <w:rFonts w:cs="Arial"/>
              </w:rPr>
            </w:pPr>
            <w:r w:rsidRPr="005055AA">
              <w:rPr>
                <w:rFonts w:cs="Arial"/>
              </w:rPr>
              <w:t xml:space="preserve">2,021,392 </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 xml:space="preserve">2,169,258 </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 xml:space="preserve">2,224,573 </w:t>
            </w:r>
          </w:p>
        </w:tc>
      </w:tr>
      <w:tr w:rsidR="005055AA" w:rsidRPr="00977329" w:rsidTr="005055AA">
        <w:trPr>
          <w:trHeight w:val="255"/>
          <w:jc w:val="center"/>
        </w:trPr>
        <w:tc>
          <w:tcPr>
            <w:tcW w:w="1917" w:type="dxa"/>
            <w:shd w:val="clear" w:color="auto" w:fill="auto"/>
            <w:noWrap/>
            <w:vAlign w:val="bottom"/>
            <w:hideMark/>
          </w:tcPr>
          <w:p w:rsidR="005055AA" w:rsidRPr="005055AA" w:rsidRDefault="005055AA" w:rsidP="0099518D">
            <w:pPr>
              <w:rPr>
                <w:rFonts w:cs="Arial"/>
                <w:bCs/>
              </w:rPr>
            </w:pPr>
            <w:r w:rsidRPr="005055AA">
              <w:rPr>
                <w:rFonts w:cs="Arial"/>
                <w:bCs/>
              </w:rPr>
              <w:t>Total Operations</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219,438</w:t>
            </w:r>
          </w:p>
        </w:tc>
        <w:tc>
          <w:tcPr>
            <w:tcW w:w="1336" w:type="dxa"/>
            <w:shd w:val="clear" w:color="auto" w:fill="auto"/>
            <w:noWrap/>
            <w:vAlign w:val="bottom"/>
            <w:hideMark/>
          </w:tcPr>
          <w:p w:rsidR="005055AA" w:rsidRPr="005055AA" w:rsidRDefault="005055AA" w:rsidP="0099518D">
            <w:pPr>
              <w:jc w:val="right"/>
              <w:rPr>
                <w:rFonts w:cs="Arial"/>
              </w:rPr>
            </w:pPr>
            <w:r w:rsidRPr="005055AA">
              <w:rPr>
                <w:rFonts w:cs="Arial"/>
              </w:rPr>
              <w:t>207,634</w:t>
            </w:r>
          </w:p>
        </w:tc>
        <w:tc>
          <w:tcPr>
            <w:tcW w:w="1296" w:type="dxa"/>
            <w:shd w:val="clear" w:color="auto" w:fill="auto"/>
            <w:noWrap/>
            <w:vAlign w:val="bottom"/>
            <w:hideMark/>
          </w:tcPr>
          <w:p w:rsidR="005055AA" w:rsidRPr="005055AA" w:rsidRDefault="005055AA" w:rsidP="0099518D">
            <w:pPr>
              <w:jc w:val="right"/>
              <w:rPr>
                <w:rFonts w:cs="Arial"/>
              </w:rPr>
            </w:pPr>
            <w:r w:rsidRPr="005055AA">
              <w:rPr>
                <w:rFonts w:cs="Arial"/>
              </w:rPr>
              <w:t>224,896</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224,896</w:t>
            </w:r>
          </w:p>
        </w:tc>
        <w:tc>
          <w:tcPr>
            <w:tcW w:w="1274" w:type="dxa"/>
            <w:shd w:val="clear" w:color="auto" w:fill="auto"/>
            <w:noWrap/>
            <w:vAlign w:val="bottom"/>
            <w:hideMark/>
          </w:tcPr>
          <w:p w:rsidR="005055AA" w:rsidRPr="005055AA" w:rsidRDefault="005055AA" w:rsidP="0099518D">
            <w:pPr>
              <w:jc w:val="right"/>
              <w:rPr>
                <w:rFonts w:cs="Arial"/>
              </w:rPr>
            </w:pPr>
            <w:r w:rsidRPr="005055AA">
              <w:rPr>
                <w:rFonts w:cs="Arial"/>
              </w:rPr>
              <w:t>224,896</w:t>
            </w:r>
          </w:p>
        </w:tc>
      </w:tr>
    </w:tbl>
    <w:p w:rsidR="005055AA" w:rsidRDefault="005055AA" w:rsidP="005055AA"/>
    <w:p w:rsidR="005055AA" w:rsidRDefault="005055AA" w:rsidP="005055AA"/>
    <w:p w:rsidR="005055AA" w:rsidRDefault="005055AA" w:rsidP="005055AA"/>
    <w:p w:rsidR="005055AA" w:rsidRDefault="005055AA" w:rsidP="005055AA">
      <w:r>
        <w:t>In addition to static staffing levels and personnel budgets, we have consistently had fairly high turnover in faculty and staff positions during the past four years further straining our human resources (Table 2).</w:t>
      </w:r>
    </w:p>
    <w:p w:rsidR="005055AA" w:rsidRDefault="005055AA" w:rsidP="005055AA"/>
    <w:p w:rsidR="005055AA" w:rsidRDefault="005055AA" w:rsidP="005055AA">
      <w:pPr>
        <w:ind w:left="720"/>
      </w:pPr>
    </w:p>
    <w:p w:rsidR="005055AA" w:rsidRDefault="005055AA" w:rsidP="005055AA">
      <w:pPr>
        <w:ind w:left="720"/>
      </w:pPr>
      <w:r>
        <w:lastRenderedPageBreak/>
        <w:t>Table 2. Faculty, staff, and contract professional turnover rates and vacancy saving, FY 2006-2008. Turnover statistics were not kept in FY2004 &amp; FY2005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848"/>
        <w:gridCol w:w="1848"/>
        <w:gridCol w:w="1849"/>
      </w:tblGrid>
      <w:tr w:rsidR="005055AA" w:rsidRPr="00021963" w:rsidTr="005055AA">
        <w:trPr>
          <w:trHeight w:val="314"/>
          <w:jc w:val="center"/>
        </w:trPr>
        <w:tc>
          <w:tcPr>
            <w:tcW w:w="2182" w:type="dxa"/>
          </w:tcPr>
          <w:p w:rsidR="005055AA" w:rsidRPr="00021963" w:rsidRDefault="005055AA" w:rsidP="0099518D">
            <w:pPr>
              <w:pStyle w:val="NoSpacing"/>
              <w:rPr>
                <w:b/>
              </w:rPr>
            </w:pPr>
            <w:r w:rsidRPr="00021963">
              <w:rPr>
                <w:b/>
              </w:rPr>
              <w:t>Turnover/Savings</w:t>
            </w:r>
          </w:p>
        </w:tc>
        <w:tc>
          <w:tcPr>
            <w:tcW w:w="1848" w:type="dxa"/>
          </w:tcPr>
          <w:p w:rsidR="005055AA" w:rsidRPr="00021963" w:rsidRDefault="005055AA" w:rsidP="005055AA">
            <w:pPr>
              <w:pStyle w:val="NoSpacing"/>
              <w:jc w:val="center"/>
              <w:rPr>
                <w:b/>
              </w:rPr>
            </w:pPr>
            <w:r w:rsidRPr="00021963">
              <w:rPr>
                <w:b/>
              </w:rPr>
              <w:t>FY 2006</w:t>
            </w:r>
          </w:p>
        </w:tc>
        <w:tc>
          <w:tcPr>
            <w:tcW w:w="1848" w:type="dxa"/>
          </w:tcPr>
          <w:p w:rsidR="005055AA" w:rsidRPr="00021963" w:rsidRDefault="005055AA" w:rsidP="005055AA">
            <w:pPr>
              <w:pStyle w:val="NoSpacing"/>
              <w:jc w:val="center"/>
              <w:rPr>
                <w:b/>
              </w:rPr>
            </w:pPr>
            <w:r w:rsidRPr="00021963">
              <w:rPr>
                <w:b/>
              </w:rPr>
              <w:t>FY2007</w:t>
            </w:r>
          </w:p>
        </w:tc>
        <w:tc>
          <w:tcPr>
            <w:tcW w:w="1849" w:type="dxa"/>
          </w:tcPr>
          <w:p w:rsidR="005055AA" w:rsidRPr="00021963" w:rsidRDefault="005055AA" w:rsidP="005055AA">
            <w:pPr>
              <w:pStyle w:val="NoSpacing"/>
              <w:jc w:val="center"/>
              <w:rPr>
                <w:b/>
              </w:rPr>
            </w:pPr>
            <w:r w:rsidRPr="00021963">
              <w:rPr>
                <w:b/>
              </w:rPr>
              <w:t>FY2008</w:t>
            </w:r>
          </w:p>
        </w:tc>
      </w:tr>
      <w:tr w:rsidR="005055AA" w:rsidTr="005055AA">
        <w:trPr>
          <w:jc w:val="center"/>
        </w:trPr>
        <w:tc>
          <w:tcPr>
            <w:tcW w:w="2182" w:type="dxa"/>
          </w:tcPr>
          <w:p w:rsidR="005055AA" w:rsidRPr="00CE6B8A" w:rsidRDefault="005055AA" w:rsidP="0099518D">
            <w:pPr>
              <w:pStyle w:val="NoSpacing"/>
            </w:pPr>
            <w:r w:rsidRPr="00CE6B8A">
              <w:t>Faculty</w:t>
            </w:r>
            <w:r>
              <w:t xml:space="preserve"> Turnover</w:t>
            </w:r>
          </w:p>
        </w:tc>
        <w:tc>
          <w:tcPr>
            <w:tcW w:w="1848" w:type="dxa"/>
            <w:vAlign w:val="center"/>
          </w:tcPr>
          <w:p w:rsidR="005055AA" w:rsidRPr="00CE6B8A" w:rsidRDefault="005055AA" w:rsidP="005055AA">
            <w:pPr>
              <w:pStyle w:val="NoSpacing"/>
              <w:jc w:val="right"/>
            </w:pPr>
            <w:r w:rsidRPr="00CE6B8A">
              <w:t>18.75%</w:t>
            </w:r>
          </w:p>
        </w:tc>
        <w:tc>
          <w:tcPr>
            <w:tcW w:w="1848" w:type="dxa"/>
            <w:vAlign w:val="center"/>
          </w:tcPr>
          <w:p w:rsidR="005055AA" w:rsidRPr="00CE6B8A" w:rsidRDefault="005055AA" w:rsidP="005055AA">
            <w:pPr>
              <w:pStyle w:val="NoSpacing"/>
              <w:jc w:val="right"/>
            </w:pPr>
            <w:r w:rsidRPr="00CE6B8A">
              <w:t>18.75%</w:t>
            </w:r>
          </w:p>
        </w:tc>
        <w:tc>
          <w:tcPr>
            <w:tcW w:w="1849" w:type="dxa"/>
            <w:vAlign w:val="center"/>
          </w:tcPr>
          <w:p w:rsidR="005055AA" w:rsidRPr="00CE6B8A" w:rsidRDefault="005055AA" w:rsidP="005055AA">
            <w:pPr>
              <w:pStyle w:val="NoSpacing"/>
              <w:jc w:val="right"/>
            </w:pPr>
            <w:r w:rsidRPr="00CE6B8A">
              <w:t>6.25%</w:t>
            </w:r>
          </w:p>
        </w:tc>
      </w:tr>
      <w:tr w:rsidR="005055AA" w:rsidTr="005055AA">
        <w:trPr>
          <w:jc w:val="center"/>
        </w:trPr>
        <w:tc>
          <w:tcPr>
            <w:tcW w:w="2182" w:type="dxa"/>
          </w:tcPr>
          <w:p w:rsidR="005055AA" w:rsidRPr="00CE6B8A" w:rsidRDefault="005055AA" w:rsidP="0099518D">
            <w:pPr>
              <w:pStyle w:val="NoSpacing"/>
            </w:pPr>
            <w:r w:rsidRPr="00CE6B8A">
              <w:t>Staff/Professional</w:t>
            </w:r>
          </w:p>
        </w:tc>
        <w:tc>
          <w:tcPr>
            <w:tcW w:w="1848" w:type="dxa"/>
            <w:vAlign w:val="center"/>
          </w:tcPr>
          <w:p w:rsidR="005055AA" w:rsidRPr="00CE6B8A" w:rsidRDefault="005055AA" w:rsidP="005055AA">
            <w:pPr>
              <w:pStyle w:val="NoSpacing"/>
              <w:jc w:val="right"/>
            </w:pPr>
            <w:r w:rsidRPr="00CE6B8A">
              <w:t>17.00%</w:t>
            </w:r>
          </w:p>
        </w:tc>
        <w:tc>
          <w:tcPr>
            <w:tcW w:w="1848" w:type="dxa"/>
            <w:vAlign w:val="center"/>
          </w:tcPr>
          <w:p w:rsidR="005055AA" w:rsidRPr="00CE6B8A" w:rsidRDefault="005055AA" w:rsidP="005055AA">
            <w:pPr>
              <w:pStyle w:val="NoSpacing"/>
              <w:jc w:val="right"/>
            </w:pPr>
            <w:r w:rsidRPr="00CE6B8A">
              <w:t>22.00%</w:t>
            </w:r>
          </w:p>
        </w:tc>
        <w:tc>
          <w:tcPr>
            <w:tcW w:w="1849" w:type="dxa"/>
            <w:vAlign w:val="center"/>
          </w:tcPr>
          <w:p w:rsidR="005055AA" w:rsidRPr="00CE6B8A" w:rsidRDefault="005055AA" w:rsidP="005055AA">
            <w:pPr>
              <w:pStyle w:val="NoSpacing"/>
              <w:jc w:val="right"/>
            </w:pPr>
            <w:r w:rsidRPr="00CE6B8A">
              <w:t>17.00%</w:t>
            </w:r>
          </w:p>
        </w:tc>
      </w:tr>
      <w:tr w:rsidR="005055AA" w:rsidTr="005055AA">
        <w:trPr>
          <w:jc w:val="center"/>
        </w:trPr>
        <w:tc>
          <w:tcPr>
            <w:tcW w:w="2182" w:type="dxa"/>
          </w:tcPr>
          <w:p w:rsidR="005055AA" w:rsidRPr="00CE6B8A" w:rsidRDefault="005055AA" w:rsidP="0099518D">
            <w:pPr>
              <w:pStyle w:val="NoSpacing"/>
            </w:pPr>
            <w:r w:rsidRPr="00CE6B8A">
              <w:t>Vacancy Savings</w:t>
            </w:r>
          </w:p>
        </w:tc>
        <w:tc>
          <w:tcPr>
            <w:tcW w:w="1848" w:type="dxa"/>
            <w:vAlign w:val="center"/>
          </w:tcPr>
          <w:p w:rsidR="005055AA" w:rsidRPr="00CE6B8A" w:rsidRDefault="005055AA" w:rsidP="005055AA">
            <w:pPr>
              <w:pStyle w:val="NoSpacing"/>
              <w:jc w:val="right"/>
            </w:pPr>
            <w:r w:rsidRPr="00CE6B8A">
              <w:t>$116,616 (6.46%)</w:t>
            </w:r>
          </w:p>
        </w:tc>
        <w:tc>
          <w:tcPr>
            <w:tcW w:w="1848" w:type="dxa"/>
            <w:vAlign w:val="center"/>
          </w:tcPr>
          <w:p w:rsidR="005055AA" w:rsidRPr="00CE6B8A" w:rsidRDefault="005055AA" w:rsidP="005055AA">
            <w:pPr>
              <w:pStyle w:val="NoSpacing"/>
              <w:jc w:val="right"/>
            </w:pPr>
            <w:r w:rsidRPr="00CE6B8A">
              <w:t>$185,378 (9.50%)</w:t>
            </w:r>
          </w:p>
        </w:tc>
        <w:tc>
          <w:tcPr>
            <w:tcW w:w="1849" w:type="dxa"/>
            <w:vAlign w:val="center"/>
          </w:tcPr>
          <w:p w:rsidR="005055AA" w:rsidRPr="00CE6B8A" w:rsidRDefault="005055AA" w:rsidP="005055AA">
            <w:pPr>
              <w:pStyle w:val="NoSpacing"/>
              <w:jc w:val="right"/>
            </w:pPr>
            <w:r w:rsidRPr="00CE6B8A">
              <w:t>$186,851 (9.00%)</w:t>
            </w:r>
          </w:p>
        </w:tc>
      </w:tr>
    </w:tbl>
    <w:p w:rsidR="005055AA" w:rsidRDefault="005055AA" w:rsidP="005055AA">
      <w:pPr>
        <w:rPr>
          <w:rFonts w:ascii="Geneva" w:hAnsi="Geneva"/>
          <w:b/>
          <w:szCs w:val="28"/>
        </w:rPr>
      </w:pPr>
    </w:p>
    <w:p w:rsidR="005055AA" w:rsidRDefault="005055AA" w:rsidP="005055AA">
      <w:r>
        <w:t xml:space="preserve">Exit interview data gathered from resigning faculty and staff during the time period being measured targeted low salaries as one of the primary reasons for leaving. In addition, a UM Faculty pay equity study conducted by a UM professor confirmed that library faculty salaries were much lower than other UM faculty, especially at the Assistant Professor rank. Recruiting and retaining quality faculty and staff is a library priority. In late 2008, the library requested a retention market adjustment for all library Assistant Professors to a minimum entry salary of $44,815 (based on salary survey data collected). </w:t>
      </w:r>
      <w:r w:rsidR="00455279">
        <w:t xml:space="preserve"> </w:t>
      </w:r>
      <w:r>
        <w:t>In mid-FY2009, UM granted a market adjustment equal to one-half of the proposed pay increase.  The second half of the increase is expected to be implemented in FY2010.</w:t>
      </w:r>
    </w:p>
    <w:p w:rsidR="005055AA" w:rsidRDefault="005055AA" w:rsidP="005055AA"/>
    <w:p w:rsidR="005055AA" w:rsidRDefault="005055AA" w:rsidP="005055AA">
      <w:r>
        <w:t xml:space="preserve">As library services change and evolve, staffing needs or skills requirements may also change. With no budget for increasing staffing levels plus a static operations budget (Table 1), we must also rely on vacancy savings and designated funds to retrain or provide staff with professional development opportunities. Regularly evaluating staffing needs in each service area as changes occur or when positions become vacant continues to be a </w:t>
      </w:r>
      <w:r w:rsidRPr="005D3A96">
        <w:t xml:space="preserve">priority for the library. </w:t>
      </w:r>
      <w:r>
        <w:t xml:space="preserve"> </w:t>
      </w:r>
    </w:p>
    <w:p w:rsidR="005055AA" w:rsidRDefault="005055AA" w:rsidP="005055AA"/>
    <w:p w:rsidR="005055AA" w:rsidRDefault="005055AA" w:rsidP="005055AA">
      <w:r>
        <w:t>As we improve our recruitment and retention of faculty and staff, we risk losing the very funding source (vacancy savings) we rely on to help fund student payroll and staff training and professional development, making it a high priority to identify a more stable funding source for our human resource needs.</w:t>
      </w:r>
    </w:p>
    <w:p w:rsidR="005055AA" w:rsidRDefault="005055AA" w:rsidP="005055AA"/>
    <w:p w:rsidR="00021963" w:rsidRDefault="00021963" w:rsidP="00F72F27">
      <w:pPr>
        <w:rPr>
          <w:rFonts w:ascii="Geneva" w:hAnsi="Geneva"/>
          <w:b/>
          <w:sz w:val="28"/>
          <w:szCs w:val="28"/>
        </w:rPr>
      </w:pPr>
    </w:p>
    <w:p w:rsidR="00795D3D" w:rsidRDefault="00795D3D" w:rsidP="00F72F27">
      <w:pPr>
        <w:rPr>
          <w:rFonts w:ascii="Geneva" w:hAnsi="Geneva"/>
          <w:b/>
          <w:sz w:val="28"/>
          <w:szCs w:val="28"/>
        </w:rPr>
      </w:pPr>
    </w:p>
    <w:p w:rsidR="008D703E" w:rsidRDefault="008D703E"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070E8" w:rsidRDefault="00F070E8" w:rsidP="00F72F27">
      <w:pPr>
        <w:rPr>
          <w:rFonts w:ascii="Geneva" w:hAnsi="Geneva"/>
          <w:b/>
          <w:sz w:val="28"/>
          <w:szCs w:val="28"/>
        </w:rPr>
      </w:pPr>
    </w:p>
    <w:p w:rsidR="00F72F27" w:rsidRPr="0026075B" w:rsidRDefault="00F72F27" w:rsidP="00F72F27">
      <w:pPr>
        <w:rPr>
          <w:rFonts w:ascii="Geneva" w:hAnsi="Geneva"/>
          <w:b/>
          <w:sz w:val="28"/>
          <w:szCs w:val="28"/>
        </w:rPr>
      </w:pPr>
      <w:r w:rsidRPr="0026075B">
        <w:rPr>
          <w:rFonts w:ascii="Geneva" w:hAnsi="Geneva"/>
          <w:b/>
          <w:sz w:val="28"/>
          <w:szCs w:val="28"/>
        </w:rPr>
        <w:lastRenderedPageBreak/>
        <w:t>Collections</w:t>
      </w:r>
    </w:p>
    <w:p w:rsidR="00795D3D" w:rsidRDefault="00795D3D" w:rsidP="002E159A"/>
    <w:p w:rsidR="0026075B" w:rsidRPr="0091382D" w:rsidRDefault="0026075B" w:rsidP="002E159A">
      <w:r w:rsidRPr="0091382D">
        <w:t>During FY2004-2009, the nature of the collection and the process of acquisitions have been transformed by two primary changes.</w:t>
      </w:r>
    </w:p>
    <w:p w:rsidR="002E159A" w:rsidRDefault="0026075B" w:rsidP="00897845">
      <w:pPr>
        <w:numPr>
          <w:ilvl w:val="0"/>
          <w:numId w:val="21"/>
        </w:numPr>
        <w:rPr>
          <w:rFonts w:cs="Helvetica"/>
        </w:rPr>
      </w:pPr>
      <w:r w:rsidRPr="0091382D">
        <w:rPr>
          <w:rFonts w:cs="Helvetica"/>
        </w:rPr>
        <w:t>Journal subscriptions and electronic databases have increased dramatically due to the library’s acquisition of e-journal packages and consortial purchases of databases, a cost-effective way to provide access to a broader number of titles and indices.</w:t>
      </w:r>
    </w:p>
    <w:p w:rsidR="0026075B" w:rsidRPr="002E159A" w:rsidRDefault="0026075B" w:rsidP="00897845">
      <w:pPr>
        <w:numPr>
          <w:ilvl w:val="0"/>
          <w:numId w:val="21"/>
        </w:numPr>
        <w:rPr>
          <w:rFonts w:cs="Helvetica"/>
        </w:rPr>
      </w:pPr>
      <w:r w:rsidRPr="0091382D">
        <w:t xml:space="preserve">The process of acquisitions of monographs has evolved from an uneven purchasing pattern with allocations and orders divided among departments and librarians to a carefully crafted approval plan that is supplemented by individual orders.   </w:t>
      </w:r>
    </w:p>
    <w:p w:rsidR="00795D3D" w:rsidRDefault="00795D3D" w:rsidP="002E159A"/>
    <w:p w:rsidR="00795D3D" w:rsidRDefault="00795D3D" w:rsidP="002E159A"/>
    <w:p w:rsidR="0026075B" w:rsidRDefault="0026075B" w:rsidP="002E159A">
      <w:r w:rsidRPr="0091382D">
        <w:t>There has been an average annual increase of 6.42% in the acquisitions allocation (Table 2).</w:t>
      </w:r>
      <w:r w:rsidR="006A4250">
        <w:t xml:space="preserve"> However, recissions in FY2005 and in FY2007 have caused fluctuations in funding. </w:t>
      </w:r>
      <w:r w:rsidRPr="0091382D">
        <w:t xml:space="preserve"> </w:t>
      </w:r>
    </w:p>
    <w:p w:rsidR="007A540E" w:rsidRDefault="007A540E" w:rsidP="002E159A"/>
    <w:p w:rsidR="0026075B" w:rsidRPr="0091382D" w:rsidRDefault="0026075B" w:rsidP="002E159A">
      <w:r w:rsidRPr="0091382D">
        <w:t>Table 2. Total acquisitions</w:t>
      </w:r>
      <w:r w:rsidR="005378E8">
        <w:t xml:space="preserve"> allocation during FY2004 to FY</w:t>
      </w:r>
      <w:r w:rsidRPr="0091382D">
        <w:t>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444"/>
        <w:gridCol w:w="1472"/>
        <w:gridCol w:w="1421"/>
        <w:gridCol w:w="1360"/>
        <w:gridCol w:w="1421"/>
        <w:gridCol w:w="1306"/>
      </w:tblGrid>
      <w:tr w:rsidR="006A4250" w:rsidRPr="00761856" w:rsidTr="00137F09">
        <w:trPr>
          <w:trHeight w:val="300"/>
        </w:trPr>
        <w:tc>
          <w:tcPr>
            <w:tcW w:w="851" w:type="pct"/>
          </w:tcPr>
          <w:p w:rsidR="006A4250" w:rsidRPr="00761856" w:rsidRDefault="006A4250" w:rsidP="006A4250">
            <w:pPr>
              <w:pStyle w:val="NoSpacing"/>
            </w:pPr>
          </w:p>
        </w:tc>
        <w:tc>
          <w:tcPr>
            <w:tcW w:w="711" w:type="pct"/>
            <w:noWrap/>
            <w:hideMark/>
          </w:tcPr>
          <w:p w:rsidR="006A4250" w:rsidRPr="00761856" w:rsidRDefault="006A4250" w:rsidP="00137F09">
            <w:pPr>
              <w:pStyle w:val="NoSpacing"/>
              <w:jc w:val="center"/>
            </w:pPr>
            <w:r w:rsidRPr="00761856">
              <w:t>2004</w:t>
            </w:r>
          </w:p>
        </w:tc>
        <w:tc>
          <w:tcPr>
            <w:tcW w:w="725" w:type="pct"/>
            <w:noWrap/>
            <w:hideMark/>
          </w:tcPr>
          <w:p w:rsidR="006A4250" w:rsidRPr="00761856" w:rsidRDefault="006A4250" w:rsidP="00137F09">
            <w:pPr>
              <w:pStyle w:val="NoSpacing"/>
              <w:jc w:val="center"/>
            </w:pPr>
            <w:r w:rsidRPr="00761856">
              <w:t>2005</w:t>
            </w:r>
          </w:p>
        </w:tc>
        <w:tc>
          <w:tcPr>
            <w:tcW w:w="700" w:type="pct"/>
            <w:noWrap/>
            <w:hideMark/>
          </w:tcPr>
          <w:p w:rsidR="006A4250" w:rsidRPr="00761856" w:rsidRDefault="006A4250" w:rsidP="00137F09">
            <w:pPr>
              <w:pStyle w:val="NoSpacing"/>
              <w:jc w:val="center"/>
            </w:pPr>
            <w:r w:rsidRPr="00761856">
              <w:t>2006</w:t>
            </w:r>
          </w:p>
        </w:tc>
        <w:tc>
          <w:tcPr>
            <w:tcW w:w="670" w:type="pct"/>
            <w:noWrap/>
            <w:hideMark/>
          </w:tcPr>
          <w:p w:rsidR="006A4250" w:rsidRPr="00761856" w:rsidRDefault="006A4250" w:rsidP="00137F09">
            <w:pPr>
              <w:pStyle w:val="NoSpacing"/>
              <w:jc w:val="center"/>
            </w:pPr>
            <w:r w:rsidRPr="00761856">
              <w:t>2007</w:t>
            </w:r>
          </w:p>
        </w:tc>
        <w:tc>
          <w:tcPr>
            <w:tcW w:w="700" w:type="pct"/>
            <w:noWrap/>
            <w:hideMark/>
          </w:tcPr>
          <w:p w:rsidR="006A4250" w:rsidRPr="00761856" w:rsidRDefault="006A4250" w:rsidP="00137F09">
            <w:pPr>
              <w:pStyle w:val="NoSpacing"/>
              <w:jc w:val="center"/>
            </w:pPr>
            <w:r w:rsidRPr="00761856">
              <w:t>2008</w:t>
            </w:r>
          </w:p>
        </w:tc>
        <w:tc>
          <w:tcPr>
            <w:tcW w:w="643" w:type="pct"/>
            <w:noWrap/>
            <w:hideMark/>
          </w:tcPr>
          <w:p w:rsidR="006A4250" w:rsidRPr="00761856" w:rsidRDefault="006A4250" w:rsidP="00137F09">
            <w:pPr>
              <w:pStyle w:val="NoSpacing"/>
              <w:jc w:val="center"/>
            </w:pPr>
            <w:r w:rsidRPr="00761856">
              <w:t>2009</w:t>
            </w:r>
          </w:p>
        </w:tc>
      </w:tr>
      <w:tr w:rsidR="006A4250" w:rsidRPr="00761856" w:rsidTr="00137F09">
        <w:trPr>
          <w:trHeight w:val="315"/>
        </w:trPr>
        <w:tc>
          <w:tcPr>
            <w:tcW w:w="851" w:type="pct"/>
          </w:tcPr>
          <w:p w:rsidR="006A4250" w:rsidRPr="00761856" w:rsidRDefault="006A4250" w:rsidP="006A4250">
            <w:pPr>
              <w:pStyle w:val="NoSpacing"/>
            </w:pPr>
            <w:r>
              <w:t>Allocation</w:t>
            </w:r>
          </w:p>
        </w:tc>
        <w:tc>
          <w:tcPr>
            <w:tcW w:w="711" w:type="pct"/>
            <w:noWrap/>
            <w:hideMark/>
          </w:tcPr>
          <w:p w:rsidR="006A4250" w:rsidRPr="00761856" w:rsidRDefault="006A4250" w:rsidP="00137F09">
            <w:pPr>
              <w:pStyle w:val="NoSpacing"/>
              <w:jc w:val="right"/>
            </w:pPr>
            <w:r w:rsidRPr="00761856">
              <w:t>$2,673,741</w:t>
            </w:r>
          </w:p>
        </w:tc>
        <w:tc>
          <w:tcPr>
            <w:tcW w:w="725" w:type="pct"/>
            <w:noWrap/>
            <w:hideMark/>
          </w:tcPr>
          <w:p w:rsidR="006A4250" w:rsidRPr="00761856" w:rsidRDefault="006A4250" w:rsidP="00137F09">
            <w:pPr>
              <w:pStyle w:val="NoSpacing"/>
              <w:jc w:val="right"/>
            </w:pPr>
            <w:r w:rsidRPr="00761856">
              <w:t>$2,823,606</w:t>
            </w:r>
          </w:p>
        </w:tc>
        <w:tc>
          <w:tcPr>
            <w:tcW w:w="700" w:type="pct"/>
            <w:noWrap/>
            <w:hideMark/>
          </w:tcPr>
          <w:p w:rsidR="006A4250" w:rsidRPr="00761856" w:rsidRDefault="006A4250" w:rsidP="00137F09">
            <w:pPr>
              <w:pStyle w:val="NoSpacing"/>
              <w:jc w:val="right"/>
            </w:pPr>
            <w:r w:rsidRPr="00761856">
              <w:t>$3,102,270</w:t>
            </w:r>
          </w:p>
        </w:tc>
        <w:tc>
          <w:tcPr>
            <w:tcW w:w="670" w:type="pct"/>
            <w:noWrap/>
            <w:hideMark/>
          </w:tcPr>
          <w:p w:rsidR="006A4250" w:rsidRPr="00761856" w:rsidRDefault="006A4250" w:rsidP="00137F09">
            <w:pPr>
              <w:pStyle w:val="NoSpacing"/>
              <w:jc w:val="right"/>
            </w:pPr>
            <w:r w:rsidRPr="00761856">
              <w:t>$3,224,670</w:t>
            </w:r>
          </w:p>
        </w:tc>
        <w:tc>
          <w:tcPr>
            <w:tcW w:w="700" w:type="pct"/>
            <w:noWrap/>
            <w:hideMark/>
          </w:tcPr>
          <w:p w:rsidR="006A4250" w:rsidRPr="00761856" w:rsidRDefault="006A4250" w:rsidP="00137F09">
            <w:pPr>
              <w:pStyle w:val="NoSpacing"/>
              <w:jc w:val="right"/>
            </w:pPr>
            <w:r w:rsidRPr="00761856">
              <w:t>$3,450,396</w:t>
            </w:r>
          </w:p>
        </w:tc>
        <w:tc>
          <w:tcPr>
            <w:tcW w:w="643" w:type="pct"/>
            <w:noWrap/>
            <w:hideMark/>
          </w:tcPr>
          <w:p w:rsidR="006A4250" w:rsidRPr="00761856" w:rsidRDefault="006A4250" w:rsidP="00137F09">
            <w:pPr>
              <w:pStyle w:val="NoSpacing"/>
              <w:jc w:val="right"/>
            </w:pPr>
            <w:r w:rsidRPr="00761856">
              <w:t>$3,691,925</w:t>
            </w:r>
          </w:p>
        </w:tc>
      </w:tr>
      <w:tr w:rsidR="006A4250" w:rsidRPr="00761856" w:rsidTr="00137F09">
        <w:trPr>
          <w:trHeight w:val="315"/>
        </w:trPr>
        <w:tc>
          <w:tcPr>
            <w:tcW w:w="851" w:type="pct"/>
          </w:tcPr>
          <w:p w:rsidR="006A4250" w:rsidRDefault="006A4250" w:rsidP="006A4250">
            <w:pPr>
              <w:pStyle w:val="NoSpacing"/>
            </w:pPr>
            <w:r>
              <w:t>% increase</w:t>
            </w:r>
          </w:p>
        </w:tc>
        <w:tc>
          <w:tcPr>
            <w:tcW w:w="711" w:type="pct"/>
            <w:noWrap/>
            <w:hideMark/>
          </w:tcPr>
          <w:p w:rsidR="006A4250" w:rsidRPr="00761856" w:rsidRDefault="006A4250" w:rsidP="00137F09">
            <w:pPr>
              <w:pStyle w:val="NoSpacing"/>
              <w:jc w:val="right"/>
            </w:pPr>
            <w:r>
              <w:t xml:space="preserve">6% </w:t>
            </w:r>
          </w:p>
        </w:tc>
        <w:tc>
          <w:tcPr>
            <w:tcW w:w="725" w:type="pct"/>
            <w:noWrap/>
            <w:hideMark/>
          </w:tcPr>
          <w:p w:rsidR="006A4250" w:rsidRPr="00761856" w:rsidRDefault="006A4250" w:rsidP="00137F09">
            <w:pPr>
              <w:pStyle w:val="NoSpacing"/>
              <w:jc w:val="right"/>
            </w:pPr>
            <w:r>
              <w:t xml:space="preserve">6% </w:t>
            </w:r>
          </w:p>
        </w:tc>
        <w:tc>
          <w:tcPr>
            <w:tcW w:w="700" w:type="pct"/>
            <w:noWrap/>
            <w:hideMark/>
          </w:tcPr>
          <w:p w:rsidR="006A4250" w:rsidRPr="00761856" w:rsidRDefault="006A4250" w:rsidP="00137F09">
            <w:pPr>
              <w:pStyle w:val="NoSpacing"/>
              <w:jc w:val="right"/>
            </w:pPr>
            <w:r>
              <w:t>9%</w:t>
            </w:r>
          </w:p>
        </w:tc>
        <w:tc>
          <w:tcPr>
            <w:tcW w:w="670" w:type="pct"/>
            <w:noWrap/>
            <w:hideMark/>
          </w:tcPr>
          <w:p w:rsidR="006A4250" w:rsidRPr="00761856" w:rsidRDefault="006A4250" w:rsidP="00137F09">
            <w:pPr>
              <w:pStyle w:val="NoSpacing"/>
              <w:jc w:val="right"/>
            </w:pPr>
            <w:r>
              <w:t>9%</w:t>
            </w:r>
          </w:p>
        </w:tc>
        <w:tc>
          <w:tcPr>
            <w:tcW w:w="700" w:type="pct"/>
            <w:noWrap/>
            <w:hideMark/>
          </w:tcPr>
          <w:p w:rsidR="006A4250" w:rsidRPr="00761856" w:rsidRDefault="006A4250" w:rsidP="00137F09">
            <w:pPr>
              <w:pStyle w:val="NoSpacing"/>
              <w:jc w:val="right"/>
            </w:pPr>
            <w:r>
              <w:t>7%</w:t>
            </w:r>
          </w:p>
        </w:tc>
        <w:tc>
          <w:tcPr>
            <w:tcW w:w="643" w:type="pct"/>
            <w:noWrap/>
            <w:hideMark/>
          </w:tcPr>
          <w:p w:rsidR="006A4250" w:rsidRPr="00761856" w:rsidRDefault="006A4250" w:rsidP="00137F09">
            <w:pPr>
              <w:pStyle w:val="NoSpacing"/>
              <w:jc w:val="right"/>
            </w:pPr>
            <w:r>
              <w:t>7%</w:t>
            </w:r>
          </w:p>
        </w:tc>
      </w:tr>
      <w:tr w:rsidR="006A4250" w:rsidRPr="00761856" w:rsidTr="00137F09">
        <w:trPr>
          <w:trHeight w:val="315"/>
        </w:trPr>
        <w:tc>
          <w:tcPr>
            <w:tcW w:w="851" w:type="pct"/>
          </w:tcPr>
          <w:p w:rsidR="006A4250" w:rsidRPr="00761856" w:rsidRDefault="00165E59" w:rsidP="006A4250">
            <w:pPr>
              <w:pStyle w:val="NoSpacing"/>
            </w:pPr>
            <w:r>
              <w:t>Rescission</w:t>
            </w:r>
          </w:p>
        </w:tc>
        <w:tc>
          <w:tcPr>
            <w:tcW w:w="711" w:type="pct"/>
            <w:noWrap/>
            <w:hideMark/>
          </w:tcPr>
          <w:p w:rsidR="006A4250" w:rsidRPr="00761856" w:rsidRDefault="006A4250" w:rsidP="00137F09">
            <w:pPr>
              <w:pStyle w:val="NoSpacing"/>
              <w:jc w:val="right"/>
            </w:pPr>
          </w:p>
        </w:tc>
        <w:tc>
          <w:tcPr>
            <w:tcW w:w="725" w:type="pct"/>
            <w:noWrap/>
            <w:hideMark/>
          </w:tcPr>
          <w:p w:rsidR="006A4250" w:rsidRPr="00761856" w:rsidRDefault="006A4250" w:rsidP="00137F09">
            <w:pPr>
              <w:pStyle w:val="NoSpacing"/>
              <w:jc w:val="right"/>
            </w:pPr>
            <w:r>
              <w:t xml:space="preserve">$10,241  </w:t>
            </w:r>
          </w:p>
        </w:tc>
        <w:tc>
          <w:tcPr>
            <w:tcW w:w="700" w:type="pct"/>
            <w:noWrap/>
            <w:hideMark/>
          </w:tcPr>
          <w:p w:rsidR="006A4250" w:rsidRPr="00761856" w:rsidRDefault="006A4250" w:rsidP="00137F09">
            <w:pPr>
              <w:pStyle w:val="NoSpacing"/>
              <w:jc w:val="right"/>
            </w:pPr>
          </w:p>
        </w:tc>
        <w:tc>
          <w:tcPr>
            <w:tcW w:w="670" w:type="pct"/>
            <w:noWrap/>
            <w:hideMark/>
          </w:tcPr>
          <w:p w:rsidR="006A4250" w:rsidRPr="00761856" w:rsidRDefault="006A4250" w:rsidP="00137F09">
            <w:pPr>
              <w:pStyle w:val="NoSpacing"/>
              <w:jc w:val="right"/>
            </w:pPr>
            <w:r>
              <w:t>$156,000</w:t>
            </w:r>
          </w:p>
        </w:tc>
        <w:tc>
          <w:tcPr>
            <w:tcW w:w="700" w:type="pct"/>
            <w:noWrap/>
            <w:hideMark/>
          </w:tcPr>
          <w:p w:rsidR="006A4250" w:rsidRPr="00761856" w:rsidRDefault="006A4250" w:rsidP="00137F09">
            <w:pPr>
              <w:pStyle w:val="NoSpacing"/>
              <w:jc w:val="right"/>
            </w:pPr>
          </w:p>
        </w:tc>
        <w:tc>
          <w:tcPr>
            <w:tcW w:w="643" w:type="pct"/>
            <w:noWrap/>
            <w:hideMark/>
          </w:tcPr>
          <w:p w:rsidR="006A4250" w:rsidRPr="00761856" w:rsidRDefault="006A4250" w:rsidP="00137F09">
            <w:pPr>
              <w:pStyle w:val="NoSpacing"/>
              <w:jc w:val="right"/>
            </w:pPr>
          </w:p>
        </w:tc>
      </w:tr>
      <w:tr w:rsidR="006A4250" w:rsidRPr="00761856" w:rsidTr="00137F09">
        <w:trPr>
          <w:trHeight w:val="315"/>
        </w:trPr>
        <w:tc>
          <w:tcPr>
            <w:tcW w:w="851" w:type="pct"/>
          </w:tcPr>
          <w:p w:rsidR="006A4250" w:rsidRDefault="006A4250" w:rsidP="006A4250">
            <w:pPr>
              <w:pStyle w:val="NoSpacing"/>
            </w:pPr>
            <w:r>
              <w:t>% increase</w:t>
            </w:r>
          </w:p>
        </w:tc>
        <w:tc>
          <w:tcPr>
            <w:tcW w:w="711" w:type="pct"/>
            <w:noWrap/>
            <w:hideMark/>
          </w:tcPr>
          <w:p w:rsidR="006A4250" w:rsidRPr="00761856" w:rsidRDefault="006A4250" w:rsidP="00137F09">
            <w:pPr>
              <w:pStyle w:val="NoSpacing"/>
              <w:jc w:val="right"/>
            </w:pPr>
          </w:p>
        </w:tc>
        <w:tc>
          <w:tcPr>
            <w:tcW w:w="725" w:type="pct"/>
            <w:noWrap/>
            <w:hideMark/>
          </w:tcPr>
          <w:p w:rsidR="006A4250" w:rsidRDefault="006A4250" w:rsidP="00137F09">
            <w:pPr>
              <w:pStyle w:val="NoSpacing"/>
              <w:jc w:val="right"/>
            </w:pPr>
            <w:r>
              <w:t>5.5%</w:t>
            </w:r>
          </w:p>
        </w:tc>
        <w:tc>
          <w:tcPr>
            <w:tcW w:w="700" w:type="pct"/>
            <w:noWrap/>
            <w:hideMark/>
          </w:tcPr>
          <w:p w:rsidR="006A4250" w:rsidRPr="00761856" w:rsidRDefault="006A4250" w:rsidP="00137F09">
            <w:pPr>
              <w:pStyle w:val="NoSpacing"/>
              <w:jc w:val="right"/>
            </w:pPr>
          </w:p>
        </w:tc>
        <w:tc>
          <w:tcPr>
            <w:tcW w:w="670" w:type="pct"/>
            <w:noWrap/>
            <w:hideMark/>
          </w:tcPr>
          <w:p w:rsidR="006A4250" w:rsidRPr="00761856" w:rsidRDefault="006A4250" w:rsidP="00137F09">
            <w:pPr>
              <w:pStyle w:val="NoSpacing"/>
              <w:jc w:val="right"/>
            </w:pPr>
            <w:r>
              <w:t>4%</w:t>
            </w:r>
          </w:p>
        </w:tc>
        <w:tc>
          <w:tcPr>
            <w:tcW w:w="700" w:type="pct"/>
            <w:noWrap/>
            <w:hideMark/>
          </w:tcPr>
          <w:p w:rsidR="006A4250" w:rsidRPr="00761856" w:rsidRDefault="006A4250" w:rsidP="00137F09">
            <w:pPr>
              <w:pStyle w:val="NoSpacing"/>
              <w:jc w:val="right"/>
            </w:pPr>
          </w:p>
        </w:tc>
        <w:tc>
          <w:tcPr>
            <w:tcW w:w="643" w:type="pct"/>
            <w:noWrap/>
            <w:hideMark/>
          </w:tcPr>
          <w:p w:rsidR="006A4250" w:rsidRPr="00761856" w:rsidRDefault="006A4250" w:rsidP="00137F09">
            <w:pPr>
              <w:pStyle w:val="NoSpacing"/>
              <w:jc w:val="right"/>
            </w:pPr>
          </w:p>
        </w:tc>
      </w:tr>
    </w:tbl>
    <w:p w:rsidR="00021963" w:rsidRDefault="00021963" w:rsidP="0026075B">
      <w:pPr>
        <w:autoSpaceDE w:val="0"/>
        <w:autoSpaceDN w:val="0"/>
        <w:adjustRightInd w:val="0"/>
      </w:pPr>
    </w:p>
    <w:p w:rsidR="0026075B" w:rsidRPr="00496B3E" w:rsidRDefault="0026075B" w:rsidP="0026075B">
      <w:pPr>
        <w:autoSpaceDE w:val="0"/>
        <w:autoSpaceDN w:val="0"/>
        <w:adjustRightInd w:val="0"/>
        <w:rPr>
          <w:rFonts w:cs="Helvetica"/>
        </w:rPr>
      </w:pPr>
      <w:r>
        <w:t xml:space="preserve">The changing nature of the collection is documented both by the acquisitions allocations and by the numbers of acquisitions in each format. </w:t>
      </w:r>
    </w:p>
    <w:p w:rsidR="00795D3D" w:rsidRDefault="00795D3D" w:rsidP="0026075B"/>
    <w:p w:rsidR="0026075B" w:rsidRDefault="0026075B" w:rsidP="0026075B">
      <w:r>
        <w:t>Chart 2 documents the transformative shift from paper journals to electronic access that has occurred from FY2004 to FY2009 in the allocation of dollars. E-resources include e-journal subscriptio</w:t>
      </w:r>
      <w:r w:rsidR="006F0516">
        <w:t>ns</w:t>
      </w:r>
      <w:r>
        <w:t xml:space="preserve">. </w:t>
      </w:r>
    </w:p>
    <w:p w:rsidR="00795D3D" w:rsidRDefault="00795D3D" w:rsidP="0026075B"/>
    <w:p w:rsidR="0026075B" w:rsidRDefault="00165E59" w:rsidP="0026075B">
      <w:pPr>
        <w:jc w:val="center"/>
      </w:pPr>
      <w:r>
        <w:rPr>
          <w:noProof/>
        </w:rPr>
        <w:drawing>
          <wp:inline distT="0" distB="0" distL="0" distR="0">
            <wp:extent cx="4572762" cy="2839593"/>
            <wp:effectExtent l="12192" t="6096" r="6096" b="2286"/>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5D3D" w:rsidRDefault="00795D3D" w:rsidP="0091382D"/>
    <w:p w:rsidR="00795D3D" w:rsidRDefault="00795D3D" w:rsidP="0091382D"/>
    <w:p w:rsidR="0091382D" w:rsidRDefault="0091382D" w:rsidP="0091382D">
      <w:r>
        <w:lastRenderedPageBreak/>
        <w:t>Chart 3 do</w:t>
      </w:r>
      <w:r w:rsidR="006F0516">
        <w:t xml:space="preserve">cuments the evolution of </w:t>
      </w:r>
      <w:r>
        <w:t xml:space="preserve">monograph acquisitions from an uneven purchasing pattern with allocations and orders divided among departments and librarians to a carefully crafted and cohesive approval plan that is supplemented by individual orders. The distribution of acquisitions funding reflects these changes.  </w:t>
      </w:r>
    </w:p>
    <w:p w:rsidR="00795D3D" w:rsidRDefault="00795D3D" w:rsidP="0091382D"/>
    <w:p w:rsidR="0091382D" w:rsidRDefault="00165E59" w:rsidP="0091382D">
      <w:pPr>
        <w:jc w:val="center"/>
      </w:pPr>
      <w:r>
        <w:rPr>
          <w:noProof/>
        </w:rPr>
        <w:drawing>
          <wp:inline distT="0" distB="0" distL="0" distR="0">
            <wp:extent cx="4572762" cy="2744972"/>
            <wp:effectExtent l="12192" t="6096" r="6096" b="1657"/>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82D" w:rsidRPr="00526024" w:rsidRDefault="0091382D" w:rsidP="0091382D">
      <w:pPr>
        <w:rPr>
          <w:rFonts w:ascii="Geneva" w:hAnsi="Geneva"/>
        </w:rPr>
      </w:pPr>
    </w:p>
    <w:p w:rsidR="0091382D" w:rsidRDefault="0091382D" w:rsidP="0091382D">
      <w:pPr>
        <w:rPr>
          <w:rFonts w:ascii="Geneva" w:hAnsi="Geneva"/>
        </w:rPr>
      </w:pPr>
    </w:p>
    <w:p w:rsidR="0091382D" w:rsidRDefault="0091382D" w:rsidP="0091382D">
      <w:r w:rsidRPr="0091382D">
        <w:t>Documentation of the collections in various formats during this same time period provides additional evidence of the change</w:t>
      </w:r>
      <w:r w:rsidR="00021963">
        <w:t>s in the collection (Table 3);</w:t>
      </w:r>
      <w:r w:rsidR="002E159A">
        <w:t xml:space="preserve"> </w:t>
      </w:r>
      <w:r w:rsidR="00021963">
        <w:t>n</w:t>
      </w:r>
      <w:r w:rsidRPr="0091382D">
        <w:rPr>
          <w:rFonts w:cs="Helvetica"/>
        </w:rPr>
        <w:t>otably, current journal subscriptions increased by 140.</w:t>
      </w:r>
      <w:r>
        <w:rPr>
          <w:rFonts w:cs="Helvetica"/>
        </w:rPr>
        <w:t>0% from FY2005 to FY2008</w:t>
      </w:r>
      <w:r w:rsidRPr="0091382D">
        <w:rPr>
          <w:rFonts w:cs="Helvetica"/>
        </w:rPr>
        <w:t>.</w:t>
      </w:r>
      <w:r w:rsidRPr="0091382D">
        <w:t xml:space="preserve"> </w:t>
      </w:r>
      <w:r w:rsidRPr="0091382D">
        <w:rPr>
          <w:rFonts w:cs="Helvetica"/>
        </w:rPr>
        <w:t>Subscriptions are those titles currently received and unique titles to which we have access through electronic resources, including e-journal packages and aggregators, using the Overlap Analysis reporting feature of Serials Solutions.</w:t>
      </w:r>
      <w:r w:rsidRPr="0091382D">
        <w:t xml:space="preserve"> </w:t>
      </w:r>
    </w:p>
    <w:p w:rsidR="00C03DEF" w:rsidRDefault="00C03DEF" w:rsidP="0091382D"/>
    <w:p w:rsidR="0091382D" w:rsidRPr="0091382D" w:rsidRDefault="0091382D" w:rsidP="0091382D">
      <w:r>
        <w:t>During the same time period, m</w:t>
      </w:r>
      <w:r w:rsidRPr="0091382D">
        <w:t>onograph holdings increased by 12.0</w:t>
      </w:r>
      <w:r>
        <w:t>%</w:t>
      </w:r>
      <w:r w:rsidRPr="0091382D">
        <w:t xml:space="preserve">; </w:t>
      </w:r>
      <w:r>
        <w:t>m</w:t>
      </w:r>
      <w:r w:rsidRPr="0091382D">
        <w:t>edia holdings increased by 19.4</w:t>
      </w:r>
      <w:r>
        <w:t>%</w:t>
      </w:r>
      <w:r w:rsidRPr="0091382D">
        <w:t xml:space="preserve">; and the number of databases (both indices and full-text) decreased by 8.9% from FY2005-FY2008. </w:t>
      </w:r>
    </w:p>
    <w:p w:rsidR="0091382D" w:rsidRDefault="0091382D" w:rsidP="0091382D"/>
    <w:p w:rsidR="0091382D" w:rsidRDefault="00C03DEF" w:rsidP="00C03DEF">
      <w:pPr>
        <w:ind w:left="720"/>
      </w:pPr>
      <w:r>
        <w:t>Table 3. Holdings of monographs and media from FY2004 to FY2008 and journals, and databases from FY2005 to FY 2008.</w:t>
      </w:r>
    </w:p>
    <w:tbl>
      <w:tblPr>
        <w:tblW w:w="8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1588"/>
        <w:gridCol w:w="1368"/>
        <w:gridCol w:w="1488"/>
        <w:gridCol w:w="1428"/>
        <w:gridCol w:w="1488"/>
      </w:tblGrid>
      <w:tr w:rsidR="0091382D" w:rsidRPr="00021963" w:rsidTr="004578D0">
        <w:trPr>
          <w:jc w:val="center"/>
        </w:trPr>
        <w:tc>
          <w:tcPr>
            <w:tcW w:w="1355" w:type="dxa"/>
            <w:noWrap/>
            <w:hideMark/>
          </w:tcPr>
          <w:p w:rsidR="0091382D" w:rsidRPr="00021963" w:rsidRDefault="0091382D" w:rsidP="004578D0">
            <w:pPr>
              <w:pStyle w:val="NoSpacing"/>
              <w:rPr>
                <w:b/>
              </w:rPr>
            </w:pPr>
            <w:r w:rsidRPr="00021963">
              <w:rPr>
                <w:b/>
              </w:rPr>
              <w:t>Format</w:t>
            </w:r>
          </w:p>
        </w:tc>
        <w:tc>
          <w:tcPr>
            <w:tcW w:w="1588" w:type="dxa"/>
            <w:noWrap/>
            <w:hideMark/>
          </w:tcPr>
          <w:p w:rsidR="0091382D" w:rsidRPr="00021963" w:rsidRDefault="0091382D" w:rsidP="004578D0">
            <w:pPr>
              <w:pStyle w:val="NoSpacing"/>
              <w:rPr>
                <w:b/>
              </w:rPr>
            </w:pPr>
            <w:r w:rsidRPr="00021963">
              <w:rPr>
                <w:b/>
              </w:rPr>
              <w:t>2004</w:t>
            </w:r>
          </w:p>
        </w:tc>
        <w:tc>
          <w:tcPr>
            <w:tcW w:w="1368" w:type="dxa"/>
            <w:noWrap/>
            <w:hideMark/>
          </w:tcPr>
          <w:p w:rsidR="0091382D" w:rsidRPr="00021963" w:rsidRDefault="0091382D" w:rsidP="004578D0">
            <w:pPr>
              <w:pStyle w:val="NoSpacing"/>
              <w:rPr>
                <w:b/>
              </w:rPr>
            </w:pPr>
            <w:r w:rsidRPr="00021963">
              <w:rPr>
                <w:b/>
              </w:rPr>
              <w:t>2005</w:t>
            </w:r>
          </w:p>
        </w:tc>
        <w:tc>
          <w:tcPr>
            <w:tcW w:w="1488" w:type="dxa"/>
            <w:noWrap/>
            <w:hideMark/>
          </w:tcPr>
          <w:p w:rsidR="0091382D" w:rsidRPr="00021963" w:rsidRDefault="0091382D" w:rsidP="004578D0">
            <w:pPr>
              <w:pStyle w:val="NoSpacing"/>
              <w:rPr>
                <w:b/>
              </w:rPr>
            </w:pPr>
            <w:r w:rsidRPr="00021963">
              <w:rPr>
                <w:b/>
              </w:rPr>
              <w:t>2006</w:t>
            </w:r>
          </w:p>
        </w:tc>
        <w:tc>
          <w:tcPr>
            <w:tcW w:w="1428" w:type="dxa"/>
            <w:noWrap/>
            <w:hideMark/>
          </w:tcPr>
          <w:p w:rsidR="0091382D" w:rsidRPr="00021963" w:rsidRDefault="0091382D" w:rsidP="004578D0">
            <w:pPr>
              <w:pStyle w:val="NoSpacing"/>
              <w:rPr>
                <w:b/>
              </w:rPr>
            </w:pPr>
            <w:r w:rsidRPr="00021963">
              <w:rPr>
                <w:b/>
              </w:rPr>
              <w:t>2007</w:t>
            </w:r>
          </w:p>
        </w:tc>
        <w:tc>
          <w:tcPr>
            <w:tcW w:w="1488" w:type="dxa"/>
            <w:noWrap/>
            <w:hideMark/>
          </w:tcPr>
          <w:p w:rsidR="0091382D" w:rsidRPr="00021963" w:rsidRDefault="0091382D" w:rsidP="004578D0">
            <w:pPr>
              <w:pStyle w:val="NoSpacing"/>
              <w:rPr>
                <w:b/>
              </w:rPr>
            </w:pPr>
            <w:r w:rsidRPr="00021963">
              <w:rPr>
                <w:b/>
              </w:rPr>
              <w:t>2008</w:t>
            </w:r>
          </w:p>
        </w:tc>
      </w:tr>
      <w:tr w:rsidR="0091382D" w:rsidRPr="00CC29C9" w:rsidTr="004578D0">
        <w:trPr>
          <w:jc w:val="center"/>
        </w:trPr>
        <w:tc>
          <w:tcPr>
            <w:tcW w:w="1355" w:type="dxa"/>
            <w:noWrap/>
            <w:hideMark/>
          </w:tcPr>
          <w:p w:rsidR="0091382D" w:rsidRPr="00CC29C9" w:rsidRDefault="0091382D" w:rsidP="004578D0">
            <w:pPr>
              <w:pStyle w:val="NoSpacing"/>
            </w:pPr>
            <w:r w:rsidRPr="00CC29C9">
              <w:t>Monographs</w:t>
            </w:r>
          </w:p>
        </w:tc>
        <w:tc>
          <w:tcPr>
            <w:tcW w:w="1588" w:type="dxa"/>
            <w:noWrap/>
            <w:vAlign w:val="center"/>
            <w:hideMark/>
          </w:tcPr>
          <w:p w:rsidR="0091382D" w:rsidRPr="00CC29C9" w:rsidRDefault="0091382D" w:rsidP="004578D0">
            <w:pPr>
              <w:pStyle w:val="NoSpacing"/>
            </w:pPr>
            <w:r w:rsidRPr="00CC29C9">
              <w:t>629,374</w:t>
            </w:r>
          </w:p>
        </w:tc>
        <w:tc>
          <w:tcPr>
            <w:tcW w:w="1368" w:type="dxa"/>
            <w:noWrap/>
            <w:vAlign w:val="center"/>
            <w:hideMark/>
          </w:tcPr>
          <w:p w:rsidR="0091382D" w:rsidRPr="00CC29C9" w:rsidRDefault="0091382D" w:rsidP="004578D0">
            <w:pPr>
              <w:pStyle w:val="NoSpacing"/>
            </w:pPr>
            <w:r w:rsidRPr="00CC29C9">
              <w:t>648,226</w:t>
            </w:r>
          </w:p>
        </w:tc>
        <w:tc>
          <w:tcPr>
            <w:tcW w:w="1488" w:type="dxa"/>
            <w:noWrap/>
            <w:vAlign w:val="center"/>
            <w:hideMark/>
          </w:tcPr>
          <w:p w:rsidR="0091382D" w:rsidRPr="00CC29C9" w:rsidRDefault="0091382D" w:rsidP="004578D0">
            <w:pPr>
              <w:pStyle w:val="NoSpacing"/>
            </w:pPr>
            <w:r w:rsidRPr="00CC29C9">
              <w:t>666,183</w:t>
            </w:r>
          </w:p>
        </w:tc>
        <w:tc>
          <w:tcPr>
            <w:tcW w:w="1428" w:type="dxa"/>
            <w:noWrap/>
            <w:vAlign w:val="center"/>
            <w:hideMark/>
          </w:tcPr>
          <w:p w:rsidR="0091382D" w:rsidRPr="00CC29C9" w:rsidRDefault="0091382D" w:rsidP="004578D0">
            <w:pPr>
              <w:pStyle w:val="NoSpacing"/>
            </w:pPr>
            <w:r w:rsidRPr="00CC29C9">
              <w:t>686,017</w:t>
            </w:r>
          </w:p>
        </w:tc>
        <w:tc>
          <w:tcPr>
            <w:tcW w:w="1488" w:type="dxa"/>
            <w:noWrap/>
            <w:vAlign w:val="center"/>
            <w:hideMark/>
          </w:tcPr>
          <w:p w:rsidR="0091382D" w:rsidRPr="00CC29C9" w:rsidRDefault="0091382D" w:rsidP="004578D0">
            <w:pPr>
              <w:pStyle w:val="NoSpacing"/>
            </w:pPr>
            <w:r w:rsidRPr="00CC29C9">
              <w:t>704,692</w:t>
            </w:r>
          </w:p>
        </w:tc>
      </w:tr>
      <w:tr w:rsidR="0091382D" w:rsidRPr="00CC29C9" w:rsidTr="004578D0">
        <w:trPr>
          <w:jc w:val="center"/>
        </w:trPr>
        <w:tc>
          <w:tcPr>
            <w:tcW w:w="1355" w:type="dxa"/>
            <w:noWrap/>
            <w:hideMark/>
          </w:tcPr>
          <w:p w:rsidR="0091382D" w:rsidRPr="00CC29C9" w:rsidRDefault="0091382D" w:rsidP="004578D0">
            <w:pPr>
              <w:pStyle w:val="NoSpacing"/>
            </w:pPr>
            <w:r w:rsidRPr="00CC29C9">
              <w:t>Media</w:t>
            </w:r>
          </w:p>
        </w:tc>
        <w:tc>
          <w:tcPr>
            <w:tcW w:w="1588" w:type="dxa"/>
            <w:noWrap/>
            <w:vAlign w:val="center"/>
            <w:hideMark/>
          </w:tcPr>
          <w:p w:rsidR="0091382D" w:rsidRPr="00CC29C9" w:rsidRDefault="0091382D" w:rsidP="004578D0">
            <w:pPr>
              <w:pStyle w:val="NoSpacing"/>
            </w:pPr>
            <w:r w:rsidRPr="00CC29C9">
              <w:t>35,559</w:t>
            </w:r>
          </w:p>
        </w:tc>
        <w:tc>
          <w:tcPr>
            <w:tcW w:w="1368" w:type="dxa"/>
            <w:noWrap/>
            <w:vAlign w:val="center"/>
            <w:hideMark/>
          </w:tcPr>
          <w:p w:rsidR="0091382D" w:rsidRPr="00CC29C9" w:rsidRDefault="0091382D" w:rsidP="004578D0">
            <w:pPr>
              <w:pStyle w:val="NoSpacing"/>
            </w:pPr>
            <w:r w:rsidRPr="00CC29C9">
              <w:t>37,065</w:t>
            </w:r>
          </w:p>
        </w:tc>
        <w:tc>
          <w:tcPr>
            <w:tcW w:w="1488" w:type="dxa"/>
            <w:noWrap/>
            <w:vAlign w:val="center"/>
            <w:hideMark/>
          </w:tcPr>
          <w:p w:rsidR="0091382D" w:rsidRPr="00CC29C9" w:rsidRDefault="0091382D" w:rsidP="004578D0">
            <w:pPr>
              <w:pStyle w:val="NoSpacing"/>
            </w:pPr>
            <w:r w:rsidRPr="00CC29C9">
              <w:t>38,109</w:t>
            </w:r>
          </w:p>
        </w:tc>
        <w:tc>
          <w:tcPr>
            <w:tcW w:w="1428" w:type="dxa"/>
            <w:noWrap/>
            <w:vAlign w:val="center"/>
            <w:hideMark/>
          </w:tcPr>
          <w:p w:rsidR="0091382D" w:rsidRPr="00CC29C9" w:rsidRDefault="0091382D" w:rsidP="004578D0">
            <w:pPr>
              <w:pStyle w:val="NoSpacing"/>
            </w:pPr>
            <w:r w:rsidRPr="00CC29C9">
              <w:t>40,045</w:t>
            </w:r>
          </w:p>
        </w:tc>
        <w:tc>
          <w:tcPr>
            <w:tcW w:w="1488" w:type="dxa"/>
            <w:noWrap/>
            <w:vAlign w:val="center"/>
            <w:hideMark/>
          </w:tcPr>
          <w:p w:rsidR="0091382D" w:rsidRPr="00CC29C9" w:rsidRDefault="0091382D" w:rsidP="004578D0">
            <w:pPr>
              <w:pStyle w:val="NoSpacing"/>
            </w:pPr>
            <w:r w:rsidRPr="00CC29C9">
              <w:t>42,453</w:t>
            </w:r>
          </w:p>
        </w:tc>
      </w:tr>
      <w:tr w:rsidR="0091382D" w:rsidRPr="00CC29C9" w:rsidTr="004578D0">
        <w:trPr>
          <w:jc w:val="center"/>
        </w:trPr>
        <w:tc>
          <w:tcPr>
            <w:tcW w:w="1355" w:type="dxa"/>
            <w:noWrap/>
            <w:hideMark/>
          </w:tcPr>
          <w:p w:rsidR="0091382D" w:rsidRPr="00CC29C9" w:rsidRDefault="0091382D" w:rsidP="004578D0">
            <w:pPr>
              <w:pStyle w:val="NoSpacing"/>
            </w:pPr>
            <w:r w:rsidRPr="00CC29C9">
              <w:t>Journals</w:t>
            </w:r>
          </w:p>
        </w:tc>
        <w:tc>
          <w:tcPr>
            <w:tcW w:w="1588" w:type="dxa"/>
            <w:vAlign w:val="center"/>
          </w:tcPr>
          <w:p w:rsidR="0091382D" w:rsidRPr="00CC29C9" w:rsidRDefault="0091382D" w:rsidP="004578D0">
            <w:pPr>
              <w:pStyle w:val="NoSpacing"/>
            </w:pPr>
          </w:p>
        </w:tc>
        <w:tc>
          <w:tcPr>
            <w:tcW w:w="1368" w:type="dxa"/>
            <w:noWrap/>
            <w:vAlign w:val="center"/>
            <w:hideMark/>
          </w:tcPr>
          <w:p w:rsidR="0091382D" w:rsidRPr="00CC29C9" w:rsidRDefault="0091382D" w:rsidP="004578D0">
            <w:pPr>
              <w:pStyle w:val="NoSpacing"/>
            </w:pPr>
            <w:r w:rsidRPr="00CC29C9">
              <w:t>13,172</w:t>
            </w:r>
          </w:p>
        </w:tc>
        <w:tc>
          <w:tcPr>
            <w:tcW w:w="1488" w:type="dxa"/>
            <w:noWrap/>
            <w:vAlign w:val="center"/>
            <w:hideMark/>
          </w:tcPr>
          <w:p w:rsidR="0091382D" w:rsidRPr="00CC29C9" w:rsidRDefault="0091382D" w:rsidP="004578D0">
            <w:pPr>
              <w:pStyle w:val="NoSpacing"/>
            </w:pPr>
            <w:r w:rsidRPr="00CC29C9">
              <w:t>16,599</w:t>
            </w:r>
          </w:p>
        </w:tc>
        <w:tc>
          <w:tcPr>
            <w:tcW w:w="1428" w:type="dxa"/>
            <w:noWrap/>
            <w:vAlign w:val="center"/>
            <w:hideMark/>
          </w:tcPr>
          <w:p w:rsidR="0091382D" w:rsidRPr="00CC29C9" w:rsidRDefault="0091382D" w:rsidP="004578D0">
            <w:pPr>
              <w:pStyle w:val="NoSpacing"/>
            </w:pPr>
            <w:r w:rsidRPr="00CC29C9">
              <w:t>30,634</w:t>
            </w:r>
          </w:p>
        </w:tc>
        <w:tc>
          <w:tcPr>
            <w:tcW w:w="1488" w:type="dxa"/>
            <w:noWrap/>
            <w:vAlign w:val="center"/>
            <w:hideMark/>
          </w:tcPr>
          <w:p w:rsidR="0091382D" w:rsidRPr="00CC29C9" w:rsidRDefault="0091382D" w:rsidP="004578D0">
            <w:pPr>
              <w:pStyle w:val="NoSpacing"/>
            </w:pPr>
            <w:r w:rsidRPr="00CC29C9">
              <w:t>31,614</w:t>
            </w:r>
          </w:p>
        </w:tc>
      </w:tr>
      <w:tr w:rsidR="0091382D" w:rsidRPr="00CC29C9" w:rsidTr="004578D0">
        <w:trPr>
          <w:jc w:val="center"/>
        </w:trPr>
        <w:tc>
          <w:tcPr>
            <w:tcW w:w="1355" w:type="dxa"/>
            <w:noWrap/>
            <w:hideMark/>
          </w:tcPr>
          <w:p w:rsidR="0091382D" w:rsidRPr="00CC29C9" w:rsidRDefault="0091382D" w:rsidP="004578D0">
            <w:pPr>
              <w:pStyle w:val="NoSpacing"/>
            </w:pPr>
            <w:r w:rsidRPr="00CC29C9">
              <w:t>Databases</w:t>
            </w:r>
          </w:p>
        </w:tc>
        <w:tc>
          <w:tcPr>
            <w:tcW w:w="1588" w:type="dxa"/>
            <w:noWrap/>
            <w:vAlign w:val="center"/>
            <w:hideMark/>
          </w:tcPr>
          <w:p w:rsidR="0091382D" w:rsidRPr="00CC29C9" w:rsidRDefault="0091382D" w:rsidP="004578D0">
            <w:pPr>
              <w:pStyle w:val="NoSpacing"/>
            </w:pPr>
          </w:p>
        </w:tc>
        <w:tc>
          <w:tcPr>
            <w:tcW w:w="1368" w:type="dxa"/>
            <w:noWrap/>
            <w:vAlign w:val="center"/>
            <w:hideMark/>
          </w:tcPr>
          <w:p w:rsidR="0091382D" w:rsidRPr="00CC29C9" w:rsidRDefault="0091382D" w:rsidP="004578D0">
            <w:pPr>
              <w:pStyle w:val="NoSpacing"/>
            </w:pPr>
            <w:r w:rsidRPr="00CC29C9">
              <w:t>257</w:t>
            </w:r>
          </w:p>
        </w:tc>
        <w:tc>
          <w:tcPr>
            <w:tcW w:w="1488" w:type="dxa"/>
            <w:noWrap/>
            <w:vAlign w:val="center"/>
            <w:hideMark/>
          </w:tcPr>
          <w:p w:rsidR="0091382D" w:rsidRPr="00CC29C9" w:rsidRDefault="0091382D" w:rsidP="004578D0">
            <w:pPr>
              <w:pStyle w:val="NoSpacing"/>
            </w:pPr>
            <w:r w:rsidRPr="00CC29C9">
              <w:t>180</w:t>
            </w:r>
          </w:p>
        </w:tc>
        <w:tc>
          <w:tcPr>
            <w:tcW w:w="1428" w:type="dxa"/>
            <w:noWrap/>
            <w:vAlign w:val="center"/>
            <w:hideMark/>
          </w:tcPr>
          <w:p w:rsidR="0091382D" w:rsidRPr="00CC29C9" w:rsidRDefault="0091382D" w:rsidP="004578D0">
            <w:pPr>
              <w:pStyle w:val="NoSpacing"/>
            </w:pPr>
            <w:r w:rsidRPr="00CC29C9">
              <w:t>237</w:t>
            </w:r>
          </w:p>
        </w:tc>
        <w:tc>
          <w:tcPr>
            <w:tcW w:w="1488" w:type="dxa"/>
            <w:noWrap/>
            <w:vAlign w:val="center"/>
            <w:hideMark/>
          </w:tcPr>
          <w:p w:rsidR="0091382D" w:rsidRPr="00CC29C9" w:rsidRDefault="0091382D" w:rsidP="004578D0">
            <w:pPr>
              <w:pStyle w:val="NoSpacing"/>
            </w:pPr>
            <w:r w:rsidRPr="00CC29C9">
              <w:t>236</w:t>
            </w:r>
          </w:p>
        </w:tc>
      </w:tr>
    </w:tbl>
    <w:p w:rsidR="0091382D" w:rsidRPr="00A62437" w:rsidRDefault="0091382D" w:rsidP="0091382D"/>
    <w:p w:rsidR="0091382D" w:rsidRPr="00526024" w:rsidRDefault="0091382D" w:rsidP="0091382D">
      <w:pPr>
        <w:rPr>
          <w:rFonts w:ascii="Geneva" w:hAnsi="Geneva"/>
        </w:rPr>
      </w:pPr>
    </w:p>
    <w:p w:rsidR="0091382D" w:rsidRDefault="0091382D" w:rsidP="0026075B"/>
    <w:p w:rsidR="00021963" w:rsidRDefault="00021963" w:rsidP="00F72F27">
      <w:pPr>
        <w:rPr>
          <w:rFonts w:ascii="Geneva" w:hAnsi="Geneva"/>
          <w:b/>
          <w:sz w:val="28"/>
          <w:szCs w:val="28"/>
        </w:rPr>
      </w:pPr>
    </w:p>
    <w:p w:rsidR="00021963" w:rsidRDefault="00021963" w:rsidP="00F72F27">
      <w:pPr>
        <w:rPr>
          <w:rFonts w:ascii="Geneva" w:hAnsi="Geneva"/>
          <w:b/>
          <w:sz w:val="28"/>
          <w:szCs w:val="28"/>
        </w:rPr>
      </w:pPr>
    </w:p>
    <w:p w:rsidR="00021963" w:rsidRDefault="00021963" w:rsidP="00F72F27">
      <w:pPr>
        <w:rPr>
          <w:rFonts w:ascii="Geneva" w:hAnsi="Geneva"/>
          <w:b/>
          <w:sz w:val="28"/>
          <w:szCs w:val="28"/>
        </w:rPr>
      </w:pPr>
    </w:p>
    <w:p w:rsidR="00021963" w:rsidRDefault="00021963" w:rsidP="00F72F27">
      <w:pPr>
        <w:rPr>
          <w:rFonts w:ascii="Geneva" w:hAnsi="Geneva"/>
          <w:b/>
          <w:sz w:val="28"/>
          <w:szCs w:val="28"/>
        </w:rPr>
      </w:pPr>
    </w:p>
    <w:p w:rsidR="000B4E82" w:rsidRDefault="000B4E82" w:rsidP="00F72F27">
      <w:pPr>
        <w:rPr>
          <w:rFonts w:ascii="Geneva" w:hAnsi="Geneva"/>
          <w:b/>
          <w:sz w:val="28"/>
          <w:szCs w:val="28"/>
        </w:rPr>
      </w:pPr>
    </w:p>
    <w:p w:rsidR="00F72F27" w:rsidRPr="00F172FC" w:rsidRDefault="00F72F27" w:rsidP="00F72F27">
      <w:pPr>
        <w:rPr>
          <w:rFonts w:ascii="Geneva" w:hAnsi="Geneva"/>
          <w:sz w:val="28"/>
          <w:szCs w:val="28"/>
        </w:rPr>
      </w:pPr>
      <w:r w:rsidRPr="00F172FC">
        <w:rPr>
          <w:rFonts w:ascii="Geneva" w:hAnsi="Geneva"/>
          <w:b/>
          <w:sz w:val="28"/>
          <w:szCs w:val="28"/>
        </w:rPr>
        <w:lastRenderedPageBreak/>
        <w:t>Services</w:t>
      </w:r>
    </w:p>
    <w:p w:rsidR="00F72F27" w:rsidRDefault="00F72F27" w:rsidP="00F72F27">
      <w:pPr>
        <w:rPr>
          <w:rFonts w:ascii="Geneva" w:hAnsi="Geneva"/>
          <w:b/>
        </w:rPr>
      </w:pPr>
    </w:p>
    <w:p w:rsidR="00E518D5" w:rsidRPr="00DA670C" w:rsidRDefault="006F0516" w:rsidP="00F72F27">
      <w:r>
        <w:t xml:space="preserve">While </w:t>
      </w:r>
      <w:r w:rsidR="00E518D5" w:rsidRPr="00DA670C">
        <w:t xml:space="preserve">Information Center Reference transactions and curriculum-integrated instruction are at an all time high, usage patterns of </w:t>
      </w:r>
      <w:r w:rsidR="0094378E" w:rsidRPr="00DA670C">
        <w:t xml:space="preserve">the </w:t>
      </w:r>
      <w:r w:rsidR="00E518D5" w:rsidRPr="00DA670C">
        <w:t>web site, buildings, and collections are fluctuating.</w:t>
      </w:r>
    </w:p>
    <w:p w:rsidR="000B4E82" w:rsidRDefault="000B4E82" w:rsidP="00DA670C">
      <w:pPr>
        <w:rPr>
          <w:b/>
        </w:rPr>
      </w:pPr>
    </w:p>
    <w:p w:rsidR="00DA670C" w:rsidRPr="00DA670C" w:rsidRDefault="00DA670C" w:rsidP="00DA670C">
      <w:pPr>
        <w:rPr>
          <w:b/>
        </w:rPr>
      </w:pPr>
      <w:r w:rsidRPr="00DA670C">
        <w:rPr>
          <w:b/>
        </w:rPr>
        <w:t>Reference and Instruction</w:t>
      </w:r>
    </w:p>
    <w:p w:rsidR="000B4E82" w:rsidRDefault="000B4E82" w:rsidP="00DA670C"/>
    <w:p w:rsidR="00DA670C" w:rsidRDefault="008C6A3C" w:rsidP="00DA670C">
      <w:pPr>
        <w:rPr>
          <w:noProof/>
        </w:rPr>
      </w:pPr>
      <w:r>
        <w:t>Information Center reference</w:t>
      </w:r>
      <w:r w:rsidRPr="006B1138">
        <w:t xml:space="preserve"> transactions </w:t>
      </w:r>
      <w:r w:rsidRPr="006B1138">
        <w:rPr>
          <w:noProof/>
        </w:rPr>
        <w:t xml:space="preserve">increased </w:t>
      </w:r>
      <w:r w:rsidR="0094378E">
        <w:rPr>
          <w:noProof/>
        </w:rPr>
        <w:t>24.9</w:t>
      </w:r>
      <w:r w:rsidRPr="006B1138">
        <w:rPr>
          <w:noProof/>
        </w:rPr>
        <w:t xml:space="preserve">% from 30,875 in FY2004 to </w:t>
      </w:r>
      <w:r w:rsidR="0094378E">
        <w:rPr>
          <w:noProof/>
        </w:rPr>
        <w:t>41,123</w:t>
      </w:r>
      <w:r w:rsidRPr="006B1138">
        <w:rPr>
          <w:noProof/>
        </w:rPr>
        <w:t xml:space="preserve"> in FY200</w:t>
      </w:r>
      <w:r>
        <w:rPr>
          <w:noProof/>
        </w:rPr>
        <w:t>9</w:t>
      </w:r>
      <w:r w:rsidRPr="006B1138">
        <w:rPr>
          <w:noProof/>
        </w:rPr>
        <w:t xml:space="preserve"> (</w:t>
      </w:r>
      <w:r w:rsidR="0094378E">
        <w:rPr>
          <w:noProof/>
        </w:rPr>
        <w:t xml:space="preserve">Table </w:t>
      </w:r>
      <w:r w:rsidR="00DA670C">
        <w:rPr>
          <w:noProof/>
        </w:rPr>
        <w:t>4</w:t>
      </w:r>
      <w:r w:rsidRPr="006B1138">
        <w:rPr>
          <w:noProof/>
        </w:rPr>
        <w:t xml:space="preserve">). </w:t>
      </w:r>
      <w:r w:rsidR="00DA670C" w:rsidRPr="006B1138">
        <w:rPr>
          <w:noProof/>
        </w:rPr>
        <w:t>Transactions are sampled during a two-week period each fall semester and extrapolated for the fiscal year.</w:t>
      </w:r>
    </w:p>
    <w:p w:rsidR="000B4E82" w:rsidRDefault="000B4E82" w:rsidP="00DA670C"/>
    <w:p w:rsidR="00DA670C" w:rsidRPr="005760A6" w:rsidRDefault="00DA670C" w:rsidP="00DA670C">
      <w:r>
        <w:t>Virtual Information Center Reference Service began in 2004 through the use of email reference assistance, an online suggestion box, and the impl</w:t>
      </w:r>
      <w:r w:rsidR="006F0516">
        <w:t>ementation of virtual reference</w:t>
      </w:r>
      <w:r>
        <w:t xml:space="preserve">. While the email and suggestion box services have remained consistent, virtual reference shifted to the use of Instant Messaging in FY 2007. The data show a consistent use pattern of virtual reference with a </w:t>
      </w:r>
      <w:r w:rsidR="002E159A">
        <w:t>greater</w:t>
      </w:r>
      <w:r>
        <w:t xml:space="preserve"> increase after Instant Messaging was introduced. </w:t>
      </w:r>
      <w:r w:rsidRPr="005760A6">
        <w:rPr>
          <w:noProof/>
        </w:rPr>
        <w:t>Virtual reference increased 120.8% from 644 in FY2004 to 1,422 in FY2008 (</w:t>
      </w:r>
      <w:r>
        <w:rPr>
          <w:noProof/>
        </w:rPr>
        <w:t>Table 4</w:t>
      </w:r>
      <w:r w:rsidR="00021963">
        <w:rPr>
          <w:noProof/>
        </w:rPr>
        <w:t>) but remains a small percentage of total reference transactions.</w:t>
      </w:r>
      <w:r w:rsidRPr="005760A6">
        <w:rPr>
          <w:noProof/>
        </w:rPr>
        <w:t xml:space="preserve">  </w:t>
      </w:r>
    </w:p>
    <w:p w:rsidR="000B4E82" w:rsidRDefault="000B4E82" w:rsidP="008C6A3C">
      <w:pPr>
        <w:rPr>
          <w:noProof/>
        </w:rPr>
      </w:pPr>
    </w:p>
    <w:p w:rsidR="008C6A3C" w:rsidRPr="006B1138" w:rsidRDefault="00DA670C" w:rsidP="008C6A3C">
      <w:pPr>
        <w:rPr>
          <w:noProof/>
        </w:rPr>
      </w:pPr>
      <w:r>
        <w:rPr>
          <w:noProof/>
        </w:rPr>
        <w:t>Table 4. Total number of Information Center reference transactions, both traditional and virtual, during FY2004 to FY2008.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296"/>
        <w:gridCol w:w="1692"/>
        <w:gridCol w:w="1692"/>
        <w:gridCol w:w="1692"/>
        <w:gridCol w:w="1692"/>
      </w:tblGrid>
      <w:tr w:rsidR="0094378E" w:rsidRPr="00CC29C9" w:rsidTr="003400A3">
        <w:tc>
          <w:tcPr>
            <w:tcW w:w="2088" w:type="dxa"/>
          </w:tcPr>
          <w:p w:rsidR="0094378E" w:rsidRPr="00021963" w:rsidRDefault="0094378E" w:rsidP="00021963">
            <w:pPr>
              <w:pStyle w:val="NoSpacing"/>
              <w:tabs>
                <w:tab w:val="right" w:pos="1872"/>
              </w:tabs>
              <w:rPr>
                <w:b/>
              </w:rPr>
            </w:pPr>
            <w:r w:rsidRPr="00021963">
              <w:rPr>
                <w:b/>
              </w:rPr>
              <w:t>Transactions</w:t>
            </w:r>
            <w:r w:rsidR="00021963" w:rsidRPr="00021963">
              <w:rPr>
                <w:b/>
              </w:rPr>
              <w:tab/>
            </w:r>
          </w:p>
        </w:tc>
        <w:tc>
          <w:tcPr>
            <w:tcW w:w="1296" w:type="dxa"/>
          </w:tcPr>
          <w:p w:rsidR="0094378E" w:rsidRPr="00021963" w:rsidRDefault="0094378E" w:rsidP="004578D0">
            <w:pPr>
              <w:pStyle w:val="NoSpacing"/>
              <w:rPr>
                <w:b/>
              </w:rPr>
            </w:pPr>
            <w:r w:rsidRPr="00021963">
              <w:rPr>
                <w:b/>
              </w:rPr>
              <w:t>2004</w:t>
            </w:r>
          </w:p>
        </w:tc>
        <w:tc>
          <w:tcPr>
            <w:tcW w:w="1692" w:type="dxa"/>
          </w:tcPr>
          <w:p w:rsidR="0094378E" w:rsidRPr="00021963" w:rsidRDefault="0094378E" w:rsidP="004578D0">
            <w:pPr>
              <w:pStyle w:val="NoSpacing"/>
              <w:rPr>
                <w:b/>
              </w:rPr>
            </w:pPr>
            <w:r w:rsidRPr="00021963">
              <w:rPr>
                <w:b/>
              </w:rPr>
              <w:t>2005</w:t>
            </w:r>
          </w:p>
        </w:tc>
        <w:tc>
          <w:tcPr>
            <w:tcW w:w="1692" w:type="dxa"/>
          </w:tcPr>
          <w:p w:rsidR="0094378E" w:rsidRPr="00021963" w:rsidRDefault="0094378E" w:rsidP="004578D0">
            <w:pPr>
              <w:pStyle w:val="NoSpacing"/>
              <w:rPr>
                <w:b/>
              </w:rPr>
            </w:pPr>
            <w:r w:rsidRPr="00021963">
              <w:rPr>
                <w:b/>
              </w:rPr>
              <w:t>2006</w:t>
            </w:r>
          </w:p>
        </w:tc>
        <w:tc>
          <w:tcPr>
            <w:tcW w:w="1692" w:type="dxa"/>
          </w:tcPr>
          <w:p w:rsidR="0094378E" w:rsidRPr="00021963" w:rsidRDefault="0094378E" w:rsidP="004578D0">
            <w:pPr>
              <w:pStyle w:val="NoSpacing"/>
              <w:rPr>
                <w:b/>
              </w:rPr>
            </w:pPr>
            <w:r w:rsidRPr="00021963">
              <w:rPr>
                <w:b/>
              </w:rPr>
              <w:t>2007</w:t>
            </w:r>
          </w:p>
        </w:tc>
        <w:tc>
          <w:tcPr>
            <w:tcW w:w="1692" w:type="dxa"/>
          </w:tcPr>
          <w:p w:rsidR="0094378E" w:rsidRPr="00021963" w:rsidRDefault="0094378E" w:rsidP="004578D0">
            <w:pPr>
              <w:pStyle w:val="NoSpacing"/>
              <w:rPr>
                <w:b/>
              </w:rPr>
            </w:pPr>
            <w:r w:rsidRPr="00021963">
              <w:rPr>
                <w:b/>
              </w:rPr>
              <w:t>2008</w:t>
            </w:r>
          </w:p>
        </w:tc>
      </w:tr>
      <w:tr w:rsidR="0094378E" w:rsidRPr="00CC29C9" w:rsidTr="003400A3">
        <w:tc>
          <w:tcPr>
            <w:tcW w:w="2088" w:type="dxa"/>
            <w:vAlign w:val="bottom"/>
          </w:tcPr>
          <w:p w:rsidR="0094378E" w:rsidRPr="00CC29C9" w:rsidRDefault="003400A3" w:rsidP="004578D0">
            <w:pPr>
              <w:pStyle w:val="NoSpacing"/>
              <w:rPr>
                <w:color w:val="000000"/>
                <w:sz w:val="22"/>
                <w:szCs w:val="22"/>
              </w:rPr>
            </w:pPr>
            <w:r>
              <w:rPr>
                <w:color w:val="000000"/>
                <w:sz w:val="22"/>
                <w:szCs w:val="22"/>
              </w:rPr>
              <w:t xml:space="preserve">In-person </w:t>
            </w:r>
            <w:r w:rsidR="0094378E" w:rsidRPr="00CC29C9">
              <w:rPr>
                <w:color w:val="000000"/>
                <w:sz w:val="22"/>
                <w:szCs w:val="22"/>
              </w:rPr>
              <w:t>Reference</w:t>
            </w:r>
          </w:p>
        </w:tc>
        <w:tc>
          <w:tcPr>
            <w:tcW w:w="1296" w:type="dxa"/>
            <w:vAlign w:val="center"/>
          </w:tcPr>
          <w:p w:rsidR="0094378E" w:rsidRPr="00CC29C9" w:rsidRDefault="0094378E" w:rsidP="004578D0">
            <w:pPr>
              <w:pStyle w:val="NoSpacing"/>
              <w:rPr>
                <w:color w:val="000000"/>
                <w:sz w:val="22"/>
                <w:szCs w:val="22"/>
              </w:rPr>
            </w:pPr>
            <w:r w:rsidRPr="00CC29C9">
              <w:rPr>
                <w:color w:val="000000"/>
                <w:sz w:val="22"/>
                <w:szCs w:val="22"/>
              </w:rPr>
              <w:t>30,875</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34,459</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43,587</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34,888</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41,123</w:t>
            </w:r>
          </w:p>
        </w:tc>
      </w:tr>
      <w:tr w:rsidR="0094378E" w:rsidRPr="00CC29C9" w:rsidTr="003400A3">
        <w:tc>
          <w:tcPr>
            <w:tcW w:w="2088" w:type="dxa"/>
            <w:vAlign w:val="bottom"/>
          </w:tcPr>
          <w:p w:rsidR="0094378E" w:rsidRPr="00CC29C9" w:rsidRDefault="0094378E" w:rsidP="004578D0">
            <w:pPr>
              <w:pStyle w:val="NoSpacing"/>
              <w:rPr>
                <w:color w:val="000000"/>
                <w:sz w:val="22"/>
                <w:szCs w:val="22"/>
              </w:rPr>
            </w:pPr>
            <w:r w:rsidRPr="00CC29C9">
              <w:rPr>
                <w:color w:val="000000"/>
                <w:sz w:val="22"/>
                <w:szCs w:val="22"/>
              </w:rPr>
              <w:t>Virtual Reference</w:t>
            </w:r>
          </w:p>
        </w:tc>
        <w:tc>
          <w:tcPr>
            <w:tcW w:w="1296" w:type="dxa"/>
            <w:vAlign w:val="center"/>
          </w:tcPr>
          <w:p w:rsidR="0094378E" w:rsidRPr="00CC29C9" w:rsidRDefault="0094378E" w:rsidP="004578D0">
            <w:pPr>
              <w:pStyle w:val="NoSpacing"/>
              <w:rPr>
                <w:color w:val="000000"/>
                <w:sz w:val="22"/>
                <w:szCs w:val="22"/>
              </w:rPr>
            </w:pPr>
            <w:r w:rsidRPr="00CC29C9">
              <w:rPr>
                <w:color w:val="000000"/>
                <w:sz w:val="22"/>
                <w:szCs w:val="22"/>
              </w:rPr>
              <w:t>644</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801</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604</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811</w:t>
            </w:r>
          </w:p>
        </w:tc>
        <w:tc>
          <w:tcPr>
            <w:tcW w:w="1692" w:type="dxa"/>
            <w:vAlign w:val="center"/>
          </w:tcPr>
          <w:p w:rsidR="0094378E" w:rsidRPr="00CC29C9" w:rsidRDefault="0094378E" w:rsidP="004578D0">
            <w:pPr>
              <w:pStyle w:val="NoSpacing"/>
              <w:rPr>
                <w:color w:val="000000"/>
                <w:sz w:val="22"/>
                <w:szCs w:val="22"/>
              </w:rPr>
            </w:pPr>
            <w:r w:rsidRPr="00CC29C9">
              <w:rPr>
                <w:color w:val="000000"/>
                <w:sz w:val="22"/>
                <w:szCs w:val="22"/>
              </w:rPr>
              <w:t>1,422</w:t>
            </w:r>
          </w:p>
        </w:tc>
      </w:tr>
      <w:tr w:rsidR="00DA670C" w:rsidRPr="00CC29C9" w:rsidTr="003400A3">
        <w:tc>
          <w:tcPr>
            <w:tcW w:w="2088" w:type="dxa"/>
            <w:vAlign w:val="bottom"/>
          </w:tcPr>
          <w:p w:rsidR="00DA670C" w:rsidRPr="00CC29C9" w:rsidRDefault="00DA670C" w:rsidP="004578D0">
            <w:pPr>
              <w:pStyle w:val="NoSpacing"/>
              <w:rPr>
                <w:color w:val="000000"/>
                <w:sz w:val="22"/>
                <w:szCs w:val="22"/>
              </w:rPr>
            </w:pPr>
            <w:r w:rsidRPr="00CC29C9">
              <w:rPr>
                <w:color w:val="000000"/>
                <w:sz w:val="22"/>
                <w:szCs w:val="22"/>
              </w:rPr>
              <w:t>TOTAL</w:t>
            </w:r>
          </w:p>
        </w:tc>
        <w:tc>
          <w:tcPr>
            <w:tcW w:w="1296" w:type="dxa"/>
            <w:vAlign w:val="center"/>
          </w:tcPr>
          <w:p w:rsidR="00DA670C" w:rsidRPr="00CC29C9" w:rsidRDefault="00DA670C" w:rsidP="004578D0">
            <w:pPr>
              <w:pStyle w:val="NoSpacing"/>
              <w:rPr>
                <w:color w:val="000000"/>
                <w:sz w:val="22"/>
                <w:szCs w:val="22"/>
              </w:rPr>
            </w:pPr>
            <w:r w:rsidRPr="00CC29C9">
              <w:rPr>
                <w:color w:val="000000"/>
                <w:sz w:val="22"/>
                <w:szCs w:val="22"/>
              </w:rPr>
              <w:t>31,519</w:t>
            </w:r>
          </w:p>
        </w:tc>
        <w:tc>
          <w:tcPr>
            <w:tcW w:w="1692" w:type="dxa"/>
            <w:vAlign w:val="center"/>
          </w:tcPr>
          <w:p w:rsidR="00DA670C" w:rsidRPr="00CC29C9" w:rsidRDefault="00DA670C" w:rsidP="004578D0">
            <w:pPr>
              <w:pStyle w:val="NoSpacing"/>
              <w:rPr>
                <w:color w:val="000000"/>
                <w:sz w:val="22"/>
                <w:szCs w:val="22"/>
              </w:rPr>
            </w:pPr>
            <w:r w:rsidRPr="00CC29C9">
              <w:rPr>
                <w:color w:val="000000"/>
                <w:sz w:val="22"/>
                <w:szCs w:val="22"/>
              </w:rPr>
              <w:t>35,260</w:t>
            </w:r>
          </w:p>
        </w:tc>
        <w:tc>
          <w:tcPr>
            <w:tcW w:w="1692" w:type="dxa"/>
            <w:vAlign w:val="center"/>
          </w:tcPr>
          <w:p w:rsidR="00DA670C" w:rsidRPr="00CC29C9" w:rsidRDefault="00DA670C" w:rsidP="004578D0">
            <w:pPr>
              <w:pStyle w:val="NoSpacing"/>
              <w:rPr>
                <w:color w:val="000000"/>
                <w:sz w:val="22"/>
                <w:szCs w:val="22"/>
              </w:rPr>
            </w:pPr>
            <w:r w:rsidRPr="00CC29C9">
              <w:rPr>
                <w:color w:val="000000"/>
                <w:sz w:val="22"/>
                <w:szCs w:val="22"/>
              </w:rPr>
              <w:t>44,191</w:t>
            </w:r>
          </w:p>
        </w:tc>
        <w:tc>
          <w:tcPr>
            <w:tcW w:w="1692" w:type="dxa"/>
            <w:vAlign w:val="center"/>
          </w:tcPr>
          <w:p w:rsidR="00DA670C" w:rsidRPr="00CC29C9" w:rsidRDefault="00DA670C" w:rsidP="004578D0">
            <w:pPr>
              <w:pStyle w:val="NoSpacing"/>
              <w:rPr>
                <w:color w:val="000000"/>
                <w:sz w:val="22"/>
                <w:szCs w:val="22"/>
              </w:rPr>
            </w:pPr>
            <w:r w:rsidRPr="00CC29C9">
              <w:rPr>
                <w:color w:val="000000"/>
                <w:sz w:val="22"/>
                <w:szCs w:val="22"/>
              </w:rPr>
              <w:t>35,699</w:t>
            </w:r>
          </w:p>
        </w:tc>
        <w:tc>
          <w:tcPr>
            <w:tcW w:w="1692" w:type="dxa"/>
            <w:vAlign w:val="center"/>
          </w:tcPr>
          <w:p w:rsidR="00DA670C" w:rsidRPr="00CC29C9" w:rsidRDefault="00DA670C" w:rsidP="004578D0">
            <w:pPr>
              <w:pStyle w:val="NoSpacing"/>
              <w:rPr>
                <w:color w:val="000000"/>
                <w:sz w:val="22"/>
                <w:szCs w:val="22"/>
              </w:rPr>
            </w:pPr>
            <w:r w:rsidRPr="00CC29C9">
              <w:rPr>
                <w:color w:val="000000"/>
                <w:sz w:val="22"/>
                <w:szCs w:val="22"/>
              </w:rPr>
              <w:t>42,545</w:t>
            </w:r>
          </w:p>
        </w:tc>
      </w:tr>
    </w:tbl>
    <w:p w:rsidR="00021963" w:rsidRDefault="00021963" w:rsidP="0094378E"/>
    <w:p w:rsidR="000B4E82" w:rsidRDefault="000B4E82" w:rsidP="0094378E"/>
    <w:p w:rsidR="000B4E82" w:rsidRDefault="000B4E82" w:rsidP="0094378E"/>
    <w:p w:rsidR="0094378E" w:rsidRDefault="0094378E" w:rsidP="0094378E">
      <w:r w:rsidRPr="00BB5DC6">
        <w:t xml:space="preserve">The Library Instruction Program is a </w:t>
      </w:r>
      <w:r w:rsidR="00DA670C">
        <w:t>major</w:t>
      </w:r>
      <w:r w:rsidRPr="00BB5DC6">
        <w:t xml:space="preserve"> service element supported by all liaison librarians who represent all curricular departments at UM.</w:t>
      </w:r>
      <w:r>
        <w:rPr>
          <w:rFonts w:ascii="Geneva" w:hAnsi="Geneva"/>
        </w:rPr>
        <w:t xml:space="preserve"> </w:t>
      </w:r>
      <w:r>
        <w:t>The strategic integration of information literacy into the curriculum begins with first-year initiatives that serve as the basis for information literacy instruction in the disciplines at the junior and senior levels. At every opportunity, librarians seek to serve as research consultants and pedagogical guides and to facilitate the successful delivery of information literacy content by teaching faculty and teaching assistants in the disciplines.</w:t>
      </w:r>
    </w:p>
    <w:p w:rsidR="000B4E82" w:rsidRDefault="000B4E82" w:rsidP="0094378E"/>
    <w:p w:rsidR="0094378E" w:rsidRPr="006F0516" w:rsidRDefault="0094378E" w:rsidP="006F0516">
      <w:pPr>
        <w:rPr>
          <w:rFonts w:ascii="Geneva" w:hAnsi="Geneva"/>
        </w:rPr>
      </w:pPr>
      <w:r>
        <w:t xml:space="preserve">Data trends support the strong outreach efforts of the liaison librarians to integrate instruction into the curriculum. </w:t>
      </w:r>
      <w:r w:rsidRPr="005252B6">
        <w:t>Since FY2005, the total number of instruction sessions has increased 48.3% from 300 to 44</w:t>
      </w:r>
      <w:r>
        <w:t>2</w:t>
      </w:r>
      <w:r w:rsidRPr="005252B6">
        <w:t xml:space="preserve"> (</w:t>
      </w:r>
      <w:r>
        <w:t xml:space="preserve">Table </w:t>
      </w:r>
      <w:r w:rsidR="00DA670C">
        <w:t>5</w:t>
      </w:r>
      <w:r w:rsidRPr="005252B6">
        <w:t>). This total includes classes taug</w:t>
      </w:r>
      <w:r w:rsidR="006F0516">
        <w:t>ht by liaison librarians (71.5%</w:t>
      </w:r>
      <w:r w:rsidRPr="005252B6">
        <w:t xml:space="preserve">) and classes taught by ENEX 101, COMM 111, and Freshman Interest Group instructors (28.5%) who received collaborative program direction from the Undergraduate Services Librarian. </w:t>
      </w:r>
    </w:p>
    <w:p w:rsidR="000B4E82" w:rsidRDefault="000B4E82" w:rsidP="0094378E"/>
    <w:p w:rsidR="0094378E" w:rsidRPr="005252B6" w:rsidRDefault="0094378E" w:rsidP="0094378E">
      <w:r w:rsidRPr="005252B6">
        <w:t>The number of students receiving instruction in these classes increased 72.8% from 6,374 to 11,012 (</w:t>
      </w:r>
      <w:r>
        <w:t xml:space="preserve">Table </w:t>
      </w:r>
      <w:r w:rsidR="00DA670C">
        <w:t>5</w:t>
      </w:r>
      <w:r w:rsidRPr="005252B6">
        <w:t>).</w:t>
      </w:r>
      <w:r>
        <w:t xml:space="preserve"> </w:t>
      </w:r>
      <w:r w:rsidRPr="005252B6">
        <w:t xml:space="preserve"> </w:t>
      </w:r>
      <w:r>
        <w:t>Instruction outreach is detailed in Section II.</w:t>
      </w:r>
    </w:p>
    <w:p w:rsidR="00021963" w:rsidRDefault="00021963" w:rsidP="0094378E"/>
    <w:p w:rsidR="00021963" w:rsidRDefault="00021963" w:rsidP="0094378E"/>
    <w:p w:rsidR="006F0516" w:rsidRDefault="006F0516" w:rsidP="0094378E"/>
    <w:p w:rsidR="006F0516" w:rsidRDefault="006F0516" w:rsidP="0094378E"/>
    <w:p w:rsidR="006F0516" w:rsidRDefault="006F0516" w:rsidP="0094378E"/>
    <w:p w:rsidR="0094378E" w:rsidRDefault="0094378E" w:rsidP="0094378E">
      <w:r>
        <w:lastRenderedPageBreak/>
        <w:t xml:space="preserve">Table </w:t>
      </w:r>
      <w:r w:rsidR="00DA670C">
        <w:t>5</w:t>
      </w:r>
      <w:r>
        <w:t xml:space="preserve">.  Total number of instruction sessions and total number of students receiving </w:t>
      </w:r>
      <w:r w:rsidR="006F0516">
        <w:t>instruction during FY2005 to FY</w:t>
      </w:r>
      <w:r>
        <w:t>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1890"/>
        <w:gridCol w:w="2070"/>
        <w:gridCol w:w="1980"/>
        <w:gridCol w:w="1854"/>
      </w:tblGrid>
      <w:tr w:rsidR="0094378E" w:rsidRPr="00021963" w:rsidTr="00021963">
        <w:tc>
          <w:tcPr>
            <w:tcW w:w="2358" w:type="dxa"/>
          </w:tcPr>
          <w:p w:rsidR="0094378E" w:rsidRPr="00021963" w:rsidRDefault="00DA670C" w:rsidP="004578D0">
            <w:pPr>
              <w:pStyle w:val="NoSpacing"/>
              <w:rPr>
                <w:b/>
              </w:rPr>
            </w:pPr>
            <w:r w:rsidRPr="00021963">
              <w:rPr>
                <w:b/>
              </w:rPr>
              <w:t>Instruction</w:t>
            </w:r>
          </w:p>
        </w:tc>
        <w:tc>
          <w:tcPr>
            <w:tcW w:w="1890" w:type="dxa"/>
          </w:tcPr>
          <w:p w:rsidR="0094378E" w:rsidRPr="00021963" w:rsidRDefault="0094378E" w:rsidP="00021963">
            <w:pPr>
              <w:pStyle w:val="NoSpacing"/>
              <w:jc w:val="center"/>
              <w:rPr>
                <w:b/>
              </w:rPr>
            </w:pPr>
            <w:r w:rsidRPr="00021963">
              <w:rPr>
                <w:b/>
              </w:rPr>
              <w:t>2005</w:t>
            </w:r>
          </w:p>
        </w:tc>
        <w:tc>
          <w:tcPr>
            <w:tcW w:w="2070" w:type="dxa"/>
          </w:tcPr>
          <w:p w:rsidR="0094378E" w:rsidRPr="00021963" w:rsidRDefault="0094378E" w:rsidP="00021963">
            <w:pPr>
              <w:pStyle w:val="NoSpacing"/>
              <w:jc w:val="center"/>
              <w:rPr>
                <w:b/>
              </w:rPr>
            </w:pPr>
            <w:r w:rsidRPr="00021963">
              <w:rPr>
                <w:b/>
              </w:rPr>
              <w:t>2006</w:t>
            </w:r>
          </w:p>
        </w:tc>
        <w:tc>
          <w:tcPr>
            <w:tcW w:w="1980" w:type="dxa"/>
          </w:tcPr>
          <w:p w:rsidR="0094378E" w:rsidRPr="00021963" w:rsidRDefault="0094378E" w:rsidP="00021963">
            <w:pPr>
              <w:pStyle w:val="NoSpacing"/>
              <w:jc w:val="center"/>
              <w:rPr>
                <w:b/>
              </w:rPr>
            </w:pPr>
            <w:r w:rsidRPr="00021963">
              <w:rPr>
                <w:b/>
              </w:rPr>
              <w:t>2007</w:t>
            </w:r>
          </w:p>
        </w:tc>
        <w:tc>
          <w:tcPr>
            <w:tcW w:w="1854" w:type="dxa"/>
          </w:tcPr>
          <w:p w:rsidR="0094378E" w:rsidRPr="00021963" w:rsidRDefault="0094378E" w:rsidP="00021963">
            <w:pPr>
              <w:pStyle w:val="NoSpacing"/>
              <w:jc w:val="center"/>
              <w:rPr>
                <w:b/>
              </w:rPr>
            </w:pPr>
            <w:r w:rsidRPr="00021963">
              <w:rPr>
                <w:b/>
              </w:rPr>
              <w:t>2008</w:t>
            </w:r>
          </w:p>
        </w:tc>
      </w:tr>
      <w:tr w:rsidR="0094378E" w:rsidTr="00021963">
        <w:tc>
          <w:tcPr>
            <w:tcW w:w="2358" w:type="dxa"/>
          </w:tcPr>
          <w:p w:rsidR="0094378E" w:rsidRPr="00096550" w:rsidRDefault="0094378E" w:rsidP="004578D0">
            <w:pPr>
              <w:pStyle w:val="NoSpacing"/>
            </w:pPr>
            <w:r w:rsidRPr="00096550">
              <w:t>Instruction Sessions</w:t>
            </w:r>
          </w:p>
        </w:tc>
        <w:tc>
          <w:tcPr>
            <w:tcW w:w="1890" w:type="dxa"/>
            <w:vAlign w:val="center"/>
          </w:tcPr>
          <w:p w:rsidR="0094378E" w:rsidRPr="00096550" w:rsidRDefault="0094378E" w:rsidP="00021963">
            <w:pPr>
              <w:pStyle w:val="NoSpacing"/>
              <w:jc w:val="right"/>
            </w:pPr>
            <w:r w:rsidRPr="00096550">
              <w:t>300</w:t>
            </w:r>
          </w:p>
        </w:tc>
        <w:tc>
          <w:tcPr>
            <w:tcW w:w="2070" w:type="dxa"/>
            <w:vAlign w:val="center"/>
          </w:tcPr>
          <w:p w:rsidR="0094378E" w:rsidRPr="00096550" w:rsidRDefault="0094378E" w:rsidP="00021963">
            <w:pPr>
              <w:pStyle w:val="NoSpacing"/>
              <w:jc w:val="right"/>
            </w:pPr>
            <w:r w:rsidRPr="00096550">
              <w:t>342</w:t>
            </w:r>
          </w:p>
        </w:tc>
        <w:tc>
          <w:tcPr>
            <w:tcW w:w="1980" w:type="dxa"/>
            <w:vAlign w:val="center"/>
          </w:tcPr>
          <w:p w:rsidR="0094378E" w:rsidRPr="00096550" w:rsidRDefault="0094378E" w:rsidP="00021963">
            <w:pPr>
              <w:pStyle w:val="NoSpacing"/>
              <w:jc w:val="right"/>
            </w:pPr>
            <w:r w:rsidRPr="00096550">
              <w:t>425</w:t>
            </w:r>
          </w:p>
        </w:tc>
        <w:tc>
          <w:tcPr>
            <w:tcW w:w="1854" w:type="dxa"/>
            <w:vAlign w:val="center"/>
          </w:tcPr>
          <w:p w:rsidR="0094378E" w:rsidRPr="00096550" w:rsidRDefault="0094378E" w:rsidP="00021963">
            <w:pPr>
              <w:pStyle w:val="NoSpacing"/>
              <w:jc w:val="right"/>
            </w:pPr>
            <w:r w:rsidRPr="00096550">
              <w:t>442</w:t>
            </w:r>
          </w:p>
        </w:tc>
      </w:tr>
      <w:tr w:rsidR="0094378E" w:rsidTr="00021963">
        <w:tc>
          <w:tcPr>
            <w:tcW w:w="2358" w:type="dxa"/>
          </w:tcPr>
          <w:p w:rsidR="0094378E" w:rsidRPr="00096550" w:rsidRDefault="0094378E" w:rsidP="004578D0">
            <w:pPr>
              <w:pStyle w:val="NoSpacing"/>
            </w:pPr>
            <w:r w:rsidRPr="00096550">
              <w:t>Number of Students</w:t>
            </w:r>
          </w:p>
        </w:tc>
        <w:tc>
          <w:tcPr>
            <w:tcW w:w="1890" w:type="dxa"/>
            <w:vAlign w:val="center"/>
          </w:tcPr>
          <w:p w:rsidR="0094378E" w:rsidRPr="00096550" w:rsidRDefault="0094378E" w:rsidP="00021963">
            <w:pPr>
              <w:pStyle w:val="NoSpacing"/>
              <w:jc w:val="right"/>
            </w:pPr>
            <w:r w:rsidRPr="00096550">
              <w:t>6,374</w:t>
            </w:r>
          </w:p>
        </w:tc>
        <w:tc>
          <w:tcPr>
            <w:tcW w:w="2070" w:type="dxa"/>
            <w:vAlign w:val="center"/>
          </w:tcPr>
          <w:p w:rsidR="0094378E" w:rsidRPr="00096550" w:rsidRDefault="0094378E" w:rsidP="00021963">
            <w:pPr>
              <w:pStyle w:val="NoSpacing"/>
              <w:jc w:val="right"/>
            </w:pPr>
            <w:r w:rsidRPr="00096550">
              <w:t>8,107</w:t>
            </w:r>
          </w:p>
        </w:tc>
        <w:tc>
          <w:tcPr>
            <w:tcW w:w="1980" w:type="dxa"/>
            <w:vAlign w:val="center"/>
          </w:tcPr>
          <w:p w:rsidR="0094378E" w:rsidRPr="00096550" w:rsidRDefault="0094378E" w:rsidP="00021963">
            <w:pPr>
              <w:pStyle w:val="NoSpacing"/>
              <w:jc w:val="right"/>
            </w:pPr>
            <w:r w:rsidRPr="00096550">
              <w:t>9,784</w:t>
            </w:r>
          </w:p>
        </w:tc>
        <w:tc>
          <w:tcPr>
            <w:tcW w:w="1854" w:type="dxa"/>
            <w:vAlign w:val="center"/>
          </w:tcPr>
          <w:p w:rsidR="0094378E" w:rsidRPr="00096550" w:rsidRDefault="0094378E" w:rsidP="00021963">
            <w:pPr>
              <w:pStyle w:val="NoSpacing"/>
              <w:jc w:val="right"/>
            </w:pPr>
            <w:r w:rsidRPr="00096550">
              <w:t>11,012</w:t>
            </w:r>
          </w:p>
        </w:tc>
      </w:tr>
    </w:tbl>
    <w:p w:rsidR="00DA32BC" w:rsidRDefault="00DA32BC" w:rsidP="0094378E"/>
    <w:p w:rsidR="000B4E82" w:rsidRDefault="000B4E82" w:rsidP="0094378E"/>
    <w:p w:rsidR="000B4E82" w:rsidRDefault="0094378E" w:rsidP="0094378E">
      <w:r w:rsidRPr="001E11FB">
        <w:t xml:space="preserve">Math Tutoring and Writing Center </w:t>
      </w:r>
      <w:r w:rsidR="00DA670C">
        <w:t xml:space="preserve">services </w:t>
      </w:r>
      <w:r w:rsidRPr="001E11FB">
        <w:t>integrated their hours into the library beginning in FY 2007</w:t>
      </w:r>
      <w:r w:rsidR="00DA670C">
        <w:t xml:space="preserve"> (Table 6)</w:t>
      </w:r>
      <w:r w:rsidRPr="001E11FB">
        <w:t xml:space="preserve">. </w:t>
      </w:r>
      <w:r>
        <w:t xml:space="preserve">Number of students participating in Math Tutoring and the Writing Center sessions are on the rise. </w:t>
      </w:r>
      <w:r w:rsidRPr="001E11FB">
        <w:t>The library is also actively used during summer orientations with the Student</w:t>
      </w:r>
      <w:r w:rsidR="006F0516">
        <w:t xml:space="preserve"> </w:t>
      </w:r>
      <w:r w:rsidRPr="001E11FB">
        <w:t xml:space="preserve">Learning Center and Buckhous Room scheduled for Advocates to provide registration training and </w:t>
      </w:r>
      <w:r>
        <w:t xml:space="preserve">to </w:t>
      </w:r>
      <w:r w:rsidRPr="001E11FB">
        <w:t>also provide assistance during the registration period for new students.</w:t>
      </w:r>
      <w:r>
        <w:t xml:space="preserve"> </w:t>
      </w:r>
    </w:p>
    <w:p w:rsidR="006F0516" w:rsidRDefault="006F0516" w:rsidP="0094378E"/>
    <w:p w:rsidR="000B4E82" w:rsidRDefault="000B4E82" w:rsidP="0094378E"/>
    <w:p w:rsidR="0094378E" w:rsidRDefault="0094378E" w:rsidP="0094378E">
      <w:r w:rsidRPr="00362AA8">
        <w:t xml:space="preserve">Table </w:t>
      </w:r>
      <w:r w:rsidR="00DA670C">
        <w:t>6</w:t>
      </w:r>
      <w:r w:rsidRPr="00362AA8">
        <w:t>. Student participation in Math Tutoring and Writing Center sessions at the Mansfield Library during FY2008 to FY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3"/>
        <w:gridCol w:w="3376"/>
        <w:gridCol w:w="3383"/>
      </w:tblGrid>
      <w:tr w:rsidR="0094378E" w:rsidRPr="00021963" w:rsidTr="00CC29C9">
        <w:tc>
          <w:tcPr>
            <w:tcW w:w="3432" w:type="dxa"/>
          </w:tcPr>
          <w:p w:rsidR="0094378E" w:rsidRPr="00021963" w:rsidRDefault="0094378E" w:rsidP="00021963">
            <w:pPr>
              <w:pStyle w:val="NoSpacing"/>
              <w:rPr>
                <w:b/>
              </w:rPr>
            </w:pPr>
            <w:r w:rsidRPr="00021963">
              <w:rPr>
                <w:b/>
              </w:rPr>
              <w:t>Student Service</w:t>
            </w:r>
          </w:p>
        </w:tc>
        <w:tc>
          <w:tcPr>
            <w:tcW w:w="3432" w:type="dxa"/>
          </w:tcPr>
          <w:p w:rsidR="0094378E" w:rsidRPr="00021963" w:rsidRDefault="0094378E" w:rsidP="00021963">
            <w:pPr>
              <w:pStyle w:val="NoSpacing"/>
              <w:jc w:val="center"/>
              <w:rPr>
                <w:b/>
              </w:rPr>
            </w:pPr>
            <w:r w:rsidRPr="00021963">
              <w:rPr>
                <w:b/>
              </w:rPr>
              <w:t>2008</w:t>
            </w:r>
          </w:p>
        </w:tc>
        <w:tc>
          <w:tcPr>
            <w:tcW w:w="3432" w:type="dxa"/>
          </w:tcPr>
          <w:p w:rsidR="0094378E" w:rsidRPr="00021963" w:rsidRDefault="0094378E" w:rsidP="00021963">
            <w:pPr>
              <w:pStyle w:val="NoSpacing"/>
              <w:jc w:val="center"/>
              <w:rPr>
                <w:b/>
              </w:rPr>
            </w:pPr>
            <w:r w:rsidRPr="00021963">
              <w:rPr>
                <w:b/>
              </w:rPr>
              <w:t>2009</w:t>
            </w:r>
          </w:p>
        </w:tc>
      </w:tr>
      <w:tr w:rsidR="0094378E" w:rsidRPr="00DC6749" w:rsidTr="002E159A">
        <w:tc>
          <w:tcPr>
            <w:tcW w:w="3432" w:type="dxa"/>
          </w:tcPr>
          <w:p w:rsidR="0094378E" w:rsidRPr="00CC29C9" w:rsidRDefault="0094378E" w:rsidP="00021963">
            <w:pPr>
              <w:pStyle w:val="NoSpacing"/>
            </w:pPr>
            <w:r w:rsidRPr="00CC29C9">
              <w:t>Math Tutoring</w:t>
            </w:r>
          </w:p>
        </w:tc>
        <w:tc>
          <w:tcPr>
            <w:tcW w:w="3432" w:type="dxa"/>
            <w:vAlign w:val="center"/>
          </w:tcPr>
          <w:p w:rsidR="0094378E" w:rsidRPr="00CC29C9" w:rsidRDefault="0094378E" w:rsidP="00021963">
            <w:pPr>
              <w:pStyle w:val="NoSpacing"/>
              <w:jc w:val="right"/>
            </w:pPr>
            <w:r w:rsidRPr="00CC29C9">
              <w:t>2471</w:t>
            </w:r>
          </w:p>
        </w:tc>
        <w:tc>
          <w:tcPr>
            <w:tcW w:w="3432" w:type="dxa"/>
            <w:vAlign w:val="center"/>
          </w:tcPr>
          <w:p w:rsidR="0094378E" w:rsidRPr="00CC29C9" w:rsidRDefault="0094378E" w:rsidP="00021963">
            <w:pPr>
              <w:pStyle w:val="NoSpacing"/>
              <w:jc w:val="right"/>
            </w:pPr>
            <w:r w:rsidRPr="00CC29C9">
              <w:t xml:space="preserve">2369 (summer </w:t>
            </w:r>
            <w:r w:rsidR="00D361EE" w:rsidRPr="00CC29C9">
              <w:t xml:space="preserve">data </w:t>
            </w:r>
            <w:r w:rsidRPr="00CC29C9">
              <w:t>missing)</w:t>
            </w:r>
          </w:p>
        </w:tc>
      </w:tr>
      <w:tr w:rsidR="0094378E" w:rsidRPr="00DC6749" w:rsidTr="002E159A">
        <w:tc>
          <w:tcPr>
            <w:tcW w:w="3432" w:type="dxa"/>
          </w:tcPr>
          <w:p w:rsidR="0094378E" w:rsidRPr="00CC29C9" w:rsidRDefault="0094378E" w:rsidP="00021963">
            <w:pPr>
              <w:pStyle w:val="NoSpacing"/>
            </w:pPr>
            <w:r w:rsidRPr="00CC29C9">
              <w:t>Writing Center Consultations</w:t>
            </w:r>
          </w:p>
        </w:tc>
        <w:tc>
          <w:tcPr>
            <w:tcW w:w="3432" w:type="dxa"/>
            <w:vAlign w:val="center"/>
          </w:tcPr>
          <w:p w:rsidR="0094378E" w:rsidRPr="00CC29C9" w:rsidRDefault="0094378E" w:rsidP="00021963">
            <w:pPr>
              <w:pStyle w:val="NoSpacing"/>
              <w:jc w:val="right"/>
            </w:pPr>
            <w:r w:rsidRPr="00CC29C9">
              <w:t>718</w:t>
            </w:r>
          </w:p>
        </w:tc>
        <w:tc>
          <w:tcPr>
            <w:tcW w:w="3432" w:type="dxa"/>
            <w:vAlign w:val="center"/>
          </w:tcPr>
          <w:p w:rsidR="0094378E" w:rsidRPr="00CC29C9" w:rsidRDefault="0094378E" w:rsidP="00021963">
            <w:pPr>
              <w:pStyle w:val="NoSpacing"/>
              <w:jc w:val="right"/>
            </w:pPr>
            <w:r w:rsidRPr="00CC29C9">
              <w:t>1</w:t>
            </w:r>
            <w:r w:rsidR="006F0516">
              <w:t>,</w:t>
            </w:r>
            <w:r w:rsidRPr="00CC29C9">
              <w:t>096</w:t>
            </w:r>
          </w:p>
        </w:tc>
      </w:tr>
    </w:tbl>
    <w:p w:rsidR="0094378E" w:rsidRDefault="0094378E" w:rsidP="008C6A3C"/>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06788D" w:rsidRDefault="0006788D" w:rsidP="0094378E">
      <w:pPr>
        <w:rPr>
          <w:rFonts w:ascii="Geneva" w:hAnsi="Geneva"/>
          <w:b/>
        </w:rPr>
      </w:pPr>
    </w:p>
    <w:p w:rsidR="002E159A" w:rsidRDefault="002E159A" w:rsidP="0094378E">
      <w:pPr>
        <w:rPr>
          <w:b/>
        </w:rPr>
      </w:pPr>
    </w:p>
    <w:p w:rsidR="002E159A" w:rsidRDefault="002E159A" w:rsidP="0094378E">
      <w:pPr>
        <w:rPr>
          <w:b/>
        </w:rPr>
      </w:pPr>
    </w:p>
    <w:p w:rsidR="00021963" w:rsidRDefault="00021963" w:rsidP="0094378E">
      <w:pPr>
        <w:rPr>
          <w:b/>
        </w:rPr>
      </w:pPr>
    </w:p>
    <w:p w:rsidR="00021963" w:rsidRDefault="00021963" w:rsidP="0094378E">
      <w:pPr>
        <w:rPr>
          <w:b/>
        </w:rPr>
      </w:pPr>
    </w:p>
    <w:p w:rsidR="00021963" w:rsidRDefault="00021963" w:rsidP="0094378E">
      <w:pPr>
        <w:rPr>
          <w:b/>
        </w:rPr>
      </w:pPr>
    </w:p>
    <w:p w:rsidR="00021963" w:rsidRDefault="00021963" w:rsidP="0094378E">
      <w:pPr>
        <w:rPr>
          <w:b/>
        </w:rPr>
      </w:pPr>
    </w:p>
    <w:p w:rsidR="00021963" w:rsidRDefault="00021963" w:rsidP="0094378E">
      <w:pPr>
        <w:rPr>
          <w:b/>
        </w:rPr>
      </w:pPr>
    </w:p>
    <w:p w:rsidR="006F0516" w:rsidRDefault="006F0516" w:rsidP="0094378E">
      <w:pPr>
        <w:rPr>
          <w:b/>
        </w:rPr>
      </w:pPr>
    </w:p>
    <w:p w:rsidR="006F0516" w:rsidRDefault="006F0516" w:rsidP="0094378E">
      <w:pPr>
        <w:rPr>
          <w:b/>
        </w:rPr>
      </w:pPr>
    </w:p>
    <w:p w:rsidR="0094378E" w:rsidRPr="006224D9" w:rsidRDefault="00DA670C" w:rsidP="0094378E">
      <w:pPr>
        <w:rPr>
          <w:b/>
        </w:rPr>
      </w:pPr>
      <w:r w:rsidRPr="006224D9">
        <w:rPr>
          <w:b/>
        </w:rPr>
        <w:lastRenderedPageBreak/>
        <w:t>Web Site Usage</w:t>
      </w:r>
    </w:p>
    <w:p w:rsidR="00DA32BC" w:rsidRDefault="00DA32BC" w:rsidP="00D361EE"/>
    <w:p w:rsidR="00DA32BC" w:rsidRPr="008D4AD9" w:rsidRDefault="0094378E" w:rsidP="00DA32BC">
      <w:r w:rsidRPr="00D361EE">
        <w:t>Web site visits fluctuated during the past four fiscal years, incr</w:t>
      </w:r>
      <w:r w:rsidR="006F0516">
        <w:t>easing 18.1% from 283,429 in FY</w:t>
      </w:r>
      <w:r w:rsidRPr="00D361EE">
        <w:t>2004 to 334,715 in FY2008 (</w:t>
      </w:r>
      <w:r w:rsidR="00DA32BC">
        <w:t>Table</w:t>
      </w:r>
      <w:r w:rsidRPr="00D361EE">
        <w:t xml:space="preserve"> </w:t>
      </w:r>
      <w:r w:rsidR="00D361EE" w:rsidRPr="00D361EE">
        <w:t>7</w:t>
      </w:r>
      <w:r w:rsidRPr="00D361EE">
        <w:t xml:space="preserve">). Visits are </w:t>
      </w:r>
      <w:r w:rsidR="002E159A">
        <w:t xml:space="preserve">for </w:t>
      </w:r>
      <w:r w:rsidRPr="00D361EE">
        <w:t xml:space="preserve">the same IP requesting a page within a 30-minute time period. </w:t>
      </w:r>
      <w:r w:rsidR="00DA32BC" w:rsidRPr="008D4AD9">
        <w:t xml:space="preserve">The principle of this number is to provide </w:t>
      </w:r>
      <w:r w:rsidR="00DA32BC">
        <w:t>an estimate</w:t>
      </w:r>
      <w:r w:rsidR="00DA32BC" w:rsidRPr="008D4AD9">
        <w:t xml:space="preserve"> of the number of unique users to the site.  The drop in the usage from 2007 to 2008 could be the result of users spending more time on our site</w:t>
      </w:r>
      <w:r w:rsidR="00DA32BC">
        <w:t>, resulting in a lower</w:t>
      </w:r>
      <w:r w:rsidR="00DA32BC" w:rsidRPr="008D4AD9">
        <w:t xml:space="preserve"> turnover of IP’s and hence less “visitors</w:t>
      </w:r>
      <w:r w:rsidR="00DA32BC">
        <w:t>.</w:t>
      </w:r>
      <w:r w:rsidR="00DA32BC" w:rsidRPr="008D4AD9">
        <w:t>”  The data sets show that there were more pages requested in 2008 th</w:t>
      </w:r>
      <w:r w:rsidR="00DA32BC">
        <w:t xml:space="preserve">an in 2007, an indication that our </w:t>
      </w:r>
      <w:r w:rsidR="00DA32BC" w:rsidRPr="008D4AD9">
        <w:t>site use continued to climb</w:t>
      </w:r>
      <w:r w:rsidR="00DA32BC">
        <w:t xml:space="preserve"> but that </w:t>
      </w:r>
      <w:r w:rsidR="00DA32BC" w:rsidRPr="008D4AD9">
        <w:t xml:space="preserve">each user looked </w:t>
      </w:r>
      <w:r w:rsidR="00DA32BC">
        <w:t>at</w:t>
      </w:r>
      <w:r w:rsidR="00DA32BC" w:rsidRPr="008D4AD9">
        <w:t xml:space="preserve"> more information on the site.  The drop in website visits from 2004 to 2005 coincides with a major website redesign, which could also have led to longer site use times for our users.</w:t>
      </w:r>
    </w:p>
    <w:p w:rsidR="000B4E82" w:rsidRDefault="000B4E82" w:rsidP="00DA32BC"/>
    <w:p w:rsidR="00DA32BC" w:rsidRPr="005760A6" w:rsidRDefault="00DA32BC" w:rsidP="00DA32BC">
      <w:r w:rsidRPr="0004167A">
        <w:t xml:space="preserve">A </w:t>
      </w:r>
      <w:r>
        <w:t>noticeable</w:t>
      </w:r>
      <w:r w:rsidRPr="0004167A">
        <w:t xml:space="preserve"> increase of 44.8% occurred in the number of links to electronic databases from 262,083 in FY2004 to 379,449 in FY2007 (</w:t>
      </w:r>
      <w:r>
        <w:t>Table 7</w:t>
      </w:r>
      <w:r w:rsidRPr="0004167A">
        <w:t xml:space="preserve">). Web site hits are a single link to a specific database. </w:t>
      </w:r>
      <w:r w:rsidRPr="005760A6">
        <w:t xml:space="preserve">In FY2008, a federated search feature was introduced to the website. Database usage from FY2008 was compiled from vendor statistics that represented the </w:t>
      </w:r>
      <w:r>
        <w:t xml:space="preserve">same </w:t>
      </w:r>
      <w:r w:rsidRPr="005760A6">
        <w:t xml:space="preserve">single link to a specific database. As predicted, database usage increased dramatically </w:t>
      </w:r>
      <w:r>
        <w:t>after the implementation of the federated search feature</w:t>
      </w:r>
      <w:r w:rsidRPr="005760A6">
        <w:t xml:space="preserve"> to 4,214,090, an increase of 90.9%. This huge in</w:t>
      </w:r>
      <w:r>
        <w:t xml:space="preserve">crease must be viewed with </w:t>
      </w:r>
      <w:r w:rsidRPr="005760A6">
        <w:t>caution since the data gathering was not from the same source</w:t>
      </w:r>
      <w:r>
        <w:t>,</w:t>
      </w:r>
      <w:r w:rsidRPr="005760A6">
        <w:t xml:space="preserve"> but </w:t>
      </w:r>
      <w:r>
        <w:t xml:space="preserve">it </w:t>
      </w:r>
      <w:r w:rsidRPr="005760A6">
        <w:t xml:space="preserve">does </w:t>
      </w:r>
      <w:r>
        <w:t xml:space="preserve">serve to </w:t>
      </w:r>
      <w:r w:rsidRPr="005760A6">
        <w:t xml:space="preserve">indicate the </w:t>
      </w:r>
      <w:r>
        <w:t>impact</w:t>
      </w:r>
      <w:r w:rsidRPr="005760A6">
        <w:t xml:space="preserve"> of federated searching </w:t>
      </w:r>
      <w:r>
        <w:t>on database usage</w:t>
      </w:r>
      <w:r w:rsidRPr="005760A6">
        <w:t>.</w:t>
      </w:r>
      <w:r>
        <w:t xml:space="preserve"> </w:t>
      </w:r>
      <w:r w:rsidR="00021963">
        <w:t>FY2009 data collected consistently with FY2008 data will better reflect database usage p</w:t>
      </w:r>
      <w:r w:rsidR="005B4888">
        <w:t>atterns within the federated search feature.</w:t>
      </w:r>
    </w:p>
    <w:p w:rsidR="0094378E" w:rsidRPr="00D361EE" w:rsidRDefault="0094378E" w:rsidP="0094378E"/>
    <w:p w:rsidR="00D361EE" w:rsidRPr="00D361EE" w:rsidRDefault="00D361EE" w:rsidP="0094378E">
      <w:r w:rsidRPr="00D361EE">
        <w:t>Table 7. Web site visits and database usage during FY2004 to FY2008.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9"/>
        <w:gridCol w:w="1350"/>
        <w:gridCol w:w="1350"/>
        <w:gridCol w:w="1350"/>
        <w:gridCol w:w="1350"/>
        <w:gridCol w:w="1543"/>
      </w:tblGrid>
      <w:tr w:rsidR="00D361EE" w:rsidRPr="005B4888" w:rsidTr="00CC29C9">
        <w:trPr>
          <w:trHeight w:val="300"/>
        </w:trPr>
        <w:tc>
          <w:tcPr>
            <w:tcW w:w="1580" w:type="pct"/>
            <w:noWrap/>
            <w:hideMark/>
          </w:tcPr>
          <w:p w:rsidR="00D361EE" w:rsidRPr="005B4888" w:rsidRDefault="00D361EE" w:rsidP="00CC29C9">
            <w:pPr>
              <w:rPr>
                <w:rFonts w:ascii="Calibri" w:eastAsia="Times New Roman" w:hAnsi="Calibri"/>
                <w:b/>
                <w:color w:val="000000"/>
                <w:sz w:val="22"/>
                <w:szCs w:val="22"/>
              </w:rPr>
            </w:pPr>
            <w:r w:rsidRPr="005B4888">
              <w:rPr>
                <w:rFonts w:ascii="Calibri" w:eastAsia="Times New Roman" w:hAnsi="Calibri"/>
                <w:b/>
                <w:color w:val="000000"/>
                <w:sz w:val="22"/>
                <w:szCs w:val="22"/>
              </w:rPr>
              <w:t>Electronic Access</w:t>
            </w:r>
          </w:p>
        </w:tc>
        <w:tc>
          <w:tcPr>
            <w:tcW w:w="665" w:type="pct"/>
            <w:noWrap/>
            <w:hideMark/>
          </w:tcPr>
          <w:p w:rsidR="00D361EE" w:rsidRPr="005B4888" w:rsidRDefault="00D361EE" w:rsidP="005B4888">
            <w:pPr>
              <w:jc w:val="center"/>
              <w:rPr>
                <w:rFonts w:ascii="Calibri" w:eastAsia="Times New Roman" w:hAnsi="Calibri"/>
                <w:b/>
                <w:color w:val="000000"/>
                <w:sz w:val="22"/>
                <w:szCs w:val="22"/>
              </w:rPr>
            </w:pPr>
            <w:r w:rsidRPr="005B4888">
              <w:rPr>
                <w:rFonts w:ascii="Calibri" w:eastAsia="Times New Roman" w:hAnsi="Calibri"/>
                <w:b/>
                <w:color w:val="000000"/>
                <w:sz w:val="22"/>
                <w:szCs w:val="22"/>
              </w:rPr>
              <w:t>2004</w:t>
            </w:r>
          </w:p>
        </w:tc>
        <w:tc>
          <w:tcPr>
            <w:tcW w:w="665" w:type="pct"/>
            <w:noWrap/>
            <w:hideMark/>
          </w:tcPr>
          <w:p w:rsidR="00D361EE" w:rsidRPr="005B4888" w:rsidRDefault="00D361EE" w:rsidP="005B4888">
            <w:pPr>
              <w:jc w:val="center"/>
              <w:rPr>
                <w:rFonts w:ascii="Calibri" w:eastAsia="Times New Roman" w:hAnsi="Calibri"/>
                <w:b/>
                <w:color w:val="000000"/>
                <w:sz w:val="22"/>
                <w:szCs w:val="22"/>
              </w:rPr>
            </w:pPr>
            <w:r w:rsidRPr="005B4888">
              <w:rPr>
                <w:rFonts w:ascii="Calibri" w:eastAsia="Times New Roman" w:hAnsi="Calibri"/>
                <w:b/>
                <w:color w:val="000000"/>
                <w:sz w:val="22"/>
                <w:szCs w:val="22"/>
              </w:rPr>
              <w:t>2005</w:t>
            </w:r>
          </w:p>
        </w:tc>
        <w:tc>
          <w:tcPr>
            <w:tcW w:w="665" w:type="pct"/>
            <w:noWrap/>
            <w:hideMark/>
          </w:tcPr>
          <w:p w:rsidR="00D361EE" w:rsidRPr="005B4888" w:rsidRDefault="00D361EE" w:rsidP="005B4888">
            <w:pPr>
              <w:jc w:val="center"/>
              <w:rPr>
                <w:rFonts w:ascii="Calibri" w:eastAsia="Times New Roman" w:hAnsi="Calibri"/>
                <w:b/>
                <w:color w:val="000000"/>
                <w:sz w:val="22"/>
                <w:szCs w:val="22"/>
              </w:rPr>
            </w:pPr>
            <w:r w:rsidRPr="005B4888">
              <w:rPr>
                <w:rFonts w:ascii="Calibri" w:eastAsia="Times New Roman" w:hAnsi="Calibri"/>
                <w:b/>
                <w:color w:val="000000"/>
                <w:sz w:val="22"/>
                <w:szCs w:val="22"/>
              </w:rPr>
              <w:t>2006</w:t>
            </w:r>
          </w:p>
        </w:tc>
        <w:tc>
          <w:tcPr>
            <w:tcW w:w="665" w:type="pct"/>
            <w:noWrap/>
            <w:hideMark/>
          </w:tcPr>
          <w:p w:rsidR="00D361EE" w:rsidRPr="005B4888" w:rsidRDefault="00D361EE" w:rsidP="005B4888">
            <w:pPr>
              <w:jc w:val="center"/>
              <w:rPr>
                <w:rFonts w:ascii="Calibri" w:eastAsia="Times New Roman" w:hAnsi="Calibri"/>
                <w:b/>
                <w:color w:val="000000"/>
                <w:sz w:val="22"/>
                <w:szCs w:val="22"/>
              </w:rPr>
            </w:pPr>
            <w:r w:rsidRPr="005B4888">
              <w:rPr>
                <w:rFonts w:ascii="Calibri" w:eastAsia="Times New Roman" w:hAnsi="Calibri"/>
                <w:b/>
                <w:color w:val="000000"/>
                <w:sz w:val="22"/>
                <w:szCs w:val="22"/>
              </w:rPr>
              <w:t>2007</w:t>
            </w:r>
          </w:p>
        </w:tc>
        <w:tc>
          <w:tcPr>
            <w:tcW w:w="760" w:type="pct"/>
            <w:noWrap/>
            <w:hideMark/>
          </w:tcPr>
          <w:p w:rsidR="00D361EE" w:rsidRPr="005B4888" w:rsidRDefault="00D361EE" w:rsidP="005B4888">
            <w:pPr>
              <w:jc w:val="center"/>
              <w:rPr>
                <w:rFonts w:ascii="Calibri" w:eastAsia="Times New Roman" w:hAnsi="Calibri"/>
                <w:b/>
                <w:color w:val="000000"/>
                <w:sz w:val="22"/>
                <w:szCs w:val="22"/>
              </w:rPr>
            </w:pPr>
            <w:r w:rsidRPr="005B4888">
              <w:rPr>
                <w:rFonts w:ascii="Calibri" w:eastAsia="Times New Roman" w:hAnsi="Calibri"/>
                <w:b/>
                <w:color w:val="000000"/>
                <w:sz w:val="22"/>
                <w:szCs w:val="22"/>
              </w:rPr>
              <w:t>2008</w:t>
            </w:r>
          </w:p>
        </w:tc>
      </w:tr>
      <w:tr w:rsidR="00D361EE" w:rsidRPr="00CC29C9" w:rsidTr="00CC29C9">
        <w:trPr>
          <w:trHeight w:val="300"/>
        </w:trPr>
        <w:tc>
          <w:tcPr>
            <w:tcW w:w="1580" w:type="pct"/>
            <w:noWrap/>
            <w:hideMark/>
          </w:tcPr>
          <w:p w:rsidR="00D361EE" w:rsidRPr="00CC29C9" w:rsidRDefault="00D361EE" w:rsidP="00CC29C9">
            <w:pPr>
              <w:rPr>
                <w:rFonts w:ascii="Calibri" w:eastAsia="Times New Roman" w:hAnsi="Calibri"/>
                <w:color w:val="000000"/>
                <w:sz w:val="22"/>
                <w:szCs w:val="22"/>
              </w:rPr>
            </w:pPr>
            <w:r w:rsidRPr="00CC29C9">
              <w:rPr>
                <w:rFonts w:ascii="Calibri" w:eastAsia="Times New Roman" w:hAnsi="Calibri"/>
                <w:color w:val="000000"/>
                <w:sz w:val="22"/>
                <w:szCs w:val="22"/>
              </w:rPr>
              <w:t>Web Visits</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283,419</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234,964</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308,008</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359,653</w:t>
            </w:r>
          </w:p>
        </w:tc>
        <w:tc>
          <w:tcPr>
            <w:tcW w:w="760" w:type="pct"/>
            <w:hideMark/>
          </w:tcPr>
          <w:p w:rsidR="00D361EE" w:rsidRPr="00CC29C9" w:rsidRDefault="00D361EE" w:rsidP="00CC29C9">
            <w:pPr>
              <w:jc w:val="right"/>
              <w:rPr>
                <w:rFonts w:ascii="Calibri" w:eastAsia="Times New Roman" w:hAnsi="Calibri"/>
                <w:sz w:val="22"/>
                <w:szCs w:val="22"/>
              </w:rPr>
            </w:pPr>
            <w:r w:rsidRPr="00CC29C9">
              <w:rPr>
                <w:rFonts w:ascii="Calibri" w:eastAsia="Times New Roman" w:hAnsi="Calibri"/>
                <w:sz w:val="22"/>
                <w:szCs w:val="22"/>
              </w:rPr>
              <w:t>334,715</w:t>
            </w:r>
          </w:p>
        </w:tc>
      </w:tr>
      <w:tr w:rsidR="00D361EE" w:rsidRPr="00CC29C9" w:rsidTr="00CC29C9">
        <w:trPr>
          <w:trHeight w:val="345"/>
        </w:trPr>
        <w:tc>
          <w:tcPr>
            <w:tcW w:w="1580" w:type="pct"/>
            <w:noWrap/>
            <w:hideMark/>
          </w:tcPr>
          <w:p w:rsidR="00D361EE" w:rsidRPr="00CC29C9" w:rsidRDefault="00D361EE" w:rsidP="00CC29C9">
            <w:pPr>
              <w:rPr>
                <w:rFonts w:ascii="Calibri" w:eastAsia="Times New Roman" w:hAnsi="Calibri"/>
                <w:color w:val="000000"/>
                <w:sz w:val="22"/>
                <w:szCs w:val="22"/>
              </w:rPr>
            </w:pPr>
            <w:r w:rsidRPr="00CC29C9">
              <w:rPr>
                <w:rFonts w:ascii="Calibri" w:eastAsia="Times New Roman" w:hAnsi="Calibri"/>
                <w:color w:val="000000"/>
                <w:sz w:val="22"/>
                <w:szCs w:val="22"/>
              </w:rPr>
              <w:t>Web Database Hits</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262,083</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349,529</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379,741</w:t>
            </w:r>
          </w:p>
        </w:tc>
        <w:tc>
          <w:tcPr>
            <w:tcW w:w="665" w:type="pct"/>
            <w:noWrap/>
            <w:hideMark/>
          </w:tcPr>
          <w:p w:rsidR="00D361EE" w:rsidRPr="00CC29C9" w:rsidRDefault="00D361EE" w:rsidP="00CC29C9">
            <w:pPr>
              <w:jc w:val="right"/>
              <w:rPr>
                <w:rFonts w:ascii="Calibri" w:eastAsia="Times New Roman" w:hAnsi="Calibri"/>
                <w:color w:val="000000"/>
                <w:sz w:val="22"/>
                <w:szCs w:val="22"/>
              </w:rPr>
            </w:pPr>
            <w:r w:rsidRPr="00CC29C9">
              <w:rPr>
                <w:rFonts w:ascii="Calibri" w:eastAsia="Times New Roman" w:hAnsi="Calibri"/>
                <w:color w:val="000000"/>
                <w:sz w:val="22"/>
                <w:szCs w:val="22"/>
              </w:rPr>
              <w:t>379,449</w:t>
            </w:r>
          </w:p>
        </w:tc>
        <w:tc>
          <w:tcPr>
            <w:tcW w:w="760" w:type="pct"/>
            <w:noWrap/>
            <w:hideMark/>
          </w:tcPr>
          <w:p w:rsidR="00D361EE" w:rsidRPr="00CC29C9" w:rsidRDefault="00D361EE" w:rsidP="00CC29C9">
            <w:pPr>
              <w:jc w:val="right"/>
              <w:rPr>
                <w:rFonts w:eastAsia="Times New Roman"/>
                <w:color w:val="000000"/>
                <w:sz w:val="22"/>
                <w:szCs w:val="22"/>
              </w:rPr>
            </w:pPr>
            <w:r w:rsidRPr="00CC29C9">
              <w:rPr>
                <w:rFonts w:eastAsia="Times New Roman"/>
                <w:color w:val="000000"/>
                <w:sz w:val="22"/>
                <w:szCs w:val="22"/>
              </w:rPr>
              <w:t>4,214,090</w:t>
            </w:r>
          </w:p>
        </w:tc>
      </w:tr>
    </w:tbl>
    <w:p w:rsidR="00D361EE" w:rsidRPr="00526024" w:rsidRDefault="00D361EE" w:rsidP="0094378E">
      <w:pPr>
        <w:rPr>
          <w:rFonts w:ascii="Geneva" w:hAnsi="Geneva"/>
        </w:rPr>
      </w:pPr>
    </w:p>
    <w:p w:rsidR="00DA32BC" w:rsidRDefault="00DA32BC" w:rsidP="00DA32BC">
      <w:pPr>
        <w:rPr>
          <w:noProof/>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6224D9" w:rsidRDefault="006224D9"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0B4E82" w:rsidRDefault="000B4E82" w:rsidP="008C6A3C">
      <w:pPr>
        <w:rPr>
          <w:b/>
        </w:rPr>
      </w:pPr>
    </w:p>
    <w:p w:rsidR="00DA32BC" w:rsidRDefault="0094378E" w:rsidP="008C6A3C">
      <w:pPr>
        <w:rPr>
          <w:b/>
        </w:rPr>
      </w:pPr>
      <w:r w:rsidRPr="00DA32BC">
        <w:rPr>
          <w:b/>
        </w:rPr>
        <w:lastRenderedPageBreak/>
        <w:t>Building Use</w:t>
      </w:r>
    </w:p>
    <w:p w:rsidR="000B4E82" w:rsidRDefault="000B4E82" w:rsidP="008C6A3C"/>
    <w:p w:rsidR="008C6A3C" w:rsidRDefault="008C6A3C" w:rsidP="008C6A3C">
      <w:r w:rsidRPr="008A0156">
        <w:t xml:space="preserve">Since FY2005, overall use of the Student Learning Center (MLIB 283), the Buckhous Room (MLIB 282), and the Poetry Corner for all uses including instruction increased </w:t>
      </w:r>
      <w:r>
        <w:t>43</w:t>
      </w:r>
      <w:r w:rsidRPr="008A0156">
        <w:t xml:space="preserve">.2% from 729 uses to </w:t>
      </w:r>
      <w:r>
        <w:t>1,283</w:t>
      </w:r>
      <w:r w:rsidRPr="008A0156">
        <w:t xml:space="preserve"> u</w:t>
      </w:r>
      <w:r>
        <w:t>ses</w:t>
      </w:r>
      <w:r w:rsidRPr="008A0156">
        <w:t>; and the number of participants increased 63.7% from 10,711 to 17,430 (</w:t>
      </w:r>
      <w:r>
        <w:t xml:space="preserve">Table </w:t>
      </w:r>
      <w:r w:rsidR="00DA32BC">
        <w:t>8</w:t>
      </w:r>
      <w:r w:rsidRPr="008A0156">
        <w:t>).</w:t>
      </w:r>
      <w:r>
        <w:t xml:space="preserve"> In addition to classes scheduled by librarians, students and faculty have begun to identify </w:t>
      </w:r>
      <w:r w:rsidR="00B07E54">
        <w:t xml:space="preserve">and use </w:t>
      </w:r>
      <w:r>
        <w:t>locations in the library for a variety of activities, including meetings, readings, conferences, and group work.</w:t>
      </w:r>
    </w:p>
    <w:p w:rsidR="000B4E82" w:rsidRDefault="000B4E82" w:rsidP="008C6A3C"/>
    <w:p w:rsidR="008C6A3C" w:rsidRPr="00DA32BC" w:rsidRDefault="00DA32BC" w:rsidP="008C6A3C">
      <w:pPr>
        <w:rPr>
          <w:b/>
        </w:rPr>
      </w:pPr>
      <w:r w:rsidRPr="00FE4547">
        <w:t xml:space="preserve">Beginning in fall semester 2007, students were given the opportunity to schedule group study rooms up to two weeks in advance for planned study activities. This has proven to be a popular service, </w:t>
      </w:r>
      <w:r>
        <w:t>with over 1</w:t>
      </w:r>
      <w:r w:rsidR="002E159A">
        <w:t>3</w:t>
      </w:r>
      <w:r>
        <w:t>,00</w:t>
      </w:r>
      <w:r w:rsidR="00B07E54">
        <w:t>0 reservations placed during FY</w:t>
      </w:r>
      <w:r>
        <w:t>200</w:t>
      </w:r>
      <w:r w:rsidR="002E159A">
        <w:t>8</w:t>
      </w:r>
      <w:r>
        <w:t xml:space="preserve"> (Table 8).</w:t>
      </w:r>
    </w:p>
    <w:p w:rsidR="000B4E82" w:rsidRDefault="000B4E82" w:rsidP="008C6A3C"/>
    <w:p w:rsidR="008C6A3C" w:rsidRDefault="008C6A3C" w:rsidP="008C6A3C">
      <w:r>
        <w:t xml:space="preserve">Table </w:t>
      </w:r>
      <w:r w:rsidR="00DA32BC">
        <w:t>8</w:t>
      </w:r>
      <w:r>
        <w:t xml:space="preserve">. Use of library conference and classroom </w:t>
      </w:r>
      <w:r w:rsidR="00B07E54">
        <w:t>for all uses during FY2005 to FY</w:t>
      </w:r>
      <w:r>
        <w:t>2008</w:t>
      </w:r>
      <w:r w:rsidR="00DA32BC">
        <w:t xml:space="preserve"> and reservations of Group Study Rooms from FY2007-FY2008</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2028"/>
        <w:gridCol w:w="2028"/>
        <w:gridCol w:w="2028"/>
        <w:gridCol w:w="2029"/>
      </w:tblGrid>
      <w:tr w:rsidR="008C6A3C" w:rsidRPr="005B4888" w:rsidTr="002D0AE6">
        <w:tc>
          <w:tcPr>
            <w:tcW w:w="2059" w:type="dxa"/>
          </w:tcPr>
          <w:p w:rsidR="008C6A3C" w:rsidRPr="005B4888" w:rsidRDefault="008C6A3C" w:rsidP="005B4888">
            <w:pPr>
              <w:pStyle w:val="NoSpacing"/>
              <w:rPr>
                <w:b/>
              </w:rPr>
            </w:pPr>
            <w:r w:rsidRPr="005B4888">
              <w:rPr>
                <w:b/>
              </w:rPr>
              <w:t>Room Use</w:t>
            </w:r>
          </w:p>
        </w:tc>
        <w:tc>
          <w:tcPr>
            <w:tcW w:w="2059" w:type="dxa"/>
          </w:tcPr>
          <w:p w:rsidR="008C6A3C" w:rsidRPr="005B4888" w:rsidRDefault="008C6A3C" w:rsidP="005B4888">
            <w:pPr>
              <w:pStyle w:val="NoSpacing"/>
              <w:jc w:val="center"/>
              <w:rPr>
                <w:b/>
              </w:rPr>
            </w:pPr>
            <w:r w:rsidRPr="005B4888">
              <w:rPr>
                <w:b/>
              </w:rPr>
              <w:t>2005</w:t>
            </w:r>
          </w:p>
        </w:tc>
        <w:tc>
          <w:tcPr>
            <w:tcW w:w="2059" w:type="dxa"/>
          </w:tcPr>
          <w:p w:rsidR="008C6A3C" w:rsidRPr="005B4888" w:rsidRDefault="008C6A3C" w:rsidP="005B4888">
            <w:pPr>
              <w:pStyle w:val="NoSpacing"/>
              <w:jc w:val="center"/>
              <w:rPr>
                <w:b/>
              </w:rPr>
            </w:pPr>
            <w:r w:rsidRPr="005B4888">
              <w:rPr>
                <w:b/>
              </w:rPr>
              <w:t>2006</w:t>
            </w:r>
          </w:p>
        </w:tc>
        <w:tc>
          <w:tcPr>
            <w:tcW w:w="2059" w:type="dxa"/>
          </w:tcPr>
          <w:p w:rsidR="008C6A3C" w:rsidRPr="005B4888" w:rsidRDefault="008C6A3C" w:rsidP="005B4888">
            <w:pPr>
              <w:pStyle w:val="NoSpacing"/>
              <w:jc w:val="center"/>
              <w:rPr>
                <w:b/>
              </w:rPr>
            </w:pPr>
            <w:r w:rsidRPr="005B4888">
              <w:rPr>
                <w:b/>
              </w:rPr>
              <w:t>2007</w:t>
            </w:r>
          </w:p>
        </w:tc>
        <w:tc>
          <w:tcPr>
            <w:tcW w:w="2060" w:type="dxa"/>
          </w:tcPr>
          <w:p w:rsidR="008C6A3C" w:rsidRPr="005B4888" w:rsidRDefault="008C6A3C" w:rsidP="005B4888">
            <w:pPr>
              <w:pStyle w:val="NoSpacing"/>
              <w:jc w:val="center"/>
              <w:rPr>
                <w:b/>
              </w:rPr>
            </w:pPr>
            <w:r w:rsidRPr="005B4888">
              <w:rPr>
                <w:b/>
              </w:rPr>
              <w:t>2008</w:t>
            </w:r>
          </w:p>
        </w:tc>
      </w:tr>
      <w:tr w:rsidR="008C6A3C" w:rsidTr="002E159A">
        <w:tc>
          <w:tcPr>
            <w:tcW w:w="2059" w:type="dxa"/>
          </w:tcPr>
          <w:p w:rsidR="008C6A3C" w:rsidRPr="00096550" w:rsidRDefault="008C6A3C" w:rsidP="005B4888">
            <w:pPr>
              <w:pStyle w:val="NoSpacing"/>
            </w:pPr>
            <w:r w:rsidRPr="00096550">
              <w:t>Sessions</w:t>
            </w:r>
          </w:p>
        </w:tc>
        <w:tc>
          <w:tcPr>
            <w:tcW w:w="2059" w:type="dxa"/>
            <w:vAlign w:val="center"/>
          </w:tcPr>
          <w:p w:rsidR="008C6A3C" w:rsidRPr="00096550" w:rsidRDefault="008C6A3C" w:rsidP="005B4888">
            <w:pPr>
              <w:pStyle w:val="NoSpacing"/>
              <w:jc w:val="right"/>
            </w:pPr>
            <w:r w:rsidRPr="00096550">
              <w:t>729</w:t>
            </w:r>
          </w:p>
        </w:tc>
        <w:tc>
          <w:tcPr>
            <w:tcW w:w="2059" w:type="dxa"/>
            <w:vAlign w:val="center"/>
          </w:tcPr>
          <w:p w:rsidR="008C6A3C" w:rsidRPr="00096550" w:rsidRDefault="008C6A3C" w:rsidP="005B4888">
            <w:pPr>
              <w:pStyle w:val="NoSpacing"/>
              <w:jc w:val="right"/>
            </w:pPr>
            <w:r w:rsidRPr="00096550">
              <w:t>762</w:t>
            </w:r>
          </w:p>
        </w:tc>
        <w:tc>
          <w:tcPr>
            <w:tcW w:w="2059" w:type="dxa"/>
            <w:vAlign w:val="center"/>
          </w:tcPr>
          <w:p w:rsidR="008C6A3C" w:rsidRPr="00096550" w:rsidRDefault="008C6A3C" w:rsidP="005B4888">
            <w:pPr>
              <w:pStyle w:val="NoSpacing"/>
              <w:jc w:val="right"/>
            </w:pPr>
            <w:r>
              <w:t>822</w:t>
            </w:r>
          </w:p>
        </w:tc>
        <w:tc>
          <w:tcPr>
            <w:tcW w:w="2060" w:type="dxa"/>
            <w:vAlign w:val="center"/>
          </w:tcPr>
          <w:p w:rsidR="008C6A3C" w:rsidRPr="00096550" w:rsidRDefault="008C6A3C" w:rsidP="005B4888">
            <w:pPr>
              <w:pStyle w:val="NoSpacing"/>
              <w:jc w:val="right"/>
            </w:pPr>
            <w:r>
              <w:t>1,283</w:t>
            </w:r>
          </w:p>
        </w:tc>
      </w:tr>
      <w:tr w:rsidR="008C6A3C" w:rsidTr="002E159A">
        <w:tc>
          <w:tcPr>
            <w:tcW w:w="2059" w:type="dxa"/>
          </w:tcPr>
          <w:p w:rsidR="008C6A3C" w:rsidRPr="00096550" w:rsidRDefault="008C6A3C" w:rsidP="005B4888">
            <w:pPr>
              <w:pStyle w:val="NoSpacing"/>
            </w:pPr>
            <w:r w:rsidRPr="00096550">
              <w:t>Attendance</w:t>
            </w:r>
          </w:p>
        </w:tc>
        <w:tc>
          <w:tcPr>
            <w:tcW w:w="2059" w:type="dxa"/>
            <w:vAlign w:val="center"/>
          </w:tcPr>
          <w:p w:rsidR="008C6A3C" w:rsidRPr="00096550" w:rsidRDefault="008C6A3C" w:rsidP="005B4888">
            <w:pPr>
              <w:pStyle w:val="NoSpacing"/>
              <w:jc w:val="right"/>
            </w:pPr>
            <w:r w:rsidRPr="00096550">
              <w:t>10,771</w:t>
            </w:r>
          </w:p>
        </w:tc>
        <w:tc>
          <w:tcPr>
            <w:tcW w:w="2059" w:type="dxa"/>
            <w:vAlign w:val="center"/>
          </w:tcPr>
          <w:p w:rsidR="008C6A3C" w:rsidRPr="00096550" w:rsidRDefault="008C6A3C" w:rsidP="005B4888">
            <w:pPr>
              <w:pStyle w:val="NoSpacing"/>
              <w:jc w:val="right"/>
            </w:pPr>
            <w:r w:rsidRPr="00096550">
              <w:t>14,762</w:t>
            </w:r>
          </w:p>
        </w:tc>
        <w:tc>
          <w:tcPr>
            <w:tcW w:w="2059" w:type="dxa"/>
            <w:vAlign w:val="center"/>
          </w:tcPr>
          <w:p w:rsidR="008C6A3C" w:rsidRPr="00096550" w:rsidRDefault="008C6A3C" w:rsidP="005B4888">
            <w:pPr>
              <w:pStyle w:val="NoSpacing"/>
              <w:jc w:val="right"/>
            </w:pPr>
            <w:r w:rsidRPr="00096550">
              <w:t>16,617</w:t>
            </w:r>
          </w:p>
        </w:tc>
        <w:tc>
          <w:tcPr>
            <w:tcW w:w="2060" w:type="dxa"/>
            <w:vAlign w:val="center"/>
          </w:tcPr>
          <w:p w:rsidR="008C6A3C" w:rsidRPr="00096550" w:rsidRDefault="008C6A3C" w:rsidP="005B4888">
            <w:pPr>
              <w:pStyle w:val="NoSpacing"/>
              <w:jc w:val="right"/>
            </w:pPr>
            <w:r w:rsidRPr="00096550">
              <w:t>17,530</w:t>
            </w:r>
          </w:p>
        </w:tc>
      </w:tr>
      <w:tr w:rsidR="00DA32BC" w:rsidTr="002E159A">
        <w:tc>
          <w:tcPr>
            <w:tcW w:w="2059" w:type="dxa"/>
          </w:tcPr>
          <w:p w:rsidR="00DA32BC" w:rsidRPr="00096550" w:rsidRDefault="00DA32BC" w:rsidP="005B4888">
            <w:pPr>
              <w:pStyle w:val="NoSpacing"/>
            </w:pPr>
            <w:r w:rsidRPr="00096550">
              <w:t>Group Study Room</w:t>
            </w:r>
          </w:p>
        </w:tc>
        <w:tc>
          <w:tcPr>
            <w:tcW w:w="2059" w:type="dxa"/>
            <w:vAlign w:val="center"/>
          </w:tcPr>
          <w:p w:rsidR="00DA32BC" w:rsidRPr="00096550" w:rsidRDefault="00DA32BC" w:rsidP="005B4888">
            <w:pPr>
              <w:pStyle w:val="NoSpacing"/>
              <w:jc w:val="right"/>
            </w:pPr>
          </w:p>
        </w:tc>
        <w:tc>
          <w:tcPr>
            <w:tcW w:w="2059" w:type="dxa"/>
            <w:vAlign w:val="center"/>
          </w:tcPr>
          <w:p w:rsidR="00DA32BC" w:rsidRPr="00096550" w:rsidRDefault="00DA32BC" w:rsidP="005B4888">
            <w:pPr>
              <w:pStyle w:val="NoSpacing"/>
              <w:jc w:val="right"/>
            </w:pPr>
          </w:p>
        </w:tc>
        <w:tc>
          <w:tcPr>
            <w:tcW w:w="2059" w:type="dxa"/>
            <w:vAlign w:val="center"/>
          </w:tcPr>
          <w:p w:rsidR="00DA32BC" w:rsidRPr="00096550" w:rsidRDefault="00DA32BC" w:rsidP="005B4888">
            <w:pPr>
              <w:pStyle w:val="NoSpacing"/>
              <w:jc w:val="right"/>
            </w:pPr>
            <w:r>
              <w:t>5,491</w:t>
            </w:r>
          </w:p>
        </w:tc>
        <w:tc>
          <w:tcPr>
            <w:tcW w:w="2060" w:type="dxa"/>
            <w:vAlign w:val="center"/>
          </w:tcPr>
          <w:p w:rsidR="00DA32BC" w:rsidRPr="00096550" w:rsidRDefault="00DA32BC" w:rsidP="005B4888">
            <w:pPr>
              <w:pStyle w:val="NoSpacing"/>
              <w:jc w:val="right"/>
            </w:pPr>
            <w:r>
              <w:t>13,313</w:t>
            </w:r>
          </w:p>
        </w:tc>
      </w:tr>
    </w:tbl>
    <w:p w:rsidR="008C6A3C" w:rsidRDefault="008C6A3C" w:rsidP="008C6A3C"/>
    <w:p w:rsidR="00DA32BC" w:rsidRPr="006D1E6C" w:rsidRDefault="00F72F27" w:rsidP="00DA32BC">
      <w:r w:rsidRPr="006D1E6C">
        <w:t xml:space="preserve">Gate counts, one-way entry counts, </w:t>
      </w:r>
      <w:r w:rsidR="006A75D2">
        <w:t xml:space="preserve">at the Mansfield Library </w:t>
      </w:r>
      <w:r w:rsidRPr="006D1E6C">
        <w:t>increased 1.8% from 599,322 in FY2004 to 610,321 in FY2008 (</w:t>
      </w:r>
      <w:r w:rsidR="006A75D2">
        <w:t>Table 9</w:t>
      </w:r>
      <w:r w:rsidRPr="006D1E6C">
        <w:t>). Although the trend is upw</w:t>
      </w:r>
      <w:r w:rsidR="002E159A">
        <w:t xml:space="preserve">ards, it is fluctuating and </w:t>
      </w:r>
      <w:r w:rsidRPr="006D1E6C">
        <w:t>decreased from FY2007 by 2.3%.</w:t>
      </w:r>
      <w:r w:rsidR="00DA32BC" w:rsidRPr="006D1E6C">
        <w:t xml:space="preserve"> </w:t>
      </w:r>
      <w:r w:rsidR="005B4888">
        <w:t>In FY2006</w:t>
      </w:r>
      <w:r w:rsidR="006D1E6C" w:rsidRPr="006D1E6C">
        <w:t>, o</w:t>
      </w:r>
      <w:r w:rsidR="00DA32BC" w:rsidRPr="006D1E6C">
        <w:t xml:space="preserve">pen hours increased 13.2% at </w:t>
      </w:r>
      <w:r w:rsidR="006D1E6C" w:rsidRPr="006D1E6C">
        <w:t>the Mansfield Library</w:t>
      </w:r>
      <w:r w:rsidR="005B4888">
        <w:t xml:space="preserve"> from </w:t>
      </w:r>
      <w:r w:rsidR="00DA32BC" w:rsidRPr="006D1E6C">
        <w:t>98</w:t>
      </w:r>
      <w:r w:rsidR="005B4888">
        <w:t xml:space="preserve"> to 111; </w:t>
      </w:r>
      <w:r w:rsidR="002E159A">
        <w:t>total s</w:t>
      </w:r>
      <w:r w:rsidR="006A75D2">
        <w:t xml:space="preserve">tudent </w:t>
      </w:r>
      <w:r w:rsidR="002E159A">
        <w:t xml:space="preserve">enrollment </w:t>
      </w:r>
      <w:r w:rsidR="005B4888">
        <w:t>increased</w:t>
      </w:r>
      <w:r w:rsidR="002E159A">
        <w:t xml:space="preserve"> 2.2% </w:t>
      </w:r>
      <w:r w:rsidR="005B4888">
        <w:t xml:space="preserve">from FY2004 to FY2007 </w:t>
      </w:r>
      <w:r w:rsidR="006A75D2">
        <w:t>(see Section III)</w:t>
      </w:r>
      <w:r w:rsidR="006D1E6C" w:rsidRPr="006D1E6C">
        <w:t>.</w:t>
      </w:r>
      <w:r w:rsidR="00DA32BC" w:rsidRPr="006D1E6C">
        <w:t xml:space="preserve"> </w:t>
      </w:r>
    </w:p>
    <w:p w:rsidR="00F72F27" w:rsidRDefault="00F72F27" w:rsidP="00F72F27">
      <w:pPr>
        <w:rPr>
          <w:rFonts w:ascii="Geneva" w:hAnsi="Geneva"/>
        </w:rPr>
      </w:pPr>
    </w:p>
    <w:p w:rsidR="006A75D2" w:rsidRPr="006D1E6C" w:rsidRDefault="006A75D2" w:rsidP="006A75D2">
      <w:r w:rsidRPr="006D1E6C">
        <w:t>Gat</w:t>
      </w:r>
      <w:r>
        <w:t xml:space="preserve">e counts </w:t>
      </w:r>
      <w:r w:rsidRPr="006D1E6C">
        <w:t xml:space="preserve">at </w:t>
      </w:r>
      <w:r>
        <w:t>the Mansfield Library at the College of Technology</w:t>
      </w:r>
      <w:r w:rsidRPr="006D1E6C">
        <w:t xml:space="preserve"> increased 25.1% from 41,232 in FY 2004 to 51,596 in FY 2008 (</w:t>
      </w:r>
      <w:r w:rsidR="002E159A">
        <w:t>Table</w:t>
      </w:r>
      <w:r w:rsidRPr="006D1E6C">
        <w:t xml:space="preserve"> 9). </w:t>
      </w:r>
      <w:r>
        <w:t>During this same period of time, o</w:t>
      </w:r>
      <w:r w:rsidRPr="006D1E6C">
        <w:t xml:space="preserve">pen hours remained </w:t>
      </w:r>
      <w:r w:rsidR="005B4888">
        <w:t xml:space="preserve">unchanged but </w:t>
      </w:r>
      <w:r>
        <w:t xml:space="preserve">student </w:t>
      </w:r>
      <w:r w:rsidR="002E159A">
        <w:t>enrollment</w:t>
      </w:r>
      <w:r>
        <w:t xml:space="preserve"> increased</w:t>
      </w:r>
      <w:r w:rsidR="00FA3690">
        <w:t xml:space="preserve"> </w:t>
      </w:r>
      <w:r w:rsidR="005B4888">
        <w:t>30.</w:t>
      </w:r>
      <w:r w:rsidR="002E159A">
        <w:t xml:space="preserve">2% </w:t>
      </w:r>
      <w:r w:rsidR="00FA3690">
        <w:t>(see Section III).</w:t>
      </w:r>
    </w:p>
    <w:p w:rsidR="006A75D2" w:rsidRPr="00526024" w:rsidRDefault="006A75D2" w:rsidP="006A75D2">
      <w:pPr>
        <w:rPr>
          <w:rFonts w:ascii="Geneva" w:hAnsi="Geneva"/>
        </w:rPr>
      </w:pPr>
    </w:p>
    <w:p w:rsidR="006A75D2" w:rsidRPr="006A75D2" w:rsidRDefault="002E159A" w:rsidP="00F72F27">
      <w:r>
        <w:t>Table 9. Gate</w:t>
      </w:r>
      <w:r w:rsidR="006A75D2" w:rsidRPr="006A75D2">
        <w:t xml:space="preserve"> counts at the Mansfield Library and at the Mansfield Library at the College of Technology during FY2004 to FY2008.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1692"/>
        <w:gridCol w:w="1692"/>
        <w:gridCol w:w="1692"/>
        <w:gridCol w:w="1692"/>
        <w:gridCol w:w="1692"/>
      </w:tblGrid>
      <w:tr w:rsidR="006A75D2" w:rsidRPr="00CC29C9" w:rsidTr="00CC29C9">
        <w:tc>
          <w:tcPr>
            <w:tcW w:w="1692" w:type="dxa"/>
          </w:tcPr>
          <w:p w:rsidR="006A75D2" w:rsidRPr="005B4888" w:rsidRDefault="006A75D2" w:rsidP="005B4888">
            <w:pPr>
              <w:pStyle w:val="NoSpacing"/>
              <w:rPr>
                <w:b/>
              </w:rPr>
            </w:pPr>
            <w:r w:rsidRPr="005B4888">
              <w:rPr>
                <w:b/>
              </w:rPr>
              <w:t>Location</w:t>
            </w:r>
          </w:p>
        </w:tc>
        <w:tc>
          <w:tcPr>
            <w:tcW w:w="1692" w:type="dxa"/>
            <w:vAlign w:val="center"/>
          </w:tcPr>
          <w:p w:rsidR="006A75D2" w:rsidRPr="005B4888" w:rsidRDefault="006A75D2" w:rsidP="005B4888">
            <w:pPr>
              <w:pStyle w:val="NoSpacing"/>
              <w:jc w:val="center"/>
              <w:rPr>
                <w:b/>
                <w:color w:val="000000"/>
              </w:rPr>
            </w:pPr>
            <w:r w:rsidRPr="005B4888">
              <w:rPr>
                <w:b/>
                <w:color w:val="000000"/>
              </w:rPr>
              <w:t>2004</w:t>
            </w:r>
          </w:p>
        </w:tc>
        <w:tc>
          <w:tcPr>
            <w:tcW w:w="1692" w:type="dxa"/>
            <w:vAlign w:val="center"/>
          </w:tcPr>
          <w:p w:rsidR="006A75D2" w:rsidRPr="005B4888" w:rsidRDefault="006A75D2" w:rsidP="005B4888">
            <w:pPr>
              <w:pStyle w:val="NoSpacing"/>
              <w:jc w:val="center"/>
              <w:rPr>
                <w:b/>
                <w:color w:val="000000"/>
              </w:rPr>
            </w:pPr>
            <w:r w:rsidRPr="005B4888">
              <w:rPr>
                <w:b/>
                <w:color w:val="000000"/>
              </w:rPr>
              <w:t>2005</w:t>
            </w:r>
          </w:p>
        </w:tc>
        <w:tc>
          <w:tcPr>
            <w:tcW w:w="1692" w:type="dxa"/>
            <w:vAlign w:val="center"/>
          </w:tcPr>
          <w:p w:rsidR="006A75D2" w:rsidRPr="005B4888" w:rsidRDefault="006A75D2" w:rsidP="005B4888">
            <w:pPr>
              <w:pStyle w:val="NoSpacing"/>
              <w:jc w:val="center"/>
              <w:rPr>
                <w:b/>
                <w:color w:val="000000"/>
              </w:rPr>
            </w:pPr>
            <w:r w:rsidRPr="005B4888">
              <w:rPr>
                <w:b/>
                <w:color w:val="000000"/>
              </w:rPr>
              <w:t>2006</w:t>
            </w:r>
          </w:p>
        </w:tc>
        <w:tc>
          <w:tcPr>
            <w:tcW w:w="1692" w:type="dxa"/>
            <w:vAlign w:val="center"/>
          </w:tcPr>
          <w:p w:rsidR="006A75D2" w:rsidRPr="005B4888" w:rsidRDefault="006A75D2" w:rsidP="005B4888">
            <w:pPr>
              <w:pStyle w:val="NoSpacing"/>
              <w:jc w:val="center"/>
              <w:rPr>
                <w:b/>
                <w:color w:val="000000"/>
              </w:rPr>
            </w:pPr>
            <w:r w:rsidRPr="005B4888">
              <w:rPr>
                <w:b/>
                <w:color w:val="000000"/>
              </w:rPr>
              <w:t>2007</w:t>
            </w:r>
          </w:p>
        </w:tc>
        <w:tc>
          <w:tcPr>
            <w:tcW w:w="1692" w:type="dxa"/>
            <w:vAlign w:val="center"/>
          </w:tcPr>
          <w:p w:rsidR="006A75D2" w:rsidRPr="005B4888" w:rsidRDefault="006A75D2" w:rsidP="005B4888">
            <w:pPr>
              <w:pStyle w:val="NoSpacing"/>
              <w:jc w:val="center"/>
              <w:rPr>
                <w:b/>
                <w:color w:val="000000"/>
              </w:rPr>
            </w:pPr>
            <w:r w:rsidRPr="005B4888">
              <w:rPr>
                <w:b/>
                <w:color w:val="000000"/>
              </w:rPr>
              <w:t>2008</w:t>
            </w:r>
          </w:p>
        </w:tc>
      </w:tr>
      <w:tr w:rsidR="006A75D2" w:rsidRPr="00CC29C9" w:rsidTr="002E159A">
        <w:tc>
          <w:tcPr>
            <w:tcW w:w="1692" w:type="dxa"/>
            <w:vAlign w:val="bottom"/>
          </w:tcPr>
          <w:p w:rsidR="006A75D2" w:rsidRPr="00CC29C9" w:rsidRDefault="006A75D2" w:rsidP="005B4888">
            <w:pPr>
              <w:pStyle w:val="NoSpacing"/>
              <w:rPr>
                <w:color w:val="000000"/>
              </w:rPr>
            </w:pPr>
            <w:r w:rsidRPr="00CC29C9">
              <w:rPr>
                <w:color w:val="000000"/>
              </w:rPr>
              <w:t>Mansfield Lib</w:t>
            </w:r>
          </w:p>
        </w:tc>
        <w:tc>
          <w:tcPr>
            <w:tcW w:w="1692" w:type="dxa"/>
            <w:vAlign w:val="center"/>
          </w:tcPr>
          <w:p w:rsidR="006A75D2" w:rsidRPr="00CC29C9" w:rsidRDefault="006A75D2" w:rsidP="005B4888">
            <w:pPr>
              <w:pStyle w:val="NoSpacing"/>
              <w:jc w:val="right"/>
              <w:rPr>
                <w:color w:val="000000"/>
              </w:rPr>
            </w:pPr>
            <w:r w:rsidRPr="00CC29C9">
              <w:rPr>
                <w:color w:val="000000"/>
              </w:rPr>
              <w:t>599,322</w:t>
            </w:r>
          </w:p>
        </w:tc>
        <w:tc>
          <w:tcPr>
            <w:tcW w:w="1692" w:type="dxa"/>
            <w:vAlign w:val="center"/>
          </w:tcPr>
          <w:p w:rsidR="006A75D2" w:rsidRPr="00CC29C9" w:rsidRDefault="006A75D2" w:rsidP="005B4888">
            <w:pPr>
              <w:pStyle w:val="NoSpacing"/>
              <w:jc w:val="right"/>
              <w:rPr>
                <w:color w:val="000000"/>
              </w:rPr>
            </w:pPr>
            <w:r w:rsidRPr="00CC29C9">
              <w:rPr>
                <w:color w:val="000000"/>
              </w:rPr>
              <w:t>618,224</w:t>
            </w:r>
          </w:p>
        </w:tc>
        <w:tc>
          <w:tcPr>
            <w:tcW w:w="1692" w:type="dxa"/>
            <w:vAlign w:val="center"/>
          </w:tcPr>
          <w:p w:rsidR="006A75D2" w:rsidRPr="00CC29C9" w:rsidRDefault="006A75D2" w:rsidP="005B4888">
            <w:pPr>
              <w:pStyle w:val="NoSpacing"/>
              <w:jc w:val="right"/>
              <w:rPr>
                <w:color w:val="000000"/>
              </w:rPr>
            </w:pPr>
            <w:r w:rsidRPr="00CC29C9">
              <w:rPr>
                <w:color w:val="000000"/>
              </w:rPr>
              <w:t>608,868</w:t>
            </w:r>
          </w:p>
        </w:tc>
        <w:tc>
          <w:tcPr>
            <w:tcW w:w="1692" w:type="dxa"/>
            <w:vAlign w:val="center"/>
          </w:tcPr>
          <w:p w:rsidR="006A75D2" w:rsidRPr="00CC29C9" w:rsidRDefault="006A75D2" w:rsidP="005B4888">
            <w:pPr>
              <w:pStyle w:val="NoSpacing"/>
              <w:jc w:val="right"/>
              <w:rPr>
                <w:color w:val="000000"/>
              </w:rPr>
            </w:pPr>
            <w:r w:rsidRPr="00CC29C9">
              <w:rPr>
                <w:color w:val="000000"/>
              </w:rPr>
              <w:t>624,285</w:t>
            </w:r>
          </w:p>
        </w:tc>
        <w:tc>
          <w:tcPr>
            <w:tcW w:w="1692" w:type="dxa"/>
            <w:vAlign w:val="center"/>
          </w:tcPr>
          <w:p w:rsidR="006A75D2" w:rsidRPr="00CC29C9" w:rsidRDefault="006A75D2" w:rsidP="005B4888">
            <w:pPr>
              <w:pStyle w:val="NoSpacing"/>
              <w:jc w:val="right"/>
              <w:rPr>
                <w:color w:val="000000"/>
              </w:rPr>
            </w:pPr>
            <w:r w:rsidRPr="00CC29C9">
              <w:rPr>
                <w:color w:val="000000"/>
              </w:rPr>
              <w:t>610,321</w:t>
            </w:r>
          </w:p>
        </w:tc>
      </w:tr>
      <w:tr w:rsidR="006A75D2" w:rsidRPr="00CC29C9" w:rsidTr="002E159A">
        <w:tc>
          <w:tcPr>
            <w:tcW w:w="1692" w:type="dxa"/>
            <w:vAlign w:val="bottom"/>
          </w:tcPr>
          <w:p w:rsidR="006A75D2" w:rsidRPr="00CC29C9" w:rsidRDefault="006A75D2" w:rsidP="005B4888">
            <w:pPr>
              <w:pStyle w:val="NoSpacing"/>
              <w:rPr>
                <w:color w:val="000000"/>
              </w:rPr>
            </w:pPr>
            <w:r w:rsidRPr="00CC29C9">
              <w:rPr>
                <w:color w:val="000000"/>
              </w:rPr>
              <w:t>ML@COT</w:t>
            </w:r>
          </w:p>
        </w:tc>
        <w:tc>
          <w:tcPr>
            <w:tcW w:w="1692" w:type="dxa"/>
            <w:vAlign w:val="center"/>
          </w:tcPr>
          <w:p w:rsidR="006A75D2" w:rsidRPr="00CC29C9" w:rsidRDefault="006A75D2" w:rsidP="005B4888">
            <w:pPr>
              <w:pStyle w:val="NoSpacing"/>
              <w:jc w:val="right"/>
              <w:rPr>
                <w:color w:val="000000"/>
              </w:rPr>
            </w:pPr>
            <w:r w:rsidRPr="00CC29C9">
              <w:rPr>
                <w:color w:val="000000"/>
              </w:rPr>
              <w:t>41,232</w:t>
            </w:r>
          </w:p>
        </w:tc>
        <w:tc>
          <w:tcPr>
            <w:tcW w:w="1692" w:type="dxa"/>
            <w:vAlign w:val="center"/>
          </w:tcPr>
          <w:p w:rsidR="006A75D2" w:rsidRPr="00CC29C9" w:rsidRDefault="006A75D2" w:rsidP="005B4888">
            <w:pPr>
              <w:pStyle w:val="NoSpacing"/>
              <w:jc w:val="right"/>
              <w:rPr>
                <w:color w:val="000000"/>
              </w:rPr>
            </w:pPr>
            <w:r w:rsidRPr="00CC29C9">
              <w:rPr>
                <w:color w:val="000000"/>
              </w:rPr>
              <w:t>45,140</w:t>
            </w:r>
          </w:p>
        </w:tc>
        <w:tc>
          <w:tcPr>
            <w:tcW w:w="1692" w:type="dxa"/>
            <w:vAlign w:val="center"/>
          </w:tcPr>
          <w:p w:rsidR="006A75D2" w:rsidRPr="00CC29C9" w:rsidRDefault="006A75D2" w:rsidP="005B4888">
            <w:pPr>
              <w:pStyle w:val="NoSpacing"/>
              <w:jc w:val="right"/>
              <w:rPr>
                <w:color w:val="000000"/>
              </w:rPr>
            </w:pPr>
            <w:r w:rsidRPr="00CC29C9">
              <w:rPr>
                <w:color w:val="000000"/>
              </w:rPr>
              <w:t>50,712</w:t>
            </w:r>
          </w:p>
        </w:tc>
        <w:tc>
          <w:tcPr>
            <w:tcW w:w="1692" w:type="dxa"/>
            <w:vAlign w:val="center"/>
          </w:tcPr>
          <w:p w:rsidR="006A75D2" w:rsidRPr="00CC29C9" w:rsidRDefault="006A75D2" w:rsidP="005B4888">
            <w:pPr>
              <w:pStyle w:val="NoSpacing"/>
              <w:jc w:val="right"/>
              <w:rPr>
                <w:color w:val="000000"/>
              </w:rPr>
            </w:pPr>
            <w:r w:rsidRPr="00CC29C9">
              <w:rPr>
                <w:color w:val="000000"/>
              </w:rPr>
              <w:t>49,178</w:t>
            </w:r>
          </w:p>
        </w:tc>
        <w:tc>
          <w:tcPr>
            <w:tcW w:w="1692" w:type="dxa"/>
            <w:vAlign w:val="center"/>
          </w:tcPr>
          <w:p w:rsidR="006A75D2" w:rsidRPr="00CC29C9" w:rsidRDefault="006A75D2" w:rsidP="005B4888">
            <w:pPr>
              <w:pStyle w:val="NoSpacing"/>
              <w:jc w:val="right"/>
              <w:rPr>
                <w:color w:val="000000"/>
              </w:rPr>
            </w:pPr>
            <w:r w:rsidRPr="00CC29C9">
              <w:rPr>
                <w:color w:val="000000"/>
              </w:rPr>
              <w:t>51,596</w:t>
            </w:r>
          </w:p>
        </w:tc>
      </w:tr>
      <w:tr w:rsidR="006A75D2" w:rsidRPr="00CC29C9" w:rsidTr="002E159A">
        <w:tc>
          <w:tcPr>
            <w:tcW w:w="1692" w:type="dxa"/>
          </w:tcPr>
          <w:p w:rsidR="006A75D2" w:rsidRPr="00CC29C9" w:rsidRDefault="006A75D2" w:rsidP="005B4888">
            <w:pPr>
              <w:pStyle w:val="NoSpacing"/>
            </w:pPr>
            <w:r w:rsidRPr="00CC29C9">
              <w:t>TOTAL</w:t>
            </w:r>
          </w:p>
        </w:tc>
        <w:tc>
          <w:tcPr>
            <w:tcW w:w="1692" w:type="dxa"/>
            <w:vAlign w:val="center"/>
          </w:tcPr>
          <w:p w:rsidR="006A75D2" w:rsidRPr="00CC29C9" w:rsidRDefault="006A75D2" w:rsidP="005B4888">
            <w:pPr>
              <w:pStyle w:val="NoSpacing"/>
              <w:jc w:val="right"/>
            </w:pPr>
            <w:r w:rsidRPr="00CC29C9">
              <w:t>640,554</w:t>
            </w:r>
          </w:p>
        </w:tc>
        <w:tc>
          <w:tcPr>
            <w:tcW w:w="1692" w:type="dxa"/>
            <w:vAlign w:val="center"/>
          </w:tcPr>
          <w:p w:rsidR="006A75D2" w:rsidRPr="00CC29C9" w:rsidRDefault="006A75D2" w:rsidP="005B4888">
            <w:pPr>
              <w:pStyle w:val="NoSpacing"/>
              <w:jc w:val="right"/>
            </w:pPr>
            <w:r w:rsidRPr="00CC29C9">
              <w:t>663,364</w:t>
            </w:r>
          </w:p>
        </w:tc>
        <w:tc>
          <w:tcPr>
            <w:tcW w:w="1692" w:type="dxa"/>
            <w:vAlign w:val="center"/>
          </w:tcPr>
          <w:p w:rsidR="006A75D2" w:rsidRPr="00CC29C9" w:rsidRDefault="006A75D2" w:rsidP="005B4888">
            <w:pPr>
              <w:pStyle w:val="NoSpacing"/>
              <w:jc w:val="right"/>
            </w:pPr>
            <w:r w:rsidRPr="00CC29C9">
              <w:t>629,580</w:t>
            </w:r>
          </w:p>
        </w:tc>
        <w:tc>
          <w:tcPr>
            <w:tcW w:w="1692" w:type="dxa"/>
            <w:vAlign w:val="center"/>
          </w:tcPr>
          <w:p w:rsidR="006A75D2" w:rsidRPr="00CC29C9" w:rsidRDefault="006A75D2" w:rsidP="005B4888">
            <w:pPr>
              <w:pStyle w:val="NoSpacing"/>
              <w:jc w:val="right"/>
            </w:pPr>
            <w:r w:rsidRPr="00CC29C9">
              <w:t>673,463</w:t>
            </w:r>
          </w:p>
        </w:tc>
        <w:tc>
          <w:tcPr>
            <w:tcW w:w="1692" w:type="dxa"/>
            <w:vAlign w:val="center"/>
          </w:tcPr>
          <w:p w:rsidR="006A75D2" w:rsidRPr="00CC29C9" w:rsidRDefault="006A75D2" w:rsidP="005B4888">
            <w:pPr>
              <w:pStyle w:val="NoSpacing"/>
              <w:jc w:val="right"/>
            </w:pPr>
            <w:r w:rsidRPr="00CC29C9">
              <w:t>661,917</w:t>
            </w:r>
          </w:p>
        </w:tc>
      </w:tr>
    </w:tbl>
    <w:p w:rsidR="00F72F27" w:rsidRPr="00526024" w:rsidRDefault="00F72F27" w:rsidP="00F72F27">
      <w:pPr>
        <w:rPr>
          <w:rFonts w:ascii="Geneva" w:hAnsi="Geneva"/>
        </w:rPr>
      </w:pPr>
    </w:p>
    <w:p w:rsidR="00F72F27" w:rsidRPr="00FB59DC" w:rsidRDefault="00F72F27" w:rsidP="00F72F27">
      <w:pPr>
        <w:jc w:val="center"/>
        <w:rPr>
          <w:noProof/>
        </w:rPr>
      </w:pPr>
    </w:p>
    <w:p w:rsidR="00F72F27" w:rsidRPr="00526024" w:rsidRDefault="00F72F27" w:rsidP="00F72F27">
      <w:pPr>
        <w:rPr>
          <w:rFonts w:ascii="Geneva" w:hAnsi="Geneva"/>
        </w:rPr>
      </w:pPr>
    </w:p>
    <w:p w:rsidR="006224D9" w:rsidRDefault="006224D9" w:rsidP="00F72F27">
      <w:pPr>
        <w:rPr>
          <w:rFonts w:ascii="Geneva" w:hAnsi="Geneva"/>
          <w:b/>
        </w:rPr>
      </w:pPr>
    </w:p>
    <w:p w:rsidR="006224D9" w:rsidRDefault="006224D9" w:rsidP="00F72F27">
      <w:pPr>
        <w:rPr>
          <w:rFonts w:ascii="Geneva" w:hAnsi="Geneva"/>
          <w:b/>
        </w:rPr>
      </w:pPr>
    </w:p>
    <w:p w:rsidR="006224D9" w:rsidRDefault="006224D9" w:rsidP="00F72F27">
      <w:pPr>
        <w:rPr>
          <w:rFonts w:ascii="Geneva" w:hAnsi="Geneva"/>
          <w:b/>
        </w:rPr>
      </w:pPr>
    </w:p>
    <w:p w:rsidR="005B4888" w:rsidRDefault="005B4888" w:rsidP="00F72F27">
      <w:pPr>
        <w:rPr>
          <w:rFonts w:ascii="Geneva" w:hAnsi="Geneva"/>
          <w:b/>
        </w:rPr>
      </w:pPr>
    </w:p>
    <w:p w:rsidR="005B4888" w:rsidRDefault="005B4888" w:rsidP="00F72F27">
      <w:pPr>
        <w:rPr>
          <w:rFonts w:ascii="Geneva" w:hAnsi="Geneva"/>
          <w:b/>
        </w:rPr>
      </w:pPr>
    </w:p>
    <w:p w:rsidR="005B4888" w:rsidRDefault="005B4888" w:rsidP="00F72F27">
      <w:pPr>
        <w:rPr>
          <w:rFonts w:ascii="Geneva" w:hAnsi="Geneva"/>
          <w:b/>
        </w:rPr>
      </w:pPr>
    </w:p>
    <w:p w:rsidR="005B4888" w:rsidRDefault="005B4888" w:rsidP="00F72F27">
      <w:pPr>
        <w:rPr>
          <w:rFonts w:ascii="Geneva" w:hAnsi="Geneva"/>
          <w:b/>
        </w:rPr>
      </w:pPr>
    </w:p>
    <w:p w:rsidR="005B4888" w:rsidRDefault="005B4888" w:rsidP="00F72F27">
      <w:pPr>
        <w:rPr>
          <w:rFonts w:ascii="Geneva" w:hAnsi="Geneva"/>
          <w:b/>
        </w:rPr>
      </w:pPr>
    </w:p>
    <w:p w:rsidR="005B4888" w:rsidRDefault="005B4888" w:rsidP="00F72F27">
      <w:pPr>
        <w:rPr>
          <w:rFonts w:ascii="Geneva" w:hAnsi="Geneva"/>
          <w:b/>
        </w:rPr>
      </w:pPr>
    </w:p>
    <w:p w:rsidR="000B4E82" w:rsidRDefault="000B4E82" w:rsidP="00F72F27">
      <w:pPr>
        <w:rPr>
          <w:rFonts w:ascii="Geneva" w:hAnsi="Geneva"/>
          <w:b/>
        </w:rPr>
      </w:pPr>
    </w:p>
    <w:p w:rsidR="00F72F27" w:rsidRPr="00526024" w:rsidRDefault="00F72F27" w:rsidP="00F72F27">
      <w:pPr>
        <w:rPr>
          <w:rFonts w:ascii="Geneva" w:hAnsi="Geneva"/>
          <w:b/>
        </w:rPr>
      </w:pPr>
      <w:r w:rsidRPr="00526024">
        <w:rPr>
          <w:rFonts w:ascii="Geneva" w:hAnsi="Geneva"/>
          <w:b/>
        </w:rPr>
        <w:lastRenderedPageBreak/>
        <w:t>Circulation</w:t>
      </w:r>
    </w:p>
    <w:p w:rsidR="006224D9" w:rsidRDefault="006224D9" w:rsidP="00F72F27"/>
    <w:p w:rsidR="00F72F27" w:rsidRPr="0006788D" w:rsidRDefault="00FA3690" w:rsidP="00F72F27">
      <w:r w:rsidRPr="0006788D">
        <w:t>C</w:t>
      </w:r>
      <w:r w:rsidR="00F72F27" w:rsidRPr="0006788D">
        <w:t xml:space="preserve">irculation of all materials, </w:t>
      </w:r>
      <w:r w:rsidRPr="0006788D">
        <w:t>ex</w:t>
      </w:r>
      <w:r w:rsidR="00F72F27" w:rsidRPr="0006788D">
        <w:t xml:space="preserve">cluding reserves, at Mansfield Library decreased </w:t>
      </w:r>
      <w:r w:rsidRPr="0006788D">
        <w:t>6.7</w:t>
      </w:r>
      <w:r w:rsidR="00F72F27" w:rsidRPr="0006788D">
        <w:t xml:space="preserve">% from </w:t>
      </w:r>
      <w:r w:rsidRPr="0006788D">
        <w:t>139,659</w:t>
      </w:r>
      <w:r w:rsidR="00F72F27" w:rsidRPr="0006788D">
        <w:t xml:space="preserve"> in FY2004 to </w:t>
      </w:r>
      <w:r w:rsidRPr="0006788D">
        <w:t>130,250</w:t>
      </w:r>
      <w:r w:rsidR="00F72F27" w:rsidRPr="0006788D">
        <w:t xml:space="preserve"> in FY200</w:t>
      </w:r>
      <w:r w:rsidRPr="0006788D">
        <w:t>8 (Table 10)</w:t>
      </w:r>
      <w:r w:rsidR="00F72F27" w:rsidRPr="0006788D">
        <w:t>.</w:t>
      </w:r>
      <w:r w:rsidRPr="0006788D">
        <w:t xml:space="preserve"> This decrease in circulation was consistent across all formats, incl</w:t>
      </w:r>
      <w:r w:rsidR="00B07E54">
        <w:t>uding monographs (17.4%); print</w:t>
      </w:r>
      <w:r w:rsidRPr="0006788D">
        <w:t xml:space="preserve"> sources which includes books, serials, microforms, maps, and scores (18.4%); serials (</w:t>
      </w:r>
      <w:r w:rsidR="0006788D" w:rsidRPr="0006788D">
        <w:t>34.0%); and media (20.4%).</w:t>
      </w:r>
    </w:p>
    <w:p w:rsidR="00F72F27" w:rsidRPr="0006788D" w:rsidRDefault="00F72F27" w:rsidP="00F72F27"/>
    <w:p w:rsidR="0006788D" w:rsidRPr="0006788D" w:rsidRDefault="0006788D" w:rsidP="0006788D">
      <w:r>
        <w:rPr>
          <w:sz w:val="22"/>
          <w:szCs w:val="22"/>
        </w:rPr>
        <w:t>Circulation of all materials, excluding reserves, at the Mansfield Library at the College of Technology decreased 3.0% from 4,459 in FY2004 to 4,327 in FY2008 (Table 10).  Monographs (9.6%) and media (</w:t>
      </w:r>
      <w:r w:rsidR="002E159A">
        <w:rPr>
          <w:sz w:val="22"/>
          <w:szCs w:val="22"/>
        </w:rPr>
        <w:t>12.4%) increased in circulation</w:t>
      </w:r>
      <w:r>
        <w:rPr>
          <w:sz w:val="22"/>
          <w:szCs w:val="22"/>
        </w:rPr>
        <w:t xml:space="preserve"> while decreases occurred in </w:t>
      </w:r>
      <w:r w:rsidR="00B07E54">
        <w:t>print</w:t>
      </w:r>
      <w:r w:rsidRPr="0006788D">
        <w:t xml:space="preserve"> sources which includes books, serials, microforms, maps, and scores (</w:t>
      </w:r>
      <w:r>
        <w:t xml:space="preserve">4.5%) and </w:t>
      </w:r>
      <w:r w:rsidRPr="0006788D">
        <w:t>serials (</w:t>
      </w:r>
      <w:r>
        <w:t>33.3%)</w:t>
      </w:r>
      <w:r w:rsidRPr="0006788D">
        <w:t>.</w:t>
      </w:r>
    </w:p>
    <w:p w:rsidR="000B4E82" w:rsidRDefault="000B4E82" w:rsidP="00FA3690"/>
    <w:p w:rsidR="006D1E6C" w:rsidRDefault="00FA3690" w:rsidP="00FA3690">
      <w:r>
        <w:t>Table 10.</w:t>
      </w:r>
      <w:r w:rsidR="00EF32BF">
        <w:t xml:space="preserve"> Circulation of total materials and materials by format at the Mansfield Library and at the Mansfield Library at the College of Technology during FY2004 to FY2008.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7"/>
        <w:gridCol w:w="1170"/>
        <w:gridCol w:w="1080"/>
        <w:gridCol w:w="1080"/>
        <w:gridCol w:w="1013"/>
        <w:gridCol w:w="1050"/>
      </w:tblGrid>
      <w:tr w:rsidR="006D1E6C" w:rsidRPr="00CC29C9" w:rsidTr="00B07E54">
        <w:trPr>
          <w:trHeight w:val="300"/>
          <w:jc w:val="center"/>
        </w:trPr>
        <w:tc>
          <w:tcPr>
            <w:tcW w:w="4097" w:type="dxa"/>
            <w:noWrap/>
            <w:vAlign w:val="center"/>
            <w:hideMark/>
          </w:tcPr>
          <w:p w:rsidR="006D1E6C" w:rsidRPr="00CC29C9" w:rsidRDefault="006D1E6C" w:rsidP="00CC29C9">
            <w:pPr>
              <w:rPr>
                <w:rFonts w:ascii="Calibri" w:eastAsia="Times New Roman" w:hAnsi="Calibri" w:cs="Arial"/>
                <w:b/>
                <w:bCs/>
                <w:color w:val="000000"/>
              </w:rPr>
            </w:pPr>
            <w:r w:rsidRPr="00CC29C9">
              <w:rPr>
                <w:rFonts w:ascii="Calibri" w:eastAsia="Times New Roman" w:hAnsi="Calibri" w:cs="Arial"/>
                <w:b/>
                <w:bCs/>
                <w:color w:val="000000"/>
              </w:rPr>
              <w:t>Mansfield Library</w:t>
            </w:r>
          </w:p>
        </w:tc>
        <w:tc>
          <w:tcPr>
            <w:tcW w:w="117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2004</w:t>
            </w:r>
          </w:p>
        </w:tc>
        <w:tc>
          <w:tcPr>
            <w:tcW w:w="108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2005</w:t>
            </w:r>
          </w:p>
        </w:tc>
        <w:tc>
          <w:tcPr>
            <w:tcW w:w="108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2006</w:t>
            </w:r>
          </w:p>
        </w:tc>
        <w:tc>
          <w:tcPr>
            <w:tcW w:w="1013"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2007</w:t>
            </w:r>
          </w:p>
        </w:tc>
        <w:tc>
          <w:tcPr>
            <w:tcW w:w="105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2008</w:t>
            </w:r>
          </w:p>
        </w:tc>
      </w:tr>
      <w:tr w:rsidR="006D1E6C" w:rsidRPr="00CC29C9" w:rsidTr="00B07E54">
        <w:trPr>
          <w:trHeight w:val="315"/>
          <w:jc w:val="center"/>
        </w:trPr>
        <w:tc>
          <w:tcPr>
            <w:tcW w:w="4097" w:type="dxa"/>
            <w:noWrap/>
            <w:vAlign w:val="center"/>
            <w:hideMark/>
          </w:tcPr>
          <w:p w:rsidR="006D1E6C" w:rsidRPr="00CC29C9" w:rsidRDefault="00FA3690" w:rsidP="002E159A">
            <w:pPr>
              <w:rPr>
                <w:rFonts w:ascii="Calibri" w:eastAsia="Times New Roman" w:hAnsi="Calibri"/>
                <w:color w:val="000000"/>
              </w:rPr>
            </w:pPr>
            <w:r w:rsidRPr="00CC29C9">
              <w:rPr>
                <w:rFonts w:ascii="Calibri" w:eastAsia="Times New Roman" w:hAnsi="Calibri"/>
                <w:color w:val="000000"/>
              </w:rPr>
              <w:t xml:space="preserve">Total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139</w:t>
            </w:r>
            <w:r w:rsidR="00B07E54">
              <w:rPr>
                <w:rFonts w:ascii="Calibri" w:eastAsia="Arial Unicode MS" w:hAnsi="Calibri" w:cs="Arial Unicode MS"/>
              </w:rPr>
              <w:t>,</w:t>
            </w:r>
            <w:r w:rsidRPr="00CC29C9">
              <w:rPr>
                <w:rFonts w:ascii="Calibri" w:eastAsia="Arial Unicode MS" w:hAnsi="Calibri" w:cs="Arial Unicode MS"/>
              </w:rPr>
              <w:t>659</w:t>
            </w:r>
          </w:p>
        </w:tc>
        <w:tc>
          <w:tcPr>
            <w:tcW w:w="1080"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124</w:t>
            </w:r>
            <w:r w:rsidR="00B07E54">
              <w:rPr>
                <w:rFonts w:ascii="Calibri" w:eastAsia="Arial Unicode MS" w:hAnsi="Calibri" w:cs="Arial Unicode MS"/>
              </w:rPr>
              <w:t>,</w:t>
            </w:r>
            <w:r w:rsidRPr="00CC29C9">
              <w:rPr>
                <w:rFonts w:ascii="Calibri" w:eastAsia="Arial Unicode MS" w:hAnsi="Calibri" w:cs="Arial Unicode MS"/>
              </w:rPr>
              <w:t>848</w:t>
            </w:r>
          </w:p>
        </w:tc>
        <w:tc>
          <w:tcPr>
            <w:tcW w:w="1080"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118</w:t>
            </w:r>
            <w:r w:rsidR="00B07E54">
              <w:rPr>
                <w:rFonts w:ascii="Calibri" w:eastAsia="Arial Unicode MS" w:hAnsi="Calibri" w:cs="Arial Unicode MS"/>
              </w:rPr>
              <w:t>,</w:t>
            </w:r>
            <w:r w:rsidRPr="00CC29C9">
              <w:rPr>
                <w:rFonts w:ascii="Calibri" w:eastAsia="Arial Unicode MS" w:hAnsi="Calibri" w:cs="Arial Unicode MS"/>
              </w:rPr>
              <w:t>867</w:t>
            </w:r>
          </w:p>
        </w:tc>
        <w:tc>
          <w:tcPr>
            <w:tcW w:w="1013"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117</w:t>
            </w:r>
            <w:r w:rsidR="00B07E54">
              <w:rPr>
                <w:rFonts w:ascii="Calibri" w:eastAsia="Arial Unicode MS" w:hAnsi="Calibri" w:cs="Arial Unicode MS"/>
              </w:rPr>
              <w:t>,</w:t>
            </w:r>
            <w:r w:rsidRPr="00CC29C9">
              <w:rPr>
                <w:rFonts w:ascii="Calibri" w:eastAsia="Arial Unicode MS" w:hAnsi="Calibri" w:cs="Arial Unicode MS"/>
              </w:rPr>
              <w:t>980</w:t>
            </w:r>
          </w:p>
        </w:tc>
        <w:tc>
          <w:tcPr>
            <w:tcW w:w="105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130</w:t>
            </w:r>
            <w:r w:rsidR="00B07E54">
              <w:rPr>
                <w:rFonts w:ascii="Calibri" w:eastAsia="Arial Unicode MS" w:hAnsi="Calibri" w:cs="Arial Unicode MS"/>
                <w:color w:val="000000"/>
              </w:rPr>
              <w:t>,</w:t>
            </w:r>
            <w:r w:rsidRPr="00CC29C9">
              <w:rPr>
                <w:rFonts w:ascii="Calibri" w:eastAsia="Arial Unicode MS" w:hAnsi="Calibri" w:cs="Arial Unicode MS"/>
                <w:color w:val="000000"/>
              </w:rPr>
              <w:t>350</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Monograph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92</w:t>
            </w:r>
            <w:r w:rsidR="00B07E54">
              <w:rPr>
                <w:rFonts w:ascii="Calibri" w:eastAsia="Arial Unicode MS" w:hAnsi="Calibri" w:cs="Arial Unicode MS"/>
                <w:color w:val="000000"/>
              </w:rPr>
              <w:t>,</w:t>
            </w:r>
            <w:r w:rsidRPr="00CC29C9">
              <w:rPr>
                <w:rFonts w:ascii="Calibri" w:eastAsia="Arial Unicode MS" w:hAnsi="Calibri" w:cs="Arial Unicode MS"/>
                <w:color w:val="000000"/>
              </w:rPr>
              <w:t>058</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82</w:t>
            </w:r>
            <w:r w:rsidR="00B07E54">
              <w:rPr>
                <w:rFonts w:ascii="Calibri" w:eastAsia="Arial Unicode MS" w:hAnsi="Calibri" w:cs="Arial Unicode MS"/>
                <w:color w:val="000000"/>
              </w:rPr>
              <w:t>,</w:t>
            </w:r>
            <w:r w:rsidRPr="00CC29C9">
              <w:rPr>
                <w:rFonts w:ascii="Calibri" w:eastAsia="Arial Unicode MS" w:hAnsi="Calibri" w:cs="Arial Unicode MS"/>
                <w:color w:val="000000"/>
              </w:rPr>
              <w:t>692</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80</w:t>
            </w:r>
            <w:r w:rsidR="00B07E54">
              <w:rPr>
                <w:rFonts w:ascii="Calibri" w:eastAsia="Arial Unicode MS" w:hAnsi="Calibri" w:cs="Arial Unicode MS"/>
                <w:color w:val="000000"/>
              </w:rPr>
              <w:t>,</w:t>
            </w:r>
            <w:r w:rsidRPr="00CC29C9">
              <w:rPr>
                <w:rFonts w:ascii="Calibri" w:eastAsia="Arial Unicode MS" w:hAnsi="Calibri" w:cs="Arial Unicode MS"/>
                <w:color w:val="000000"/>
              </w:rPr>
              <w:t>187</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74</w:t>
            </w:r>
            <w:r w:rsidR="00B07E54">
              <w:rPr>
                <w:rFonts w:ascii="Calibri" w:eastAsia="Arial Unicode MS" w:hAnsi="Calibri" w:cs="Arial Unicode MS"/>
                <w:color w:val="000000"/>
              </w:rPr>
              <w:t>,</w:t>
            </w:r>
            <w:r w:rsidRPr="00CC29C9">
              <w:rPr>
                <w:rFonts w:ascii="Calibri" w:eastAsia="Arial Unicode MS" w:hAnsi="Calibri" w:cs="Arial Unicode MS"/>
                <w:color w:val="000000"/>
              </w:rPr>
              <w:t>046</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76</w:t>
            </w:r>
            <w:r w:rsidR="00B07E54">
              <w:rPr>
                <w:rFonts w:ascii="Calibri" w:eastAsia="Arial Unicode MS" w:hAnsi="Calibri" w:cs="Arial Unicode MS"/>
                <w:color w:val="000000"/>
              </w:rPr>
              <w:t>,</w:t>
            </w:r>
            <w:r w:rsidRPr="00CC29C9">
              <w:rPr>
                <w:rFonts w:ascii="Calibri" w:eastAsia="Arial Unicode MS" w:hAnsi="Calibri" w:cs="Arial Unicode MS"/>
                <w:color w:val="000000"/>
              </w:rPr>
              <w:t>032</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Print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98</w:t>
            </w:r>
            <w:r w:rsidR="00B07E54">
              <w:rPr>
                <w:rFonts w:ascii="Calibri" w:eastAsia="Arial Unicode MS" w:hAnsi="Calibri" w:cs="Arial Unicode MS"/>
                <w:color w:val="000000"/>
              </w:rPr>
              <w:t>,</w:t>
            </w:r>
            <w:r w:rsidRPr="00CC29C9">
              <w:rPr>
                <w:rFonts w:ascii="Calibri" w:eastAsia="Arial Unicode MS" w:hAnsi="Calibri" w:cs="Arial Unicode MS"/>
                <w:color w:val="000000"/>
              </w:rPr>
              <w:t>066</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88</w:t>
            </w:r>
            <w:r w:rsidR="00B07E54">
              <w:rPr>
                <w:rFonts w:ascii="Calibri" w:eastAsia="Arial Unicode MS" w:hAnsi="Calibri" w:cs="Arial Unicode MS"/>
                <w:color w:val="000000"/>
              </w:rPr>
              <w:t>,</w:t>
            </w:r>
            <w:r w:rsidRPr="00CC29C9">
              <w:rPr>
                <w:rFonts w:ascii="Calibri" w:eastAsia="Arial Unicode MS" w:hAnsi="Calibri" w:cs="Arial Unicode MS"/>
                <w:color w:val="000000"/>
              </w:rPr>
              <w:t>126</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85</w:t>
            </w:r>
            <w:r w:rsidR="00B07E54">
              <w:rPr>
                <w:rFonts w:ascii="Calibri" w:eastAsia="Arial Unicode MS" w:hAnsi="Calibri" w:cs="Arial Unicode MS"/>
                <w:color w:val="000000"/>
              </w:rPr>
              <w:t>,</w:t>
            </w:r>
            <w:r w:rsidRPr="00CC29C9">
              <w:rPr>
                <w:rFonts w:ascii="Calibri" w:eastAsia="Arial Unicode MS" w:hAnsi="Calibri" w:cs="Arial Unicode MS"/>
                <w:color w:val="000000"/>
              </w:rPr>
              <w:t>765</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78</w:t>
            </w:r>
            <w:r w:rsidR="00B07E54">
              <w:rPr>
                <w:rFonts w:ascii="Calibri" w:eastAsia="Arial Unicode MS" w:hAnsi="Calibri" w:cs="Arial Unicode MS"/>
                <w:color w:val="000000"/>
              </w:rPr>
              <w:t>,</w:t>
            </w:r>
            <w:r w:rsidRPr="00CC29C9">
              <w:rPr>
                <w:rFonts w:ascii="Calibri" w:eastAsia="Arial Unicode MS" w:hAnsi="Calibri" w:cs="Arial Unicode MS"/>
                <w:color w:val="000000"/>
              </w:rPr>
              <w:t>628</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80</w:t>
            </w:r>
            <w:r w:rsidR="00B07E54">
              <w:rPr>
                <w:rFonts w:ascii="Calibri" w:eastAsia="Arial Unicode MS" w:hAnsi="Calibri" w:cs="Arial Unicode MS"/>
                <w:color w:val="000000"/>
              </w:rPr>
              <w:t>,</w:t>
            </w:r>
            <w:r w:rsidRPr="00CC29C9">
              <w:rPr>
                <w:rFonts w:ascii="Calibri" w:eastAsia="Arial Unicode MS" w:hAnsi="Calibri" w:cs="Arial Unicode MS"/>
                <w:color w:val="000000"/>
              </w:rPr>
              <w:t>042</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Serials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5</w:t>
            </w:r>
            <w:r w:rsidR="00B07E54">
              <w:rPr>
                <w:rFonts w:ascii="Calibri" w:eastAsia="Arial Unicode MS" w:hAnsi="Calibri" w:cs="Arial Unicode MS"/>
                <w:color w:val="000000"/>
              </w:rPr>
              <w:t>,</w:t>
            </w:r>
            <w:r w:rsidRPr="00CC29C9">
              <w:rPr>
                <w:rFonts w:ascii="Calibri" w:eastAsia="Arial Unicode MS" w:hAnsi="Calibri" w:cs="Arial Unicode MS"/>
                <w:color w:val="000000"/>
              </w:rPr>
              <w:t>775</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5</w:t>
            </w:r>
            <w:r w:rsidR="00B07E54">
              <w:rPr>
                <w:rFonts w:ascii="Calibri" w:eastAsia="Arial Unicode MS" w:hAnsi="Calibri" w:cs="Arial Unicode MS"/>
                <w:color w:val="000000"/>
              </w:rPr>
              <w:t>,</w:t>
            </w:r>
            <w:r w:rsidRPr="00CC29C9">
              <w:rPr>
                <w:rFonts w:ascii="Calibri" w:eastAsia="Arial Unicode MS" w:hAnsi="Calibri" w:cs="Arial Unicode MS"/>
                <w:color w:val="000000"/>
              </w:rPr>
              <w:t>249</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5</w:t>
            </w:r>
            <w:r w:rsidR="00B07E54">
              <w:rPr>
                <w:rFonts w:ascii="Calibri" w:eastAsia="Arial Unicode MS" w:hAnsi="Calibri" w:cs="Arial Unicode MS"/>
                <w:color w:val="000000"/>
              </w:rPr>
              <w:t>,</w:t>
            </w:r>
            <w:r w:rsidRPr="00CC29C9">
              <w:rPr>
                <w:rFonts w:ascii="Calibri" w:eastAsia="Arial Unicode MS" w:hAnsi="Calibri" w:cs="Arial Unicode MS"/>
                <w:color w:val="000000"/>
              </w:rPr>
              <w:t>367</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4</w:t>
            </w:r>
            <w:r w:rsidR="00B07E54">
              <w:rPr>
                <w:rFonts w:ascii="Calibri" w:eastAsia="Arial Unicode MS" w:hAnsi="Calibri" w:cs="Arial Unicode MS"/>
                <w:color w:val="000000"/>
              </w:rPr>
              <w:t>,</w:t>
            </w:r>
            <w:r w:rsidRPr="00CC29C9">
              <w:rPr>
                <w:rFonts w:ascii="Calibri" w:eastAsia="Arial Unicode MS" w:hAnsi="Calibri" w:cs="Arial Unicode MS"/>
                <w:color w:val="000000"/>
              </w:rPr>
              <w:t>374</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3</w:t>
            </w:r>
            <w:r w:rsidR="00B07E54">
              <w:rPr>
                <w:rFonts w:ascii="Calibri" w:eastAsia="Arial Unicode MS" w:hAnsi="Calibri" w:cs="Arial Unicode MS"/>
                <w:color w:val="000000"/>
              </w:rPr>
              <w:t>,</w:t>
            </w:r>
            <w:r w:rsidRPr="00CC29C9">
              <w:rPr>
                <w:rFonts w:ascii="Calibri" w:eastAsia="Arial Unicode MS" w:hAnsi="Calibri" w:cs="Arial Unicode MS"/>
                <w:color w:val="000000"/>
              </w:rPr>
              <w:t>812</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Media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34</w:t>
            </w:r>
            <w:r w:rsidR="00B07E54">
              <w:rPr>
                <w:rFonts w:ascii="Calibri" w:eastAsia="Arial Unicode MS" w:hAnsi="Calibri" w:cs="Arial Unicode MS"/>
                <w:color w:val="000000"/>
              </w:rPr>
              <w:t>,</w:t>
            </w:r>
            <w:r w:rsidRPr="00CC29C9">
              <w:rPr>
                <w:rFonts w:ascii="Calibri" w:eastAsia="Arial Unicode MS" w:hAnsi="Calibri" w:cs="Arial Unicode MS"/>
                <w:color w:val="000000"/>
              </w:rPr>
              <w:t>521</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29</w:t>
            </w:r>
            <w:r w:rsidR="00B07E54">
              <w:rPr>
                <w:rFonts w:ascii="Calibri" w:eastAsia="Arial Unicode MS" w:hAnsi="Calibri" w:cs="Arial Unicode MS"/>
                <w:color w:val="000000"/>
              </w:rPr>
              <w:t>,</w:t>
            </w:r>
            <w:r w:rsidRPr="00CC29C9">
              <w:rPr>
                <w:rFonts w:ascii="Calibri" w:eastAsia="Arial Unicode MS" w:hAnsi="Calibri" w:cs="Arial Unicode MS"/>
                <w:color w:val="000000"/>
              </w:rPr>
              <w:t>372</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27</w:t>
            </w:r>
            <w:r w:rsidR="00B07E54">
              <w:rPr>
                <w:rFonts w:ascii="Calibri" w:eastAsia="Arial Unicode MS" w:hAnsi="Calibri" w:cs="Arial Unicode MS"/>
                <w:color w:val="000000"/>
              </w:rPr>
              <w:t>,</w:t>
            </w:r>
            <w:r w:rsidRPr="00CC29C9">
              <w:rPr>
                <w:rFonts w:ascii="Calibri" w:eastAsia="Arial Unicode MS" w:hAnsi="Calibri" w:cs="Arial Unicode MS"/>
                <w:color w:val="000000"/>
              </w:rPr>
              <w:t>417</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27</w:t>
            </w:r>
            <w:r w:rsidR="00B07E54">
              <w:rPr>
                <w:rFonts w:ascii="Calibri" w:eastAsia="Arial Unicode MS" w:hAnsi="Calibri" w:cs="Arial Unicode MS"/>
                <w:color w:val="000000"/>
              </w:rPr>
              <w:t>,</w:t>
            </w:r>
            <w:r w:rsidRPr="00CC29C9">
              <w:rPr>
                <w:rFonts w:ascii="Calibri" w:eastAsia="Arial Unicode MS" w:hAnsi="Calibri" w:cs="Arial Unicode MS"/>
                <w:color w:val="000000"/>
              </w:rPr>
              <w:t>816</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27</w:t>
            </w:r>
            <w:r w:rsidR="00B07E54">
              <w:rPr>
                <w:rFonts w:ascii="Calibri" w:eastAsia="Arial Unicode MS" w:hAnsi="Calibri" w:cs="Arial Unicode MS"/>
                <w:color w:val="000000"/>
              </w:rPr>
              <w:t>,</w:t>
            </w:r>
            <w:r w:rsidRPr="00CC29C9">
              <w:rPr>
                <w:rFonts w:ascii="Calibri" w:eastAsia="Arial Unicode MS" w:hAnsi="Calibri" w:cs="Arial Unicode MS"/>
                <w:color w:val="000000"/>
              </w:rPr>
              <w:t>492</w:t>
            </w:r>
          </w:p>
        </w:tc>
      </w:tr>
      <w:tr w:rsidR="005B4888" w:rsidRPr="00CC29C9" w:rsidTr="000E6620">
        <w:trPr>
          <w:trHeight w:val="300"/>
          <w:jc w:val="center"/>
        </w:trPr>
        <w:tc>
          <w:tcPr>
            <w:tcW w:w="9490" w:type="dxa"/>
            <w:gridSpan w:val="6"/>
            <w:noWrap/>
            <w:vAlign w:val="center"/>
            <w:hideMark/>
          </w:tcPr>
          <w:p w:rsidR="005B4888" w:rsidRPr="00CC29C9" w:rsidRDefault="005B4888" w:rsidP="00CC29C9">
            <w:pPr>
              <w:jc w:val="center"/>
              <w:rPr>
                <w:rFonts w:ascii="Calibri" w:eastAsia="Times New Roman" w:hAnsi="Calibri"/>
                <w:color w:val="000000"/>
              </w:rPr>
            </w:pPr>
          </w:p>
        </w:tc>
      </w:tr>
      <w:tr w:rsidR="006D1E6C" w:rsidRPr="00CC29C9" w:rsidTr="00B07E54">
        <w:trPr>
          <w:trHeight w:val="300"/>
          <w:jc w:val="center"/>
        </w:trPr>
        <w:tc>
          <w:tcPr>
            <w:tcW w:w="4097" w:type="dxa"/>
            <w:noWrap/>
            <w:vAlign w:val="center"/>
            <w:hideMark/>
          </w:tcPr>
          <w:p w:rsidR="006D1E6C" w:rsidRPr="00CC29C9" w:rsidRDefault="006D1E6C" w:rsidP="00CC29C9">
            <w:pPr>
              <w:rPr>
                <w:rFonts w:ascii="Calibri" w:eastAsia="Times New Roman" w:hAnsi="Calibri" w:cs="Arial"/>
                <w:b/>
                <w:bCs/>
                <w:color w:val="000000"/>
              </w:rPr>
            </w:pPr>
            <w:r w:rsidRPr="00CC29C9">
              <w:rPr>
                <w:rFonts w:ascii="Calibri" w:eastAsia="Times New Roman" w:hAnsi="Calibri" w:cs="Arial"/>
                <w:b/>
                <w:bCs/>
                <w:color w:val="000000"/>
              </w:rPr>
              <w:t>Mansfield Library at College of Technology</w:t>
            </w:r>
          </w:p>
        </w:tc>
        <w:tc>
          <w:tcPr>
            <w:tcW w:w="117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2004</w:t>
            </w:r>
          </w:p>
        </w:tc>
        <w:tc>
          <w:tcPr>
            <w:tcW w:w="108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2005</w:t>
            </w:r>
          </w:p>
        </w:tc>
        <w:tc>
          <w:tcPr>
            <w:tcW w:w="108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2006</w:t>
            </w:r>
          </w:p>
        </w:tc>
        <w:tc>
          <w:tcPr>
            <w:tcW w:w="1013"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2007</w:t>
            </w:r>
          </w:p>
        </w:tc>
        <w:tc>
          <w:tcPr>
            <w:tcW w:w="1050" w:type="dxa"/>
            <w:noWrap/>
            <w:vAlign w:val="center"/>
            <w:hideMark/>
          </w:tcPr>
          <w:p w:rsidR="006D1E6C" w:rsidRPr="00CC29C9" w:rsidRDefault="006D1E6C" w:rsidP="00CC29C9">
            <w:pPr>
              <w:jc w:val="center"/>
              <w:rPr>
                <w:rFonts w:ascii="Calibri" w:eastAsia="Times New Roman" w:hAnsi="Calibri" w:cs="Arial"/>
                <w:b/>
                <w:bCs/>
                <w:color w:val="000000"/>
              </w:rPr>
            </w:pPr>
            <w:r w:rsidRPr="00CC29C9">
              <w:rPr>
                <w:rFonts w:ascii="Calibri" w:eastAsia="Times New Roman" w:hAnsi="Calibri" w:cs="Arial"/>
                <w:b/>
                <w:bCs/>
                <w:color w:val="000000"/>
              </w:rPr>
              <w:t>2008</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Total charges and renewals</w:t>
            </w:r>
          </w:p>
        </w:tc>
        <w:tc>
          <w:tcPr>
            <w:tcW w:w="1170"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4</w:t>
            </w:r>
            <w:r w:rsidR="00B07E54">
              <w:rPr>
                <w:rFonts w:ascii="Calibri" w:eastAsia="Arial Unicode MS" w:hAnsi="Calibri" w:cs="Arial Unicode MS"/>
              </w:rPr>
              <w:t>,</w:t>
            </w:r>
            <w:r w:rsidRPr="00CC29C9">
              <w:rPr>
                <w:rFonts w:ascii="Calibri" w:eastAsia="Arial Unicode MS" w:hAnsi="Calibri" w:cs="Arial Unicode MS"/>
              </w:rPr>
              <w:t>459</w:t>
            </w:r>
          </w:p>
        </w:tc>
        <w:tc>
          <w:tcPr>
            <w:tcW w:w="1080"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4</w:t>
            </w:r>
            <w:r w:rsidR="00B07E54">
              <w:rPr>
                <w:rFonts w:ascii="Calibri" w:eastAsia="Arial Unicode MS" w:hAnsi="Calibri" w:cs="Arial Unicode MS"/>
              </w:rPr>
              <w:t>,</w:t>
            </w:r>
            <w:r w:rsidRPr="00CC29C9">
              <w:rPr>
                <w:rFonts w:ascii="Calibri" w:eastAsia="Arial Unicode MS" w:hAnsi="Calibri" w:cs="Arial Unicode MS"/>
              </w:rPr>
              <w:t>289</w:t>
            </w:r>
          </w:p>
        </w:tc>
        <w:tc>
          <w:tcPr>
            <w:tcW w:w="1080"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5</w:t>
            </w:r>
            <w:r w:rsidR="00B07E54">
              <w:rPr>
                <w:rFonts w:ascii="Calibri" w:eastAsia="Arial Unicode MS" w:hAnsi="Calibri" w:cs="Arial Unicode MS"/>
              </w:rPr>
              <w:t>,</w:t>
            </w:r>
            <w:r w:rsidRPr="00CC29C9">
              <w:rPr>
                <w:rFonts w:ascii="Calibri" w:eastAsia="Arial Unicode MS" w:hAnsi="Calibri" w:cs="Arial Unicode MS"/>
              </w:rPr>
              <w:t>630</w:t>
            </w:r>
          </w:p>
        </w:tc>
        <w:tc>
          <w:tcPr>
            <w:tcW w:w="1013" w:type="dxa"/>
            <w:noWrap/>
            <w:vAlign w:val="center"/>
            <w:hideMark/>
          </w:tcPr>
          <w:p w:rsidR="006D1E6C" w:rsidRPr="00CC29C9" w:rsidRDefault="006D1E6C" w:rsidP="00CC29C9">
            <w:pPr>
              <w:jc w:val="right"/>
              <w:rPr>
                <w:rFonts w:ascii="Calibri" w:eastAsia="Arial Unicode MS" w:hAnsi="Calibri" w:cs="Arial Unicode MS"/>
              </w:rPr>
            </w:pPr>
            <w:r w:rsidRPr="00CC29C9">
              <w:rPr>
                <w:rFonts w:ascii="Calibri" w:eastAsia="Arial Unicode MS" w:hAnsi="Calibri" w:cs="Arial Unicode MS"/>
              </w:rPr>
              <w:t>5</w:t>
            </w:r>
            <w:r w:rsidR="00B07E54">
              <w:rPr>
                <w:rFonts w:ascii="Calibri" w:eastAsia="Arial Unicode MS" w:hAnsi="Calibri" w:cs="Arial Unicode MS"/>
              </w:rPr>
              <w:t>,</w:t>
            </w:r>
            <w:r w:rsidRPr="00CC29C9">
              <w:rPr>
                <w:rFonts w:ascii="Calibri" w:eastAsia="Arial Unicode MS" w:hAnsi="Calibri" w:cs="Arial Unicode MS"/>
              </w:rPr>
              <w:t>083</w:t>
            </w:r>
          </w:p>
        </w:tc>
        <w:tc>
          <w:tcPr>
            <w:tcW w:w="1050" w:type="dxa"/>
            <w:noWrap/>
            <w:vAlign w:val="center"/>
            <w:hideMark/>
          </w:tcPr>
          <w:p w:rsidR="006D1E6C" w:rsidRPr="00CC29C9" w:rsidRDefault="006D1E6C" w:rsidP="00CC29C9">
            <w:pPr>
              <w:jc w:val="right"/>
              <w:rPr>
                <w:rFonts w:ascii="Calibri" w:eastAsia="Times New Roman" w:hAnsi="Calibri"/>
                <w:color w:val="000000"/>
              </w:rPr>
            </w:pPr>
            <w:r w:rsidRPr="00CC29C9">
              <w:rPr>
                <w:rFonts w:ascii="Calibri" w:eastAsia="Times New Roman" w:hAnsi="Calibri"/>
                <w:color w:val="000000"/>
              </w:rPr>
              <w:t>4</w:t>
            </w:r>
            <w:r w:rsidR="00B07E54">
              <w:rPr>
                <w:rFonts w:ascii="Calibri" w:eastAsia="Times New Roman" w:hAnsi="Calibri"/>
                <w:color w:val="000000"/>
              </w:rPr>
              <w:t>,</w:t>
            </w:r>
            <w:r w:rsidRPr="00CC29C9">
              <w:rPr>
                <w:rFonts w:ascii="Calibri" w:eastAsia="Times New Roman" w:hAnsi="Calibri"/>
                <w:color w:val="000000"/>
              </w:rPr>
              <w:t>327</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Monograph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516</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405</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875</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597</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677</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Print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312</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230</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659</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239</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208</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Serials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796</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825</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784</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642</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531</w:t>
            </w:r>
          </w:p>
        </w:tc>
      </w:tr>
      <w:tr w:rsidR="006D1E6C" w:rsidRPr="00CC29C9" w:rsidTr="00B07E54">
        <w:trPr>
          <w:trHeight w:val="315"/>
          <w:jc w:val="center"/>
        </w:trPr>
        <w:tc>
          <w:tcPr>
            <w:tcW w:w="4097" w:type="dxa"/>
            <w:noWrap/>
            <w:vAlign w:val="center"/>
            <w:hideMark/>
          </w:tcPr>
          <w:p w:rsidR="006D1E6C" w:rsidRPr="00CC29C9" w:rsidRDefault="006D1E6C" w:rsidP="002E159A">
            <w:pPr>
              <w:rPr>
                <w:rFonts w:ascii="Calibri" w:eastAsia="Times New Roman" w:hAnsi="Calibri"/>
                <w:color w:val="000000"/>
              </w:rPr>
            </w:pPr>
            <w:r w:rsidRPr="00CC29C9">
              <w:rPr>
                <w:rFonts w:ascii="Calibri" w:eastAsia="Times New Roman" w:hAnsi="Calibri"/>
                <w:color w:val="000000"/>
              </w:rPr>
              <w:t xml:space="preserve">Media charges and renewals </w:t>
            </w:r>
          </w:p>
        </w:tc>
        <w:tc>
          <w:tcPr>
            <w:tcW w:w="117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530</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645</w:t>
            </w:r>
          </w:p>
        </w:tc>
        <w:tc>
          <w:tcPr>
            <w:tcW w:w="1080"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221</w:t>
            </w:r>
          </w:p>
        </w:tc>
        <w:tc>
          <w:tcPr>
            <w:tcW w:w="1013" w:type="dxa"/>
            <w:noWrap/>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2</w:t>
            </w:r>
            <w:r w:rsidR="00B07E54">
              <w:rPr>
                <w:rFonts w:ascii="Calibri" w:eastAsia="Arial Unicode MS" w:hAnsi="Calibri" w:cs="Arial Unicode MS"/>
                <w:color w:val="000000"/>
              </w:rPr>
              <w:t>,</w:t>
            </w:r>
            <w:r w:rsidRPr="00CC29C9">
              <w:rPr>
                <w:rFonts w:ascii="Calibri" w:eastAsia="Arial Unicode MS" w:hAnsi="Calibri" w:cs="Arial Unicode MS"/>
                <w:color w:val="000000"/>
              </w:rPr>
              <w:t>427</w:t>
            </w:r>
          </w:p>
        </w:tc>
        <w:tc>
          <w:tcPr>
            <w:tcW w:w="1050" w:type="dxa"/>
            <w:vAlign w:val="center"/>
            <w:hideMark/>
          </w:tcPr>
          <w:p w:rsidR="006D1E6C" w:rsidRPr="00CC29C9" w:rsidRDefault="006D1E6C" w:rsidP="00CC29C9">
            <w:pPr>
              <w:jc w:val="right"/>
              <w:rPr>
                <w:rFonts w:ascii="Calibri" w:eastAsia="Arial Unicode MS" w:hAnsi="Calibri" w:cs="Arial Unicode MS"/>
                <w:color w:val="000000"/>
              </w:rPr>
            </w:pPr>
            <w:r w:rsidRPr="00CC29C9">
              <w:rPr>
                <w:rFonts w:ascii="Calibri" w:eastAsia="Arial Unicode MS" w:hAnsi="Calibri" w:cs="Arial Unicode MS"/>
                <w:color w:val="000000"/>
              </w:rPr>
              <w:t>1</w:t>
            </w:r>
            <w:r w:rsidR="00B07E54">
              <w:rPr>
                <w:rFonts w:ascii="Calibri" w:eastAsia="Arial Unicode MS" w:hAnsi="Calibri" w:cs="Arial Unicode MS"/>
                <w:color w:val="000000"/>
              </w:rPr>
              <w:t>,</w:t>
            </w:r>
            <w:r w:rsidRPr="00CC29C9">
              <w:rPr>
                <w:rFonts w:ascii="Calibri" w:eastAsia="Arial Unicode MS" w:hAnsi="Calibri" w:cs="Arial Unicode MS"/>
                <w:color w:val="000000"/>
              </w:rPr>
              <w:t>746</w:t>
            </w:r>
          </w:p>
        </w:tc>
      </w:tr>
    </w:tbl>
    <w:p w:rsidR="006D1E6C" w:rsidRDefault="006D1E6C" w:rsidP="00F72F27">
      <w:pPr>
        <w:rPr>
          <w:rFonts w:ascii="Geneva" w:hAnsi="Geneva"/>
        </w:rPr>
      </w:pPr>
    </w:p>
    <w:p w:rsidR="00F72F27" w:rsidRDefault="00F72F27" w:rsidP="00F72F27">
      <w:pPr>
        <w:rPr>
          <w:rFonts w:ascii="Geneva" w:hAnsi="Geneva"/>
        </w:rPr>
      </w:pPr>
    </w:p>
    <w:p w:rsidR="000B4E82" w:rsidRDefault="002D0AE6" w:rsidP="008537C6">
      <w:r w:rsidRPr="008537C6">
        <w:t>At the Mansfield Library, r</w:t>
      </w:r>
      <w:r w:rsidR="00F72F27" w:rsidRPr="008537C6">
        <w:t>eserve circulation, both traditional and electronic, decreased as well</w:t>
      </w:r>
      <w:r w:rsidRPr="008537C6">
        <w:t xml:space="preserve"> (Table 11)</w:t>
      </w:r>
      <w:r w:rsidR="00F72F27" w:rsidRPr="008537C6">
        <w:t xml:space="preserve">. </w:t>
      </w:r>
      <w:r w:rsidRPr="008537C6">
        <w:t>T</w:t>
      </w:r>
      <w:r w:rsidR="00F72F27" w:rsidRPr="008537C6">
        <w:t xml:space="preserve">raditional </w:t>
      </w:r>
      <w:r w:rsidR="002E159A">
        <w:t xml:space="preserve">reserve </w:t>
      </w:r>
      <w:r w:rsidR="00F72F27" w:rsidRPr="008537C6">
        <w:t>circulation decreased 32.2% from 24,265 in FY2004 to 18,354</w:t>
      </w:r>
      <w:r w:rsidRPr="008537C6">
        <w:t xml:space="preserve"> in FY200</w:t>
      </w:r>
      <w:r w:rsidR="002E159A">
        <w:t>8</w:t>
      </w:r>
      <w:r w:rsidR="00F72F27" w:rsidRPr="008537C6">
        <w:t>; electronic circulation decreased 54.7% from 680,147 in FY2004 to 439,629 in FY2008.</w:t>
      </w:r>
      <w:r w:rsidR="008537C6">
        <w:t xml:space="preserve"> </w:t>
      </w:r>
      <w:r w:rsidR="008D703E" w:rsidRPr="008D703E">
        <w:rPr>
          <w:rFonts w:eastAsia="Times New Roman"/>
        </w:rPr>
        <w:t>The large change in electronic reserve use between 2005 and 2006 coincides with a major upgrade in the eres software and potentially a changed method of counting electronic reserve use. The pattern from 2006 – 2008 indicates a generally fluctuating but stable amount of electronic reserve use.</w:t>
      </w:r>
      <w:r w:rsidR="008D703E" w:rsidRPr="008D703E">
        <w:br/>
      </w:r>
    </w:p>
    <w:p w:rsidR="008537C6" w:rsidRDefault="002D0AE6" w:rsidP="008537C6">
      <w:r w:rsidRPr="008537C6">
        <w:t xml:space="preserve">In contrast, reserve circulation, both traditional and electronic, increased at the Mansfield Library at the College of Technology. Traditional reserve circulation increased 39.3% from FY2005 to FY2008 and electronic reserve circulation increased </w:t>
      </w:r>
      <w:r w:rsidR="008537C6" w:rsidRPr="008537C6">
        <w:t>90.0% from FY2006 to FY2008</w:t>
      </w:r>
      <w:r w:rsidR="00B07E54">
        <w:t>, with no data gathered in FY2004</w:t>
      </w:r>
      <w:r w:rsidR="008537C6" w:rsidRPr="008537C6">
        <w:t>.</w:t>
      </w:r>
      <w:r w:rsidR="008537C6">
        <w:t xml:space="preserve"> </w:t>
      </w:r>
      <w:r w:rsidR="008537C6" w:rsidRPr="002F6366">
        <w:t xml:space="preserve">This may reflect </w:t>
      </w:r>
      <w:r w:rsidR="008537C6">
        <w:t xml:space="preserve">both </w:t>
      </w:r>
      <w:r w:rsidR="008537C6" w:rsidRPr="002F6366">
        <w:t xml:space="preserve">an </w:t>
      </w:r>
      <w:r w:rsidR="008537C6">
        <w:t xml:space="preserve">increase in the number of online classes offered by the College of Technology and an </w:t>
      </w:r>
      <w:r w:rsidR="008537C6" w:rsidRPr="002F6366">
        <w:t xml:space="preserve">increasing awareness </w:t>
      </w:r>
      <w:r w:rsidR="008537C6" w:rsidRPr="002F6366">
        <w:rPr>
          <w:noProof/>
        </w:rPr>
        <w:t xml:space="preserve">on the part of COT faculty </w:t>
      </w:r>
      <w:r w:rsidR="008537C6" w:rsidRPr="002F6366">
        <w:t xml:space="preserve">of the </w:t>
      </w:r>
      <w:r w:rsidR="005B4888">
        <w:t xml:space="preserve">electronic reserve service and the </w:t>
      </w:r>
      <w:r w:rsidR="008537C6" w:rsidRPr="002F6366">
        <w:t>importance of providing 24/7 access to course materials.</w:t>
      </w:r>
    </w:p>
    <w:p w:rsidR="002D0AE6" w:rsidRPr="008537C6" w:rsidRDefault="008537C6" w:rsidP="00F72F27">
      <w:r w:rsidRPr="008537C6">
        <w:t xml:space="preserve"> </w:t>
      </w:r>
      <w:r w:rsidR="002D0AE6" w:rsidRPr="008537C6">
        <w:t xml:space="preserve"> </w:t>
      </w:r>
    </w:p>
    <w:p w:rsidR="002E159A" w:rsidRDefault="002E159A" w:rsidP="00F72F27"/>
    <w:p w:rsidR="002D0AE6" w:rsidRPr="008537C6" w:rsidRDefault="008537C6" w:rsidP="00F72F27">
      <w:r w:rsidRPr="008537C6">
        <w:lastRenderedPageBreak/>
        <w:t xml:space="preserve">Table 11. Circulation of traditional and electronic reserve materials at the Mansfield Library from FY2004 to FY2008 and at the Mansfield Library at the College of Technology from FY2005 to FY2008.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529"/>
        <w:gridCol w:w="1350"/>
        <w:gridCol w:w="1350"/>
        <w:gridCol w:w="1442"/>
        <w:gridCol w:w="1403"/>
      </w:tblGrid>
      <w:tr w:rsidR="002D0AE6" w:rsidRPr="00CC29C9" w:rsidTr="00CC29C9">
        <w:trPr>
          <w:trHeight w:val="300"/>
        </w:trPr>
        <w:tc>
          <w:tcPr>
            <w:tcW w:w="1516" w:type="pct"/>
            <w:noWrap/>
            <w:hideMark/>
          </w:tcPr>
          <w:p w:rsidR="002D0AE6" w:rsidRPr="00CC29C9" w:rsidRDefault="002D0AE6" w:rsidP="00CC29C9">
            <w:pPr>
              <w:rPr>
                <w:rFonts w:ascii="Calibri" w:eastAsia="Times New Roman" w:hAnsi="Calibri"/>
                <w:b/>
                <w:color w:val="000000"/>
              </w:rPr>
            </w:pPr>
            <w:r w:rsidRPr="00CC29C9">
              <w:rPr>
                <w:rFonts w:ascii="Calibri" w:eastAsia="Times New Roman" w:hAnsi="Calibri"/>
                <w:b/>
                <w:color w:val="000000"/>
              </w:rPr>
              <w:t>Reserve Circulation</w:t>
            </w:r>
          </w:p>
        </w:tc>
        <w:tc>
          <w:tcPr>
            <w:tcW w:w="753" w:type="pct"/>
            <w:noWrap/>
            <w:vAlign w:val="center"/>
            <w:hideMark/>
          </w:tcPr>
          <w:p w:rsidR="002D0AE6" w:rsidRPr="00CC29C9" w:rsidRDefault="002D0AE6" w:rsidP="00CC29C9">
            <w:pPr>
              <w:jc w:val="center"/>
              <w:rPr>
                <w:rFonts w:ascii="Calibri" w:eastAsia="Times New Roman" w:hAnsi="Calibri"/>
                <w:b/>
                <w:color w:val="000000"/>
              </w:rPr>
            </w:pPr>
            <w:r w:rsidRPr="00CC29C9">
              <w:rPr>
                <w:rFonts w:ascii="Calibri" w:eastAsia="Times New Roman" w:hAnsi="Calibri"/>
                <w:b/>
                <w:color w:val="000000"/>
              </w:rPr>
              <w:t>2004</w:t>
            </w:r>
          </w:p>
        </w:tc>
        <w:tc>
          <w:tcPr>
            <w:tcW w:w="665" w:type="pct"/>
            <w:noWrap/>
            <w:vAlign w:val="center"/>
            <w:hideMark/>
          </w:tcPr>
          <w:p w:rsidR="002D0AE6" w:rsidRPr="00CC29C9" w:rsidRDefault="002D0AE6" w:rsidP="00CC29C9">
            <w:pPr>
              <w:jc w:val="center"/>
              <w:rPr>
                <w:rFonts w:ascii="Calibri" w:eastAsia="Times New Roman" w:hAnsi="Calibri"/>
                <w:b/>
                <w:color w:val="000000"/>
              </w:rPr>
            </w:pPr>
            <w:r w:rsidRPr="00CC29C9">
              <w:rPr>
                <w:rFonts w:ascii="Calibri" w:eastAsia="Times New Roman" w:hAnsi="Calibri"/>
                <w:b/>
                <w:color w:val="000000"/>
              </w:rPr>
              <w:t>2005</w:t>
            </w:r>
          </w:p>
        </w:tc>
        <w:tc>
          <w:tcPr>
            <w:tcW w:w="665" w:type="pct"/>
            <w:noWrap/>
            <w:vAlign w:val="center"/>
            <w:hideMark/>
          </w:tcPr>
          <w:p w:rsidR="002D0AE6" w:rsidRPr="00CC29C9" w:rsidRDefault="002D0AE6" w:rsidP="00CC29C9">
            <w:pPr>
              <w:jc w:val="center"/>
              <w:rPr>
                <w:rFonts w:ascii="Calibri" w:eastAsia="Times New Roman" w:hAnsi="Calibri"/>
                <w:b/>
                <w:color w:val="000000"/>
              </w:rPr>
            </w:pPr>
            <w:r w:rsidRPr="00CC29C9">
              <w:rPr>
                <w:rFonts w:ascii="Calibri" w:eastAsia="Times New Roman" w:hAnsi="Calibri"/>
                <w:b/>
                <w:color w:val="000000"/>
              </w:rPr>
              <w:t>2006</w:t>
            </w:r>
          </w:p>
        </w:tc>
        <w:tc>
          <w:tcPr>
            <w:tcW w:w="710" w:type="pct"/>
            <w:noWrap/>
            <w:vAlign w:val="center"/>
            <w:hideMark/>
          </w:tcPr>
          <w:p w:rsidR="002D0AE6" w:rsidRPr="00CC29C9" w:rsidRDefault="002D0AE6" w:rsidP="00CC29C9">
            <w:pPr>
              <w:jc w:val="center"/>
              <w:rPr>
                <w:rFonts w:ascii="Calibri" w:eastAsia="Times New Roman" w:hAnsi="Calibri"/>
                <w:b/>
                <w:color w:val="000000"/>
              </w:rPr>
            </w:pPr>
            <w:r w:rsidRPr="00CC29C9">
              <w:rPr>
                <w:rFonts w:ascii="Calibri" w:eastAsia="Times New Roman" w:hAnsi="Calibri"/>
                <w:b/>
                <w:color w:val="000000"/>
              </w:rPr>
              <w:t>2007</w:t>
            </w:r>
          </w:p>
        </w:tc>
        <w:tc>
          <w:tcPr>
            <w:tcW w:w="691" w:type="pct"/>
            <w:noWrap/>
            <w:vAlign w:val="center"/>
            <w:hideMark/>
          </w:tcPr>
          <w:p w:rsidR="002D0AE6" w:rsidRPr="00CC29C9" w:rsidRDefault="002D0AE6" w:rsidP="00CC29C9">
            <w:pPr>
              <w:jc w:val="center"/>
              <w:rPr>
                <w:rFonts w:ascii="Calibri" w:eastAsia="Times New Roman" w:hAnsi="Calibri"/>
                <w:b/>
                <w:color w:val="000000"/>
              </w:rPr>
            </w:pPr>
            <w:r w:rsidRPr="00CC29C9">
              <w:rPr>
                <w:rFonts w:ascii="Calibri" w:eastAsia="Times New Roman" w:hAnsi="Calibri"/>
                <w:b/>
                <w:color w:val="000000"/>
              </w:rPr>
              <w:t>2008</w:t>
            </w:r>
          </w:p>
        </w:tc>
      </w:tr>
      <w:tr w:rsidR="002D0AE6" w:rsidRPr="00CC29C9" w:rsidTr="00CC29C9">
        <w:trPr>
          <w:trHeight w:val="300"/>
        </w:trPr>
        <w:tc>
          <w:tcPr>
            <w:tcW w:w="1516" w:type="pct"/>
            <w:noWrap/>
            <w:hideMark/>
          </w:tcPr>
          <w:p w:rsidR="002D0AE6" w:rsidRPr="00CC29C9" w:rsidRDefault="002D0AE6" w:rsidP="00CC29C9">
            <w:pPr>
              <w:rPr>
                <w:rFonts w:ascii="Calibri" w:eastAsia="Times New Roman" w:hAnsi="Calibri"/>
                <w:color w:val="000000"/>
              </w:rPr>
            </w:pPr>
            <w:r w:rsidRPr="00CC29C9">
              <w:rPr>
                <w:rFonts w:ascii="Calibri" w:eastAsia="Times New Roman" w:hAnsi="Calibri"/>
                <w:color w:val="000000"/>
              </w:rPr>
              <w:t>Traditional</w:t>
            </w:r>
            <w:r w:rsidR="008537C6" w:rsidRPr="00CC29C9">
              <w:rPr>
                <w:rFonts w:ascii="Calibri" w:eastAsia="Times New Roman" w:hAnsi="Calibri"/>
                <w:color w:val="000000"/>
              </w:rPr>
              <w:t xml:space="preserve"> Reserves</w:t>
            </w:r>
          </w:p>
        </w:tc>
        <w:tc>
          <w:tcPr>
            <w:tcW w:w="753"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24,265</w:t>
            </w: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18,936</w:t>
            </w: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21,164</w:t>
            </w:r>
          </w:p>
        </w:tc>
        <w:tc>
          <w:tcPr>
            <w:tcW w:w="710"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18,914</w:t>
            </w:r>
          </w:p>
        </w:tc>
        <w:tc>
          <w:tcPr>
            <w:tcW w:w="691"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18,354</w:t>
            </w:r>
          </w:p>
        </w:tc>
      </w:tr>
      <w:tr w:rsidR="002D0AE6" w:rsidRPr="00CC29C9" w:rsidTr="00CC29C9">
        <w:trPr>
          <w:trHeight w:val="300"/>
        </w:trPr>
        <w:tc>
          <w:tcPr>
            <w:tcW w:w="1516" w:type="pct"/>
            <w:noWrap/>
            <w:hideMark/>
          </w:tcPr>
          <w:p w:rsidR="002D0AE6" w:rsidRPr="00CC29C9" w:rsidRDefault="002D0AE6" w:rsidP="00CC29C9">
            <w:pPr>
              <w:rPr>
                <w:rFonts w:ascii="Calibri" w:eastAsia="Times New Roman" w:hAnsi="Calibri"/>
                <w:color w:val="000000"/>
              </w:rPr>
            </w:pPr>
            <w:r w:rsidRPr="00CC29C9">
              <w:rPr>
                <w:rFonts w:ascii="Calibri" w:eastAsia="Times New Roman" w:hAnsi="Calibri"/>
                <w:color w:val="000000"/>
              </w:rPr>
              <w:t>Electronic</w:t>
            </w:r>
            <w:r w:rsidR="008537C6" w:rsidRPr="00CC29C9">
              <w:rPr>
                <w:rFonts w:ascii="Calibri" w:eastAsia="Times New Roman" w:hAnsi="Calibri"/>
                <w:color w:val="000000"/>
              </w:rPr>
              <w:t xml:space="preserve"> Reserves</w:t>
            </w:r>
          </w:p>
        </w:tc>
        <w:tc>
          <w:tcPr>
            <w:tcW w:w="753"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680,147</w:t>
            </w: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749,319</w:t>
            </w: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416,262</w:t>
            </w:r>
          </w:p>
        </w:tc>
        <w:tc>
          <w:tcPr>
            <w:tcW w:w="710"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397,438</w:t>
            </w:r>
          </w:p>
        </w:tc>
        <w:tc>
          <w:tcPr>
            <w:tcW w:w="691"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439,629</w:t>
            </w:r>
          </w:p>
        </w:tc>
      </w:tr>
      <w:tr w:rsidR="002D0AE6" w:rsidRPr="00CC29C9" w:rsidTr="00CC29C9">
        <w:trPr>
          <w:trHeight w:val="300"/>
        </w:trPr>
        <w:tc>
          <w:tcPr>
            <w:tcW w:w="1516" w:type="pct"/>
            <w:noWrap/>
            <w:hideMark/>
          </w:tcPr>
          <w:p w:rsidR="002D0AE6" w:rsidRPr="00CC29C9" w:rsidRDefault="002D0AE6" w:rsidP="00CC29C9">
            <w:pPr>
              <w:rPr>
                <w:rFonts w:ascii="Calibri" w:eastAsia="Times New Roman" w:hAnsi="Calibri"/>
                <w:color w:val="000000"/>
              </w:rPr>
            </w:pPr>
            <w:r w:rsidRPr="00CC29C9">
              <w:rPr>
                <w:rFonts w:ascii="Calibri" w:eastAsia="Times New Roman" w:hAnsi="Calibri"/>
                <w:color w:val="000000"/>
              </w:rPr>
              <w:t>COT</w:t>
            </w:r>
            <w:r w:rsidR="008537C6" w:rsidRPr="00CC29C9">
              <w:rPr>
                <w:rFonts w:ascii="Calibri" w:eastAsia="Times New Roman" w:hAnsi="Calibri"/>
                <w:color w:val="000000"/>
              </w:rPr>
              <w:t xml:space="preserve"> Traditional Reserves</w:t>
            </w:r>
          </w:p>
        </w:tc>
        <w:tc>
          <w:tcPr>
            <w:tcW w:w="753" w:type="pct"/>
            <w:noWrap/>
            <w:hideMark/>
          </w:tcPr>
          <w:p w:rsidR="002D0AE6" w:rsidRPr="00CC29C9" w:rsidRDefault="002D0AE6" w:rsidP="00CC29C9">
            <w:pPr>
              <w:rPr>
                <w:rFonts w:ascii="Calibri" w:eastAsia="Times New Roman" w:hAnsi="Calibri"/>
                <w:color w:val="000000"/>
              </w:rPr>
            </w:pP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730</w:t>
            </w: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567</w:t>
            </w:r>
          </w:p>
        </w:tc>
        <w:tc>
          <w:tcPr>
            <w:tcW w:w="710"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1,304</w:t>
            </w:r>
          </w:p>
        </w:tc>
        <w:tc>
          <w:tcPr>
            <w:tcW w:w="691"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1,202</w:t>
            </w:r>
          </w:p>
        </w:tc>
      </w:tr>
      <w:tr w:rsidR="002D0AE6" w:rsidRPr="00CC29C9" w:rsidTr="00CC29C9">
        <w:trPr>
          <w:trHeight w:val="300"/>
        </w:trPr>
        <w:tc>
          <w:tcPr>
            <w:tcW w:w="1516" w:type="pct"/>
            <w:noWrap/>
            <w:hideMark/>
          </w:tcPr>
          <w:p w:rsidR="002D0AE6" w:rsidRPr="00CC29C9" w:rsidRDefault="002D0AE6" w:rsidP="00CC29C9">
            <w:pPr>
              <w:rPr>
                <w:rFonts w:ascii="Calibri" w:eastAsia="Times New Roman" w:hAnsi="Calibri"/>
                <w:color w:val="000000"/>
              </w:rPr>
            </w:pPr>
            <w:r w:rsidRPr="00CC29C9">
              <w:rPr>
                <w:rFonts w:ascii="Calibri" w:eastAsia="Times New Roman" w:hAnsi="Calibri"/>
                <w:color w:val="000000"/>
              </w:rPr>
              <w:t>COT Electronic</w:t>
            </w:r>
            <w:r w:rsidR="008537C6" w:rsidRPr="00CC29C9">
              <w:rPr>
                <w:rFonts w:ascii="Calibri" w:eastAsia="Times New Roman" w:hAnsi="Calibri"/>
                <w:color w:val="000000"/>
              </w:rPr>
              <w:t xml:space="preserve"> Reserves</w:t>
            </w:r>
          </w:p>
        </w:tc>
        <w:tc>
          <w:tcPr>
            <w:tcW w:w="753" w:type="pct"/>
          </w:tcPr>
          <w:p w:rsidR="002D0AE6" w:rsidRPr="00CC29C9" w:rsidRDefault="002D0AE6" w:rsidP="00CC29C9">
            <w:pPr>
              <w:rPr>
                <w:rFonts w:ascii="Calibri" w:eastAsia="Times New Roman" w:hAnsi="Calibri"/>
                <w:color w:val="000000"/>
              </w:rPr>
            </w:pP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0</w:t>
            </w:r>
          </w:p>
        </w:tc>
        <w:tc>
          <w:tcPr>
            <w:tcW w:w="665"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327</w:t>
            </w:r>
          </w:p>
        </w:tc>
        <w:tc>
          <w:tcPr>
            <w:tcW w:w="710"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462</w:t>
            </w:r>
          </w:p>
        </w:tc>
        <w:tc>
          <w:tcPr>
            <w:tcW w:w="691" w:type="pct"/>
            <w:noWrap/>
            <w:hideMark/>
          </w:tcPr>
          <w:p w:rsidR="002D0AE6" w:rsidRPr="00CC29C9" w:rsidRDefault="002D0AE6" w:rsidP="00CC29C9">
            <w:pPr>
              <w:jc w:val="right"/>
              <w:rPr>
                <w:rFonts w:ascii="Calibri" w:eastAsia="Times New Roman" w:hAnsi="Calibri"/>
                <w:color w:val="000000"/>
              </w:rPr>
            </w:pPr>
            <w:r w:rsidRPr="00CC29C9">
              <w:rPr>
                <w:rFonts w:ascii="Calibri" w:eastAsia="Times New Roman" w:hAnsi="Calibri"/>
                <w:color w:val="000000"/>
              </w:rPr>
              <w:t>3,275</w:t>
            </w:r>
          </w:p>
        </w:tc>
      </w:tr>
    </w:tbl>
    <w:p w:rsidR="002D0AE6" w:rsidRPr="00162C33" w:rsidRDefault="002D0AE6" w:rsidP="00F72F27">
      <w:pPr>
        <w:rPr>
          <w:rFonts w:ascii="Geneva" w:hAnsi="Geneva"/>
        </w:rPr>
      </w:pPr>
    </w:p>
    <w:p w:rsidR="00F72F27" w:rsidRPr="00526024" w:rsidRDefault="00F72F27" w:rsidP="00F72F27">
      <w:pPr>
        <w:rPr>
          <w:rFonts w:ascii="Geneva" w:hAnsi="Geneva"/>
        </w:rPr>
      </w:pPr>
    </w:p>
    <w:p w:rsidR="00F72F27" w:rsidRPr="002E159A" w:rsidRDefault="008537C6" w:rsidP="00F72F27">
      <w:r w:rsidRPr="002E159A">
        <w:t xml:space="preserve">Total </w:t>
      </w:r>
      <w:r w:rsidR="00267143" w:rsidRPr="002E159A">
        <w:t>i</w:t>
      </w:r>
      <w:r w:rsidRPr="002E159A">
        <w:t xml:space="preserve">nterlibrary loan borrowing decreased 6.2% from FY2005 to FY2008 (Table 12). Within formats, borrowing for articles decreased 41.3%; borrowing for monographs increased </w:t>
      </w:r>
      <w:r w:rsidR="00267143" w:rsidRPr="002E159A">
        <w:t>23.5%; and document deli</w:t>
      </w:r>
      <w:r w:rsidR="003400A3">
        <w:t xml:space="preserve">very borrowing increased 39.8%. </w:t>
      </w:r>
      <w:r w:rsidR="00954463">
        <w:t xml:space="preserve">Beginning in 2007, document delivery was tabulated as the electronic delivery of Mansfield Library materials to UM patrons, a new service made available to faculty and graduate students. </w:t>
      </w:r>
      <w:r w:rsidR="003400A3">
        <w:t>The decrease in article borrowing may reflect the 140.0% increase in jour</w:t>
      </w:r>
      <w:r w:rsidR="00954463">
        <w:t>nal subscriptions during this same time period</w:t>
      </w:r>
      <w:r w:rsidR="003400A3">
        <w:t xml:space="preserve">. </w:t>
      </w:r>
    </w:p>
    <w:p w:rsidR="00267143" w:rsidRPr="002E159A" w:rsidRDefault="00267143" w:rsidP="00F72F27"/>
    <w:p w:rsidR="00267143" w:rsidRPr="002E159A" w:rsidRDefault="00267143" w:rsidP="00267143">
      <w:r w:rsidRPr="002E159A">
        <w:t>Total</w:t>
      </w:r>
      <w:r w:rsidR="003400A3">
        <w:t xml:space="preserve"> interlibrary loan lending </w:t>
      </w:r>
      <w:r w:rsidRPr="002E159A">
        <w:t xml:space="preserve">decreased 26.1%. Within formats, </w:t>
      </w:r>
      <w:r w:rsidR="002E159A">
        <w:t>lending of</w:t>
      </w:r>
      <w:r w:rsidRPr="002E159A">
        <w:t xml:space="preserve"> articles decreased 42.2%; and </w:t>
      </w:r>
      <w:r w:rsidR="002E159A">
        <w:t xml:space="preserve">lending of </w:t>
      </w:r>
      <w:r w:rsidRPr="002E159A">
        <w:t>monographs remained stable.</w:t>
      </w:r>
      <w:r w:rsidR="00954463">
        <w:t xml:space="preserve"> Throughout this entire </w:t>
      </w:r>
      <w:r w:rsidR="001031E2">
        <w:t xml:space="preserve">time period, inaccurate serial </w:t>
      </w:r>
      <w:r w:rsidR="00954463">
        <w:t>holdings</w:t>
      </w:r>
      <w:r w:rsidR="001031E2">
        <w:t xml:space="preserve"> information was reflected in OCLC; accurate serials holdings were loaded into OCLC in FY2009.</w:t>
      </w:r>
    </w:p>
    <w:p w:rsidR="00F72F27" w:rsidRPr="00526024" w:rsidRDefault="00267143" w:rsidP="00F72F27">
      <w:pPr>
        <w:rPr>
          <w:rFonts w:ascii="Geneva" w:hAnsi="Geneva"/>
          <w:noProof/>
        </w:rPr>
      </w:pPr>
      <w:r>
        <w:rPr>
          <w:rFonts w:ascii="Geneva" w:hAnsi="Geneva"/>
        </w:rPr>
        <w:t xml:space="preserve"> </w:t>
      </w:r>
    </w:p>
    <w:p w:rsidR="00F72F27" w:rsidRPr="008537C6" w:rsidRDefault="008537C6" w:rsidP="00F72F27">
      <w:r w:rsidRPr="008537C6">
        <w:t xml:space="preserve">Table 12. </w:t>
      </w:r>
      <w:r>
        <w:t>Interlibrary Loan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EF32BF" w:rsidRPr="005B4888" w:rsidTr="00897845">
        <w:trPr>
          <w:trHeight w:val="20"/>
        </w:trPr>
        <w:tc>
          <w:tcPr>
            <w:tcW w:w="1915" w:type="dxa"/>
          </w:tcPr>
          <w:p w:rsidR="00EF32BF" w:rsidRPr="005B4888" w:rsidRDefault="00EF32BF" w:rsidP="005B4888">
            <w:pPr>
              <w:pStyle w:val="NoSpacing"/>
              <w:rPr>
                <w:b/>
              </w:rPr>
            </w:pPr>
            <w:r w:rsidRPr="005B4888">
              <w:rPr>
                <w:b/>
              </w:rPr>
              <w:t>Borrowing</w:t>
            </w:r>
          </w:p>
        </w:tc>
        <w:tc>
          <w:tcPr>
            <w:tcW w:w="1915" w:type="dxa"/>
          </w:tcPr>
          <w:p w:rsidR="00EF32BF" w:rsidRPr="005B4888" w:rsidRDefault="00EF32BF" w:rsidP="005B4888">
            <w:pPr>
              <w:pStyle w:val="NoSpacing"/>
              <w:jc w:val="center"/>
              <w:rPr>
                <w:b/>
              </w:rPr>
            </w:pPr>
            <w:r w:rsidRPr="005B4888">
              <w:rPr>
                <w:b/>
              </w:rPr>
              <w:t>2005</w:t>
            </w:r>
          </w:p>
        </w:tc>
        <w:tc>
          <w:tcPr>
            <w:tcW w:w="1915" w:type="dxa"/>
          </w:tcPr>
          <w:p w:rsidR="00EF32BF" w:rsidRPr="005B4888" w:rsidRDefault="00EF32BF" w:rsidP="005B4888">
            <w:pPr>
              <w:pStyle w:val="NoSpacing"/>
              <w:jc w:val="center"/>
              <w:rPr>
                <w:b/>
              </w:rPr>
            </w:pPr>
            <w:r w:rsidRPr="005B4888">
              <w:rPr>
                <w:b/>
              </w:rPr>
              <w:t>2006</w:t>
            </w:r>
          </w:p>
        </w:tc>
        <w:tc>
          <w:tcPr>
            <w:tcW w:w="1915" w:type="dxa"/>
          </w:tcPr>
          <w:p w:rsidR="00EF32BF" w:rsidRPr="005B4888" w:rsidRDefault="00EF32BF" w:rsidP="005B4888">
            <w:pPr>
              <w:pStyle w:val="NoSpacing"/>
              <w:jc w:val="center"/>
              <w:rPr>
                <w:b/>
              </w:rPr>
            </w:pPr>
            <w:r w:rsidRPr="005B4888">
              <w:rPr>
                <w:b/>
              </w:rPr>
              <w:t>2007</w:t>
            </w:r>
          </w:p>
        </w:tc>
        <w:tc>
          <w:tcPr>
            <w:tcW w:w="1916" w:type="dxa"/>
          </w:tcPr>
          <w:p w:rsidR="00EF32BF" w:rsidRPr="005B4888" w:rsidRDefault="00EF32BF" w:rsidP="005B4888">
            <w:pPr>
              <w:pStyle w:val="NoSpacing"/>
              <w:jc w:val="center"/>
              <w:rPr>
                <w:b/>
              </w:rPr>
            </w:pPr>
            <w:r w:rsidRPr="005B4888">
              <w:rPr>
                <w:b/>
              </w:rPr>
              <w:t>2008</w:t>
            </w:r>
          </w:p>
        </w:tc>
      </w:tr>
      <w:tr w:rsidR="00EF32BF" w:rsidTr="00897845">
        <w:trPr>
          <w:trHeight w:val="20"/>
        </w:trPr>
        <w:tc>
          <w:tcPr>
            <w:tcW w:w="1915" w:type="dxa"/>
          </w:tcPr>
          <w:p w:rsidR="00EF32BF" w:rsidRDefault="00EF32BF" w:rsidP="005B4888">
            <w:pPr>
              <w:pStyle w:val="NoSpacing"/>
            </w:pPr>
            <w:r>
              <w:t>Articles</w:t>
            </w:r>
          </w:p>
        </w:tc>
        <w:tc>
          <w:tcPr>
            <w:tcW w:w="1915" w:type="dxa"/>
          </w:tcPr>
          <w:p w:rsidR="00EF32BF" w:rsidRDefault="00EF32BF" w:rsidP="005B4888">
            <w:pPr>
              <w:pStyle w:val="NoSpacing"/>
              <w:jc w:val="right"/>
            </w:pPr>
            <w:r>
              <w:t>9</w:t>
            </w:r>
            <w:r w:rsidR="00B07E54">
              <w:t>,</w:t>
            </w:r>
            <w:r>
              <w:t>294</w:t>
            </w:r>
          </w:p>
        </w:tc>
        <w:tc>
          <w:tcPr>
            <w:tcW w:w="1915" w:type="dxa"/>
          </w:tcPr>
          <w:p w:rsidR="00EF32BF" w:rsidRDefault="00EF32BF" w:rsidP="005B4888">
            <w:pPr>
              <w:pStyle w:val="NoSpacing"/>
              <w:jc w:val="right"/>
            </w:pPr>
            <w:r>
              <w:t>8</w:t>
            </w:r>
            <w:r w:rsidR="00B07E54">
              <w:t>,</w:t>
            </w:r>
            <w:r>
              <w:t>296</w:t>
            </w:r>
          </w:p>
        </w:tc>
        <w:tc>
          <w:tcPr>
            <w:tcW w:w="1915" w:type="dxa"/>
          </w:tcPr>
          <w:p w:rsidR="00EF32BF" w:rsidRDefault="00EF32BF" w:rsidP="005B4888">
            <w:pPr>
              <w:pStyle w:val="NoSpacing"/>
              <w:jc w:val="right"/>
            </w:pPr>
            <w:r>
              <w:t>6</w:t>
            </w:r>
            <w:r w:rsidR="00B07E54">
              <w:t>,</w:t>
            </w:r>
            <w:r>
              <w:t>984</w:t>
            </w:r>
          </w:p>
        </w:tc>
        <w:tc>
          <w:tcPr>
            <w:tcW w:w="1916" w:type="dxa"/>
          </w:tcPr>
          <w:p w:rsidR="00EF32BF" w:rsidRDefault="00EF32BF" w:rsidP="005B4888">
            <w:pPr>
              <w:pStyle w:val="NoSpacing"/>
              <w:jc w:val="right"/>
            </w:pPr>
            <w:r>
              <w:t>5</w:t>
            </w:r>
            <w:r w:rsidR="00B07E54">
              <w:t>,</w:t>
            </w:r>
            <w:r>
              <w:t>459</w:t>
            </w:r>
          </w:p>
        </w:tc>
      </w:tr>
      <w:tr w:rsidR="00EF32BF" w:rsidTr="00897845">
        <w:trPr>
          <w:trHeight w:val="20"/>
        </w:trPr>
        <w:tc>
          <w:tcPr>
            <w:tcW w:w="1915" w:type="dxa"/>
          </w:tcPr>
          <w:p w:rsidR="00EF32BF" w:rsidRDefault="00EF32BF" w:rsidP="005B4888">
            <w:pPr>
              <w:pStyle w:val="NoSpacing"/>
            </w:pPr>
            <w:r>
              <w:t>Loans</w:t>
            </w:r>
          </w:p>
        </w:tc>
        <w:tc>
          <w:tcPr>
            <w:tcW w:w="1915" w:type="dxa"/>
          </w:tcPr>
          <w:p w:rsidR="00EF32BF" w:rsidRDefault="00EF32BF" w:rsidP="005B4888">
            <w:pPr>
              <w:pStyle w:val="NoSpacing"/>
              <w:jc w:val="right"/>
            </w:pPr>
            <w:r>
              <w:t>7</w:t>
            </w:r>
            <w:r w:rsidR="00B07E54">
              <w:t>,</w:t>
            </w:r>
            <w:r>
              <w:t>254</w:t>
            </w:r>
          </w:p>
        </w:tc>
        <w:tc>
          <w:tcPr>
            <w:tcW w:w="1915" w:type="dxa"/>
          </w:tcPr>
          <w:p w:rsidR="00EF32BF" w:rsidRDefault="00EF32BF" w:rsidP="005B4888">
            <w:pPr>
              <w:pStyle w:val="NoSpacing"/>
              <w:jc w:val="right"/>
            </w:pPr>
            <w:r>
              <w:t>9</w:t>
            </w:r>
            <w:r w:rsidR="00B07E54">
              <w:t>,</w:t>
            </w:r>
            <w:r>
              <w:t>033</w:t>
            </w:r>
          </w:p>
        </w:tc>
        <w:tc>
          <w:tcPr>
            <w:tcW w:w="1915" w:type="dxa"/>
          </w:tcPr>
          <w:p w:rsidR="00EF32BF" w:rsidRDefault="00EF32BF" w:rsidP="005B4888">
            <w:pPr>
              <w:pStyle w:val="NoSpacing"/>
              <w:jc w:val="right"/>
            </w:pPr>
            <w:r>
              <w:t>8</w:t>
            </w:r>
            <w:r w:rsidR="00B07E54">
              <w:t>,</w:t>
            </w:r>
            <w:r>
              <w:t>053</w:t>
            </w:r>
          </w:p>
        </w:tc>
        <w:tc>
          <w:tcPr>
            <w:tcW w:w="1916" w:type="dxa"/>
          </w:tcPr>
          <w:p w:rsidR="00EF32BF" w:rsidRDefault="00EF32BF" w:rsidP="005B4888">
            <w:pPr>
              <w:pStyle w:val="NoSpacing"/>
              <w:jc w:val="right"/>
            </w:pPr>
            <w:r>
              <w:t>9</w:t>
            </w:r>
            <w:r w:rsidR="00B07E54">
              <w:t>,</w:t>
            </w:r>
            <w:r>
              <w:t>488</w:t>
            </w:r>
          </w:p>
        </w:tc>
      </w:tr>
      <w:tr w:rsidR="00EF32BF" w:rsidTr="00897845">
        <w:trPr>
          <w:trHeight w:val="20"/>
        </w:trPr>
        <w:tc>
          <w:tcPr>
            <w:tcW w:w="1915" w:type="dxa"/>
          </w:tcPr>
          <w:p w:rsidR="00EF32BF" w:rsidRDefault="00EF32BF" w:rsidP="005B4888">
            <w:pPr>
              <w:pStyle w:val="NoSpacing"/>
            </w:pPr>
            <w:r>
              <w:t>Document Del</w:t>
            </w:r>
          </w:p>
        </w:tc>
        <w:tc>
          <w:tcPr>
            <w:tcW w:w="1915" w:type="dxa"/>
          </w:tcPr>
          <w:p w:rsidR="00EF32BF" w:rsidRDefault="00EF32BF" w:rsidP="005B4888">
            <w:pPr>
              <w:pStyle w:val="NoSpacing"/>
              <w:jc w:val="right"/>
            </w:pPr>
            <w:r>
              <w:t>790</w:t>
            </w:r>
          </w:p>
        </w:tc>
        <w:tc>
          <w:tcPr>
            <w:tcW w:w="1915" w:type="dxa"/>
          </w:tcPr>
          <w:p w:rsidR="00EF32BF" w:rsidRDefault="00EF32BF" w:rsidP="005B4888">
            <w:pPr>
              <w:pStyle w:val="NoSpacing"/>
              <w:jc w:val="right"/>
            </w:pPr>
            <w:r>
              <w:t>790</w:t>
            </w:r>
          </w:p>
        </w:tc>
        <w:tc>
          <w:tcPr>
            <w:tcW w:w="1915" w:type="dxa"/>
          </w:tcPr>
          <w:p w:rsidR="00EF32BF" w:rsidRDefault="00EF32BF" w:rsidP="005B4888">
            <w:pPr>
              <w:pStyle w:val="NoSpacing"/>
              <w:jc w:val="right"/>
            </w:pPr>
            <w:r>
              <w:t>1</w:t>
            </w:r>
            <w:r w:rsidR="00B07E54">
              <w:t>,</w:t>
            </w:r>
            <w:r>
              <w:t>095</w:t>
            </w:r>
          </w:p>
        </w:tc>
        <w:tc>
          <w:tcPr>
            <w:tcW w:w="1916" w:type="dxa"/>
          </w:tcPr>
          <w:p w:rsidR="00EF32BF" w:rsidRDefault="00EF32BF" w:rsidP="005B4888">
            <w:pPr>
              <w:pStyle w:val="NoSpacing"/>
              <w:jc w:val="right"/>
            </w:pPr>
            <w:r>
              <w:t>1</w:t>
            </w:r>
            <w:r w:rsidR="00B07E54">
              <w:t>,</w:t>
            </w:r>
            <w:r>
              <w:t>313</w:t>
            </w:r>
          </w:p>
        </w:tc>
      </w:tr>
      <w:tr w:rsidR="00EF32BF" w:rsidTr="00897845">
        <w:trPr>
          <w:trHeight w:val="20"/>
        </w:trPr>
        <w:tc>
          <w:tcPr>
            <w:tcW w:w="1915" w:type="dxa"/>
          </w:tcPr>
          <w:p w:rsidR="00EF32BF" w:rsidRDefault="00EF32BF" w:rsidP="005B4888">
            <w:pPr>
              <w:pStyle w:val="NoSpacing"/>
            </w:pPr>
            <w:r>
              <w:t>TOTAL</w:t>
            </w:r>
          </w:p>
        </w:tc>
        <w:tc>
          <w:tcPr>
            <w:tcW w:w="1915" w:type="dxa"/>
          </w:tcPr>
          <w:p w:rsidR="00EF32BF" w:rsidRDefault="00EF32BF" w:rsidP="005B4888">
            <w:pPr>
              <w:pStyle w:val="NoSpacing"/>
              <w:jc w:val="right"/>
            </w:pPr>
            <w:r>
              <w:t>17,338</w:t>
            </w:r>
          </w:p>
        </w:tc>
        <w:tc>
          <w:tcPr>
            <w:tcW w:w="1915" w:type="dxa"/>
          </w:tcPr>
          <w:p w:rsidR="00EF32BF" w:rsidRDefault="00EF32BF" w:rsidP="005B4888">
            <w:pPr>
              <w:pStyle w:val="NoSpacing"/>
              <w:jc w:val="right"/>
            </w:pPr>
            <w:r>
              <w:t>18,119</w:t>
            </w:r>
          </w:p>
        </w:tc>
        <w:tc>
          <w:tcPr>
            <w:tcW w:w="1915" w:type="dxa"/>
          </w:tcPr>
          <w:p w:rsidR="00EF32BF" w:rsidRDefault="00EF32BF" w:rsidP="005B4888">
            <w:pPr>
              <w:pStyle w:val="NoSpacing"/>
              <w:jc w:val="right"/>
            </w:pPr>
            <w:r>
              <w:t>16,132</w:t>
            </w:r>
          </w:p>
        </w:tc>
        <w:tc>
          <w:tcPr>
            <w:tcW w:w="1916" w:type="dxa"/>
          </w:tcPr>
          <w:p w:rsidR="00EF32BF" w:rsidRDefault="00EF32BF" w:rsidP="005B4888">
            <w:pPr>
              <w:pStyle w:val="NoSpacing"/>
              <w:jc w:val="right"/>
            </w:pPr>
            <w:r>
              <w:t>16,260</w:t>
            </w:r>
          </w:p>
        </w:tc>
      </w:tr>
      <w:tr w:rsidR="005B4888" w:rsidTr="000E6620">
        <w:trPr>
          <w:trHeight w:val="20"/>
        </w:trPr>
        <w:tc>
          <w:tcPr>
            <w:tcW w:w="9576" w:type="dxa"/>
            <w:gridSpan w:val="5"/>
          </w:tcPr>
          <w:p w:rsidR="005B4888" w:rsidRDefault="005B4888" w:rsidP="005B4888">
            <w:pPr>
              <w:pStyle w:val="NoSpacing"/>
            </w:pPr>
          </w:p>
        </w:tc>
      </w:tr>
      <w:tr w:rsidR="00EF32BF" w:rsidRPr="005B4888" w:rsidTr="00897845">
        <w:trPr>
          <w:trHeight w:val="20"/>
        </w:trPr>
        <w:tc>
          <w:tcPr>
            <w:tcW w:w="1915" w:type="dxa"/>
          </w:tcPr>
          <w:p w:rsidR="00EF32BF" w:rsidRPr="005B4888" w:rsidRDefault="00EF32BF" w:rsidP="005B4888">
            <w:pPr>
              <w:pStyle w:val="NoSpacing"/>
              <w:rPr>
                <w:b/>
              </w:rPr>
            </w:pPr>
            <w:r w:rsidRPr="005B4888">
              <w:rPr>
                <w:b/>
              </w:rPr>
              <w:t>Lending</w:t>
            </w:r>
          </w:p>
        </w:tc>
        <w:tc>
          <w:tcPr>
            <w:tcW w:w="1915" w:type="dxa"/>
          </w:tcPr>
          <w:p w:rsidR="00EF32BF" w:rsidRPr="005B4888" w:rsidRDefault="00EF32BF" w:rsidP="005B4888">
            <w:pPr>
              <w:pStyle w:val="NoSpacing"/>
              <w:jc w:val="center"/>
              <w:rPr>
                <w:b/>
              </w:rPr>
            </w:pPr>
            <w:r w:rsidRPr="005B4888">
              <w:rPr>
                <w:b/>
              </w:rPr>
              <w:t>2005</w:t>
            </w:r>
          </w:p>
        </w:tc>
        <w:tc>
          <w:tcPr>
            <w:tcW w:w="1915" w:type="dxa"/>
          </w:tcPr>
          <w:p w:rsidR="00EF32BF" w:rsidRPr="005B4888" w:rsidRDefault="00EF32BF" w:rsidP="005B4888">
            <w:pPr>
              <w:pStyle w:val="NoSpacing"/>
              <w:jc w:val="center"/>
              <w:rPr>
                <w:b/>
              </w:rPr>
            </w:pPr>
            <w:r w:rsidRPr="005B4888">
              <w:rPr>
                <w:b/>
              </w:rPr>
              <w:t>2006</w:t>
            </w:r>
          </w:p>
        </w:tc>
        <w:tc>
          <w:tcPr>
            <w:tcW w:w="1915" w:type="dxa"/>
          </w:tcPr>
          <w:p w:rsidR="00EF32BF" w:rsidRPr="005B4888" w:rsidRDefault="00EF32BF" w:rsidP="005B4888">
            <w:pPr>
              <w:pStyle w:val="NoSpacing"/>
              <w:jc w:val="center"/>
              <w:rPr>
                <w:b/>
              </w:rPr>
            </w:pPr>
            <w:r w:rsidRPr="005B4888">
              <w:rPr>
                <w:b/>
              </w:rPr>
              <w:t>2007</w:t>
            </w:r>
          </w:p>
        </w:tc>
        <w:tc>
          <w:tcPr>
            <w:tcW w:w="1916" w:type="dxa"/>
          </w:tcPr>
          <w:p w:rsidR="00EF32BF" w:rsidRPr="005B4888" w:rsidRDefault="00EF32BF" w:rsidP="005B4888">
            <w:pPr>
              <w:pStyle w:val="NoSpacing"/>
              <w:jc w:val="center"/>
              <w:rPr>
                <w:b/>
              </w:rPr>
            </w:pPr>
            <w:r w:rsidRPr="005B4888">
              <w:rPr>
                <w:b/>
              </w:rPr>
              <w:t>2008</w:t>
            </w:r>
          </w:p>
        </w:tc>
      </w:tr>
      <w:tr w:rsidR="00EF32BF" w:rsidTr="00897845">
        <w:trPr>
          <w:trHeight w:val="20"/>
        </w:trPr>
        <w:tc>
          <w:tcPr>
            <w:tcW w:w="1915" w:type="dxa"/>
          </w:tcPr>
          <w:p w:rsidR="00EF32BF" w:rsidRDefault="00EF32BF" w:rsidP="005B4888">
            <w:pPr>
              <w:pStyle w:val="NoSpacing"/>
            </w:pPr>
            <w:r>
              <w:t>Articles</w:t>
            </w:r>
          </w:p>
        </w:tc>
        <w:tc>
          <w:tcPr>
            <w:tcW w:w="1915" w:type="dxa"/>
          </w:tcPr>
          <w:p w:rsidR="00EF32BF" w:rsidRDefault="00EF32BF" w:rsidP="005B4888">
            <w:pPr>
              <w:pStyle w:val="NoSpacing"/>
              <w:jc w:val="right"/>
            </w:pPr>
            <w:r>
              <w:t>14</w:t>
            </w:r>
            <w:r w:rsidR="002D0AE6">
              <w:t>,</w:t>
            </w:r>
            <w:r>
              <w:t>976</w:t>
            </w:r>
          </w:p>
        </w:tc>
        <w:tc>
          <w:tcPr>
            <w:tcW w:w="1915" w:type="dxa"/>
          </w:tcPr>
          <w:p w:rsidR="00EF32BF" w:rsidRDefault="00EF32BF" w:rsidP="005B4888">
            <w:pPr>
              <w:pStyle w:val="NoSpacing"/>
              <w:jc w:val="right"/>
            </w:pPr>
            <w:r>
              <w:t>13</w:t>
            </w:r>
            <w:r w:rsidR="002D0AE6">
              <w:t>,</w:t>
            </w:r>
            <w:r>
              <w:t>191</w:t>
            </w:r>
          </w:p>
        </w:tc>
        <w:tc>
          <w:tcPr>
            <w:tcW w:w="1915" w:type="dxa"/>
          </w:tcPr>
          <w:p w:rsidR="00EF32BF" w:rsidRDefault="00EF32BF" w:rsidP="005B4888">
            <w:pPr>
              <w:pStyle w:val="NoSpacing"/>
              <w:jc w:val="right"/>
            </w:pPr>
            <w:r>
              <w:t>11</w:t>
            </w:r>
            <w:r w:rsidR="002D0AE6">
              <w:t>,</w:t>
            </w:r>
            <w:r>
              <w:t>265</w:t>
            </w:r>
          </w:p>
        </w:tc>
        <w:tc>
          <w:tcPr>
            <w:tcW w:w="1916" w:type="dxa"/>
          </w:tcPr>
          <w:p w:rsidR="00EF32BF" w:rsidRDefault="00EF32BF" w:rsidP="005B4888">
            <w:pPr>
              <w:pStyle w:val="NoSpacing"/>
              <w:jc w:val="right"/>
            </w:pPr>
            <w:r>
              <w:t>8</w:t>
            </w:r>
            <w:r w:rsidR="00B07E54">
              <w:t>,</w:t>
            </w:r>
            <w:r>
              <w:t>652</w:t>
            </w:r>
          </w:p>
        </w:tc>
      </w:tr>
      <w:tr w:rsidR="00EF32BF" w:rsidTr="00897845">
        <w:trPr>
          <w:trHeight w:val="20"/>
        </w:trPr>
        <w:tc>
          <w:tcPr>
            <w:tcW w:w="1915" w:type="dxa"/>
          </w:tcPr>
          <w:p w:rsidR="00EF32BF" w:rsidRDefault="00EF32BF" w:rsidP="005B4888">
            <w:pPr>
              <w:pStyle w:val="NoSpacing"/>
            </w:pPr>
            <w:r>
              <w:t>Loans</w:t>
            </w:r>
          </w:p>
        </w:tc>
        <w:tc>
          <w:tcPr>
            <w:tcW w:w="1915" w:type="dxa"/>
          </w:tcPr>
          <w:p w:rsidR="00EF32BF" w:rsidRDefault="00EF32BF" w:rsidP="005B4888">
            <w:pPr>
              <w:pStyle w:val="NoSpacing"/>
              <w:jc w:val="right"/>
            </w:pPr>
            <w:r>
              <w:t>9</w:t>
            </w:r>
            <w:r w:rsidR="00B07E54">
              <w:t>,</w:t>
            </w:r>
            <w:r>
              <w:t>250</w:t>
            </w:r>
          </w:p>
        </w:tc>
        <w:tc>
          <w:tcPr>
            <w:tcW w:w="1915" w:type="dxa"/>
          </w:tcPr>
          <w:p w:rsidR="00EF32BF" w:rsidRDefault="00EF32BF" w:rsidP="005B4888">
            <w:pPr>
              <w:pStyle w:val="NoSpacing"/>
              <w:jc w:val="right"/>
            </w:pPr>
            <w:r>
              <w:t>9</w:t>
            </w:r>
            <w:r w:rsidR="00B07E54">
              <w:t>,</w:t>
            </w:r>
            <w:r>
              <w:t>381</w:t>
            </w:r>
          </w:p>
        </w:tc>
        <w:tc>
          <w:tcPr>
            <w:tcW w:w="1915" w:type="dxa"/>
          </w:tcPr>
          <w:p w:rsidR="00EF32BF" w:rsidRDefault="00EF32BF" w:rsidP="005B4888">
            <w:pPr>
              <w:pStyle w:val="NoSpacing"/>
              <w:jc w:val="right"/>
            </w:pPr>
            <w:r>
              <w:t>9</w:t>
            </w:r>
            <w:r w:rsidR="00B07E54">
              <w:t>,</w:t>
            </w:r>
            <w:r>
              <w:t>232</w:t>
            </w:r>
          </w:p>
        </w:tc>
        <w:tc>
          <w:tcPr>
            <w:tcW w:w="1916" w:type="dxa"/>
          </w:tcPr>
          <w:p w:rsidR="00EF32BF" w:rsidRDefault="00EF32BF" w:rsidP="005B4888">
            <w:pPr>
              <w:pStyle w:val="NoSpacing"/>
              <w:jc w:val="right"/>
            </w:pPr>
            <w:r>
              <w:t>9</w:t>
            </w:r>
            <w:r w:rsidR="00B07E54">
              <w:t>,</w:t>
            </w:r>
            <w:r>
              <w:t>250</w:t>
            </w:r>
          </w:p>
        </w:tc>
      </w:tr>
      <w:tr w:rsidR="00EF32BF" w:rsidTr="00897845">
        <w:trPr>
          <w:trHeight w:val="20"/>
        </w:trPr>
        <w:tc>
          <w:tcPr>
            <w:tcW w:w="1915" w:type="dxa"/>
          </w:tcPr>
          <w:p w:rsidR="00EF32BF" w:rsidRDefault="00EF32BF" w:rsidP="005B4888">
            <w:pPr>
              <w:pStyle w:val="NoSpacing"/>
            </w:pPr>
            <w:r>
              <w:t>TOTAL</w:t>
            </w:r>
          </w:p>
        </w:tc>
        <w:tc>
          <w:tcPr>
            <w:tcW w:w="1915" w:type="dxa"/>
          </w:tcPr>
          <w:p w:rsidR="00EF32BF" w:rsidRDefault="00EF32BF" w:rsidP="005B4888">
            <w:pPr>
              <w:pStyle w:val="NoSpacing"/>
              <w:jc w:val="right"/>
            </w:pPr>
            <w:r>
              <w:t>24</w:t>
            </w:r>
            <w:r w:rsidR="002D0AE6">
              <w:t>,</w:t>
            </w:r>
            <w:r>
              <w:t>226</w:t>
            </w:r>
          </w:p>
        </w:tc>
        <w:tc>
          <w:tcPr>
            <w:tcW w:w="1915" w:type="dxa"/>
          </w:tcPr>
          <w:p w:rsidR="00EF32BF" w:rsidRDefault="00EF32BF" w:rsidP="005B4888">
            <w:pPr>
              <w:pStyle w:val="NoSpacing"/>
              <w:jc w:val="right"/>
            </w:pPr>
            <w:r>
              <w:t>22,572</w:t>
            </w:r>
          </w:p>
        </w:tc>
        <w:tc>
          <w:tcPr>
            <w:tcW w:w="1915" w:type="dxa"/>
          </w:tcPr>
          <w:p w:rsidR="00EF32BF" w:rsidRDefault="00EF32BF" w:rsidP="005B4888">
            <w:pPr>
              <w:pStyle w:val="NoSpacing"/>
              <w:jc w:val="right"/>
            </w:pPr>
            <w:r>
              <w:t>20,497</w:t>
            </w:r>
          </w:p>
        </w:tc>
        <w:tc>
          <w:tcPr>
            <w:tcW w:w="1916" w:type="dxa"/>
          </w:tcPr>
          <w:p w:rsidR="00EF32BF" w:rsidRDefault="00EF32BF" w:rsidP="005B4888">
            <w:pPr>
              <w:pStyle w:val="NoSpacing"/>
              <w:jc w:val="right"/>
            </w:pPr>
            <w:r>
              <w:t>17</w:t>
            </w:r>
            <w:r w:rsidR="002D0AE6">
              <w:t>,</w:t>
            </w:r>
            <w:r>
              <w:t>902</w:t>
            </w:r>
          </w:p>
        </w:tc>
      </w:tr>
    </w:tbl>
    <w:p w:rsidR="00F72F27" w:rsidRDefault="00F72F27" w:rsidP="002D0AE6">
      <w:pPr>
        <w:jc w:val="center"/>
        <w:rPr>
          <w:rFonts w:ascii="Geneva" w:hAnsi="Geneva"/>
          <w:b/>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3400A3" w:rsidRDefault="003400A3" w:rsidP="00F72F27">
      <w:pPr>
        <w:rPr>
          <w:rFonts w:ascii="Geneva" w:hAnsi="Geneva"/>
          <w:b/>
          <w:szCs w:val="28"/>
        </w:rPr>
      </w:pPr>
    </w:p>
    <w:p w:rsidR="001031E2" w:rsidRDefault="001031E2" w:rsidP="003400A3">
      <w:pPr>
        <w:rPr>
          <w:b/>
          <w:sz w:val="28"/>
          <w:szCs w:val="28"/>
        </w:rPr>
      </w:pPr>
    </w:p>
    <w:p w:rsidR="000B4E82" w:rsidRDefault="000B4E82" w:rsidP="003400A3">
      <w:pPr>
        <w:rPr>
          <w:b/>
          <w:sz w:val="28"/>
          <w:szCs w:val="28"/>
        </w:rPr>
      </w:pPr>
    </w:p>
    <w:p w:rsidR="000B4E82" w:rsidRDefault="000B4E82" w:rsidP="003400A3">
      <w:pPr>
        <w:rPr>
          <w:b/>
          <w:sz w:val="28"/>
          <w:szCs w:val="28"/>
        </w:rPr>
      </w:pPr>
    </w:p>
    <w:p w:rsidR="003400A3" w:rsidRPr="0054348D" w:rsidRDefault="003400A3" w:rsidP="003400A3">
      <w:pPr>
        <w:rPr>
          <w:b/>
          <w:sz w:val="28"/>
          <w:szCs w:val="28"/>
        </w:rPr>
      </w:pPr>
      <w:r w:rsidRPr="0054348D">
        <w:rPr>
          <w:b/>
          <w:sz w:val="28"/>
          <w:szCs w:val="28"/>
        </w:rPr>
        <w:lastRenderedPageBreak/>
        <w:t>Section II. The Questions We Should Ask</w:t>
      </w:r>
    </w:p>
    <w:p w:rsidR="003400A3" w:rsidRDefault="003400A3" w:rsidP="003400A3">
      <w:pPr>
        <w:rPr>
          <w:rFonts w:ascii="Calibri" w:hAnsi="Calibri"/>
        </w:rPr>
      </w:pPr>
      <w:r>
        <w:rPr>
          <w:rFonts w:ascii="Calibri" w:hAnsi="Calibri"/>
        </w:rPr>
        <w:t>The data presented in this section provides information on changing trends that can inform staffing patterns and outreach efforts based on more detailed library usage information.</w:t>
      </w:r>
    </w:p>
    <w:p w:rsidR="007A540E" w:rsidRDefault="007A540E" w:rsidP="003400A3">
      <w:pPr>
        <w:rPr>
          <w:rFonts w:ascii="Calibri" w:hAnsi="Calibri"/>
          <w:b/>
          <w:i/>
        </w:rPr>
      </w:pPr>
    </w:p>
    <w:p w:rsidR="003400A3" w:rsidRPr="009164FC" w:rsidRDefault="003400A3" w:rsidP="003400A3">
      <w:pPr>
        <w:rPr>
          <w:rFonts w:ascii="Calibri" w:hAnsi="Calibri"/>
          <w:b/>
          <w:i/>
        </w:rPr>
      </w:pPr>
      <w:r w:rsidRPr="009164FC">
        <w:rPr>
          <w:rFonts w:ascii="Calibri" w:hAnsi="Calibri"/>
          <w:b/>
          <w:i/>
        </w:rPr>
        <w:t>What are the peak times of use for library services and what are library users doing in the building?</w:t>
      </w:r>
    </w:p>
    <w:p w:rsidR="003400A3" w:rsidRPr="007847DC" w:rsidRDefault="003400A3" w:rsidP="003400A3">
      <w:pPr>
        <w:rPr>
          <w:rFonts w:ascii="Calibri" w:hAnsi="Calibri"/>
        </w:rPr>
      </w:pPr>
      <w:r w:rsidRPr="007847DC">
        <w:rPr>
          <w:rFonts w:ascii="Calibri" w:hAnsi="Calibri"/>
        </w:rPr>
        <w:t>Fall Semester 2007:</w:t>
      </w:r>
    </w:p>
    <w:p w:rsidR="003400A3" w:rsidRPr="007847DC" w:rsidRDefault="003400A3" w:rsidP="00897845">
      <w:pPr>
        <w:numPr>
          <w:ilvl w:val="0"/>
          <w:numId w:val="13"/>
        </w:numPr>
        <w:rPr>
          <w:rFonts w:ascii="Calibri" w:hAnsi="Calibri"/>
        </w:rPr>
      </w:pPr>
      <w:r w:rsidRPr="007847DC">
        <w:rPr>
          <w:rFonts w:ascii="Calibri" w:hAnsi="Calibri"/>
        </w:rPr>
        <w:t>Mondays, Tuesdays, and Wednesdays are the busiest days of the week, both at ML and ML@COT.</w:t>
      </w:r>
    </w:p>
    <w:p w:rsidR="003400A3" w:rsidRPr="007847DC" w:rsidRDefault="003400A3" w:rsidP="00897845">
      <w:pPr>
        <w:numPr>
          <w:ilvl w:val="0"/>
          <w:numId w:val="13"/>
        </w:numPr>
        <w:rPr>
          <w:rFonts w:ascii="Calibri" w:hAnsi="Calibri"/>
        </w:rPr>
      </w:pPr>
      <w:r w:rsidRPr="007847DC">
        <w:rPr>
          <w:rFonts w:ascii="Calibri" w:hAnsi="Calibri"/>
        </w:rPr>
        <w:t>11:00am to 5:00pm are the busiest hours of the day at ML.</w:t>
      </w:r>
    </w:p>
    <w:p w:rsidR="003400A3" w:rsidRPr="007847DC" w:rsidRDefault="003400A3" w:rsidP="00897845">
      <w:pPr>
        <w:numPr>
          <w:ilvl w:val="0"/>
          <w:numId w:val="13"/>
        </w:numPr>
        <w:rPr>
          <w:rFonts w:ascii="Calibri" w:hAnsi="Calibri"/>
        </w:rPr>
      </w:pPr>
      <w:r w:rsidRPr="007847DC">
        <w:rPr>
          <w:rFonts w:ascii="Calibri" w:hAnsi="Calibri"/>
        </w:rPr>
        <w:t>9:00am to 2:00pm are the busiest hours of the day at ML@COT.</w:t>
      </w:r>
    </w:p>
    <w:p w:rsidR="003400A3" w:rsidRPr="007847DC" w:rsidRDefault="003400A3" w:rsidP="00897845">
      <w:pPr>
        <w:numPr>
          <w:ilvl w:val="0"/>
          <w:numId w:val="13"/>
        </w:numPr>
        <w:rPr>
          <w:rFonts w:ascii="Calibri" w:hAnsi="Calibri"/>
        </w:rPr>
      </w:pPr>
      <w:r w:rsidRPr="007847DC">
        <w:rPr>
          <w:rFonts w:ascii="Calibri" w:hAnsi="Calibri"/>
        </w:rPr>
        <w:t>Weeks 11, 15, and 16 were the busiest weeks of the semester for circulation and interlibrary loan transactions and group study room reservations at ML.</w:t>
      </w:r>
    </w:p>
    <w:p w:rsidR="003400A3" w:rsidRPr="007847DC" w:rsidRDefault="003400A3" w:rsidP="00897845">
      <w:pPr>
        <w:numPr>
          <w:ilvl w:val="0"/>
          <w:numId w:val="13"/>
        </w:numPr>
        <w:rPr>
          <w:rFonts w:ascii="Calibri" w:hAnsi="Calibri"/>
        </w:rPr>
      </w:pPr>
      <w:r w:rsidRPr="007847DC">
        <w:rPr>
          <w:rFonts w:ascii="Calibri" w:hAnsi="Calibri"/>
        </w:rPr>
        <w:t>Weeks 3, 5, and 8 received the most circulation transactions at ML@COT.</w:t>
      </w:r>
    </w:p>
    <w:p w:rsidR="003400A3" w:rsidRPr="007847DC" w:rsidRDefault="003400A3" w:rsidP="00897845">
      <w:pPr>
        <w:numPr>
          <w:ilvl w:val="0"/>
          <w:numId w:val="13"/>
        </w:numPr>
        <w:rPr>
          <w:rFonts w:ascii="Calibri" w:hAnsi="Calibri"/>
        </w:rPr>
      </w:pPr>
      <w:r w:rsidRPr="007847DC">
        <w:rPr>
          <w:rFonts w:ascii="Calibri" w:hAnsi="Calibri"/>
        </w:rPr>
        <w:t>Inst</w:t>
      </w:r>
      <w:r>
        <w:rPr>
          <w:rFonts w:ascii="Calibri" w:hAnsi="Calibri"/>
        </w:rPr>
        <w:t>ruction peaked during weeks 3, 6, and 7</w:t>
      </w:r>
      <w:r w:rsidRPr="007847DC">
        <w:rPr>
          <w:rFonts w:ascii="Calibri" w:hAnsi="Calibri"/>
        </w:rPr>
        <w:t>.</w:t>
      </w:r>
    </w:p>
    <w:p w:rsidR="007A540E" w:rsidRDefault="007A540E" w:rsidP="003400A3">
      <w:pPr>
        <w:rPr>
          <w:rFonts w:ascii="Calibri" w:hAnsi="Calibri"/>
        </w:rPr>
      </w:pPr>
    </w:p>
    <w:p w:rsidR="003400A3" w:rsidRPr="007847DC" w:rsidRDefault="003400A3" w:rsidP="003400A3">
      <w:pPr>
        <w:rPr>
          <w:rFonts w:ascii="Calibri" w:hAnsi="Calibri"/>
        </w:rPr>
      </w:pPr>
      <w:r w:rsidRPr="007847DC">
        <w:rPr>
          <w:rFonts w:ascii="Calibri" w:hAnsi="Calibri"/>
        </w:rPr>
        <w:t>Fall Semester 2008:</w:t>
      </w:r>
    </w:p>
    <w:p w:rsidR="003400A3" w:rsidRPr="007847DC" w:rsidRDefault="003400A3" w:rsidP="00897845">
      <w:pPr>
        <w:numPr>
          <w:ilvl w:val="0"/>
          <w:numId w:val="13"/>
        </w:numPr>
        <w:rPr>
          <w:rFonts w:ascii="Calibri" w:hAnsi="Calibri"/>
        </w:rPr>
      </w:pPr>
      <w:r w:rsidRPr="007847DC">
        <w:rPr>
          <w:rFonts w:ascii="Calibri" w:hAnsi="Calibri"/>
        </w:rPr>
        <w:t>Mondays, Tuesdays, and Wednesdays are the busiest days of the week, both at ML and ML@COT.</w:t>
      </w:r>
    </w:p>
    <w:p w:rsidR="003400A3" w:rsidRPr="001C1072" w:rsidRDefault="003400A3" w:rsidP="00897845">
      <w:pPr>
        <w:numPr>
          <w:ilvl w:val="0"/>
          <w:numId w:val="13"/>
        </w:numPr>
        <w:rPr>
          <w:rFonts w:ascii="Calibri" w:hAnsi="Calibri"/>
        </w:rPr>
      </w:pPr>
      <w:r w:rsidRPr="001C1072">
        <w:rPr>
          <w:rFonts w:ascii="Calibri" w:hAnsi="Calibri"/>
        </w:rPr>
        <w:t>1:00 to 5:00pm is the busiest 4-hour period of the day at ML, based on circulation figures.</w:t>
      </w:r>
    </w:p>
    <w:p w:rsidR="003400A3" w:rsidRPr="001C1072" w:rsidRDefault="003400A3" w:rsidP="00897845">
      <w:pPr>
        <w:numPr>
          <w:ilvl w:val="0"/>
          <w:numId w:val="13"/>
        </w:numPr>
        <w:rPr>
          <w:rFonts w:ascii="Calibri" w:hAnsi="Calibri"/>
        </w:rPr>
      </w:pPr>
      <w:r w:rsidRPr="001C1072">
        <w:rPr>
          <w:rFonts w:ascii="Calibri" w:hAnsi="Calibri"/>
        </w:rPr>
        <w:t>11:00am to 3:00pm is the busiest 4-hour period of the day at ML@COT, based on circulation figures.</w:t>
      </w:r>
    </w:p>
    <w:p w:rsidR="003400A3" w:rsidRPr="007847DC" w:rsidRDefault="003400A3" w:rsidP="00897845">
      <w:pPr>
        <w:numPr>
          <w:ilvl w:val="0"/>
          <w:numId w:val="13"/>
        </w:numPr>
        <w:rPr>
          <w:rFonts w:ascii="Calibri" w:hAnsi="Calibri"/>
        </w:rPr>
      </w:pPr>
      <w:r>
        <w:rPr>
          <w:rFonts w:ascii="Calibri" w:hAnsi="Calibri"/>
        </w:rPr>
        <w:t>Weeks 8, 15, and 12</w:t>
      </w:r>
      <w:r w:rsidRPr="007847DC">
        <w:rPr>
          <w:rFonts w:ascii="Calibri" w:hAnsi="Calibri"/>
        </w:rPr>
        <w:t xml:space="preserve"> were the busiest weeks of t</w:t>
      </w:r>
      <w:r>
        <w:rPr>
          <w:rFonts w:ascii="Calibri" w:hAnsi="Calibri"/>
        </w:rPr>
        <w:t xml:space="preserve">he semester for circulation; weeks 15, 16, and 13 were busiest for </w:t>
      </w:r>
      <w:r w:rsidRPr="007847DC">
        <w:rPr>
          <w:rFonts w:ascii="Calibri" w:hAnsi="Calibri"/>
        </w:rPr>
        <w:t>int</w:t>
      </w:r>
      <w:r>
        <w:rPr>
          <w:rFonts w:ascii="Calibri" w:hAnsi="Calibri"/>
        </w:rPr>
        <w:t xml:space="preserve">erlibrary loan transactions; and </w:t>
      </w:r>
      <w:r w:rsidRPr="007847DC">
        <w:rPr>
          <w:rFonts w:ascii="Calibri" w:hAnsi="Calibri"/>
        </w:rPr>
        <w:t>group study room reservations at ML</w:t>
      </w:r>
      <w:r>
        <w:rPr>
          <w:rFonts w:ascii="Calibri" w:hAnsi="Calibri"/>
        </w:rPr>
        <w:t xml:space="preserve"> were highest during weeks 16, 15, and 10</w:t>
      </w:r>
      <w:r w:rsidRPr="007847DC">
        <w:rPr>
          <w:rFonts w:ascii="Calibri" w:hAnsi="Calibri"/>
        </w:rPr>
        <w:t>.</w:t>
      </w:r>
    </w:p>
    <w:p w:rsidR="003400A3" w:rsidRPr="007847DC" w:rsidRDefault="003400A3" w:rsidP="00897845">
      <w:pPr>
        <w:numPr>
          <w:ilvl w:val="0"/>
          <w:numId w:val="13"/>
        </w:numPr>
        <w:rPr>
          <w:rFonts w:ascii="Calibri" w:hAnsi="Calibri"/>
        </w:rPr>
      </w:pPr>
      <w:r w:rsidRPr="007847DC">
        <w:rPr>
          <w:rFonts w:ascii="Calibri" w:hAnsi="Calibri"/>
        </w:rPr>
        <w:t xml:space="preserve">Weeks </w:t>
      </w:r>
      <w:r>
        <w:rPr>
          <w:rFonts w:ascii="Calibri" w:hAnsi="Calibri"/>
        </w:rPr>
        <w:t xml:space="preserve">1, </w:t>
      </w:r>
      <w:r w:rsidRPr="007847DC">
        <w:rPr>
          <w:rFonts w:ascii="Calibri" w:hAnsi="Calibri"/>
        </w:rPr>
        <w:t xml:space="preserve">3, and </w:t>
      </w:r>
      <w:r>
        <w:rPr>
          <w:rFonts w:ascii="Calibri" w:hAnsi="Calibri"/>
        </w:rPr>
        <w:t>2</w:t>
      </w:r>
      <w:r w:rsidRPr="007847DC">
        <w:rPr>
          <w:rFonts w:ascii="Calibri" w:hAnsi="Calibri"/>
        </w:rPr>
        <w:t xml:space="preserve"> received the most circulation transactions at ML@COT.</w:t>
      </w:r>
    </w:p>
    <w:p w:rsidR="003400A3" w:rsidRPr="007847DC" w:rsidRDefault="003400A3" w:rsidP="00897845">
      <w:pPr>
        <w:numPr>
          <w:ilvl w:val="0"/>
          <w:numId w:val="13"/>
        </w:numPr>
        <w:rPr>
          <w:rFonts w:ascii="Calibri" w:hAnsi="Calibri"/>
        </w:rPr>
      </w:pPr>
      <w:r w:rsidRPr="007847DC">
        <w:rPr>
          <w:rFonts w:ascii="Calibri" w:hAnsi="Calibri"/>
        </w:rPr>
        <w:t>Ins</w:t>
      </w:r>
      <w:r>
        <w:rPr>
          <w:rFonts w:ascii="Calibri" w:hAnsi="Calibri"/>
        </w:rPr>
        <w:t xml:space="preserve">truction peaked during weeks </w:t>
      </w:r>
      <w:r w:rsidRPr="007847DC">
        <w:rPr>
          <w:rFonts w:ascii="Calibri" w:hAnsi="Calibri"/>
        </w:rPr>
        <w:t xml:space="preserve">4, </w:t>
      </w:r>
      <w:r>
        <w:rPr>
          <w:rFonts w:ascii="Calibri" w:hAnsi="Calibri"/>
        </w:rPr>
        <w:t>5, and 6</w:t>
      </w:r>
      <w:r w:rsidRPr="007847DC">
        <w:rPr>
          <w:rFonts w:ascii="Calibri" w:hAnsi="Calibri"/>
        </w:rPr>
        <w:t>.</w:t>
      </w:r>
    </w:p>
    <w:p w:rsidR="007A540E" w:rsidRDefault="007A540E"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Gate Counts</w:t>
      </w:r>
    </w:p>
    <w:p w:rsidR="007A540E" w:rsidRDefault="007A540E" w:rsidP="003400A3">
      <w:pPr>
        <w:rPr>
          <w:rFonts w:ascii="Calibri" w:hAnsi="Calibri"/>
        </w:rPr>
      </w:pPr>
    </w:p>
    <w:p w:rsidR="003400A3" w:rsidRPr="00596911" w:rsidRDefault="003400A3" w:rsidP="003400A3">
      <w:pPr>
        <w:rPr>
          <w:rFonts w:ascii="Calibri" w:hAnsi="Calibri"/>
        </w:rPr>
      </w:pPr>
      <w:r w:rsidRPr="00596911">
        <w:rPr>
          <w:rFonts w:ascii="Calibri" w:hAnsi="Calibri"/>
        </w:rPr>
        <w:t>Fall semester 2007:</w:t>
      </w:r>
    </w:p>
    <w:p w:rsidR="003400A3" w:rsidRPr="00596911" w:rsidRDefault="003400A3" w:rsidP="00897845">
      <w:pPr>
        <w:numPr>
          <w:ilvl w:val="0"/>
          <w:numId w:val="11"/>
        </w:numPr>
        <w:rPr>
          <w:rFonts w:ascii="Calibri" w:hAnsi="Calibri"/>
        </w:rPr>
      </w:pPr>
      <w:r w:rsidRPr="00596911">
        <w:rPr>
          <w:rFonts w:ascii="Calibri" w:hAnsi="Calibri"/>
        </w:rPr>
        <w:t xml:space="preserve">263,578 patrons entered the Mansfield Library. </w:t>
      </w:r>
    </w:p>
    <w:p w:rsidR="003400A3" w:rsidRPr="00596911" w:rsidRDefault="003400A3" w:rsidP="00897845">
      <w:pPr>
        <w:numPr>
          <w:ilvl w:val="0"/>
          <w:numId w:val="11"/>
        </w:numPr>
        <w:rPr>
          <w:rFonts w:ascii="Calibri" w:hAnsi="Calibri"/>
        </w:rPr>
      </w:pPr>
      <w:r w:rsidRPr="00596911">
        <w:rPr>
          <w:rFonts w:ascii="Calibri" w:hAnsi="Calibri"/>
        </w:rPr>
        <w:t xml:space="preserve">Based on daily averages, peak use occurred on Tuesday, followed by Monday, Wednesday, and Thursday (Chart 1). </w:t>
      </w:r>
    </w:p>
    <w:p w:rsidR="003400A3" w:rsidRPr="00596911" w:rsidRDefault="003400A3" w:rsidP="00897845">
      <w:pPr>
        <w:numPr>
          <w:ilvl w:val="0"/>
          <w:numId w:val="11"/>
        </w:numPr>
        <w:rPr>
          <w:rFonts w:ascii="Calibri" w:hAnsi="Calibri"/>
        </w:rPr>
      </w:pPr>
      <w:r w:rsidRPr="00596911">
        <w:rPr>
          <w:rFonts w:ascii="Calibri" w:hAnsi="Calibri"/>
        </w:rPr>
        <w:t xml:space="preserve">Open 111 hours per week, there was an average of </w:t>
      </w:r>
      <w:r>
        <w:rPr>
          <w:rFonts w:ascii="Calibri" w:hAnsi="Calibri"/>
        </w:rPr>
        <w:t>155</w:t>
      </w:r>
      <w:r w:rsidRPr="00596911">
        <w:rPr>
          <w:rFonts w:ascii="Calibri" w:hAnsi="Calibri"/>
        </w:rPr>
        <w:t xml:space="preserve"> library users entering the building per hour. </w:t>
      </w:r>
    </w:p>
    <w:p w:rsidR="003400A3" w:rsidRDefault="003400A3" w:rsidP="003400A3">
      <w:pPr>
        <w:rPr>
          <w:rFonts w:ascii="Calibri" w:hAnsi="Calibri"/>
        </w:rPr>
      </w:pPr>
      <w:r w:rsidRPr="00087B13">
        <w:rPr>
          <w:rFonts w:ascii="Calibri" w:hAnsi="Calibri"/>
        </w:rPr>
        <w:t>Fall Semester 2008:</w:t>
      </w:r>
    </w:p>
    <w:p w:rsidR="003400A3" w:rsidRPr="00EE676E" w:rsidRDefault="003400A3" w:rsidP="00897845">
      <w:pPr>
        <w:numPr>
          <w:ilvl w:val="0"/>
          <w:numId w:val="11"/>
        </w:numPr>
        <w:rPr>
          <w:rFonts w:ascii="Calibri" w:hAnsi="Calibri"/>
        </w:rPr>
      </w:pPr>
      <w:r w:rsidRPr="00EE676E">
        <w:rPr>
          <w:rFonts w:ascii="Calibri" w:hAnsi="Calibri"/>
          <w:szCs w:val="22"/>
        </w:rPr>
        <w:t>260,332</w:t>
      </w:r>
      <w:r w:rsidRPr="00EE676E">
        <w:t xml:space="preserve"> </w:t>
      </w:r>
      <w:r w:rsidRPr="00EE676E">
        <w:rPr>
          <w:rFonts w:ascii="Calibri" w:hAnsi="Calibri"/>
        </w:rPr>
        <w:t xml:space="preserve">patrons entered the Mansfield Library. </w:t>
      </w:r>
    </w:p>
    <w:p w:rsidR="003400A3" w:rsidRPr="00596911" w:rsidRDefault="003400A3" w:rsidP="00897845">
      <w:pPr>
        <w:numPr>
          <w:ilvl w:val="0"/>
          <w:numId w:val="11"/>
        </w:numPr>
        <w:rPr>
          <w:rFonts w:ascii="Calibri" w:hAnsi="Calibri"/>
        </w:rPr>
      </w:pPr>
      <w:r w:rsidRPr="00596911">
        <w:rPr>
          <w:rFonts w:ascii="Calibri" w:hAnsi="Calibri"/>
        </w:rPr>
        <w:t xml:space="preserve">Based on daily averages, peak use occurred on </w:t>
      </w:r>
      <w:r>
        <w:rPr>
          <w:rFonts w:ascii="Calibri" w:hAnsi="Calibri"/>
        </w:rPr>
        <w:t>Wednesday</w:t>
      </w:r>
      <w:r w:rsidRPr="00596911">
        <w:rPr>
          <w:rFonts w:ascii="Calibri" w:hAnsi="Calibri"/>
        </w:rPr>
        <w:t xml:space="preserve">, followed by Monday, </w:t>
      </w:r>
      <w:r>
        <w:rPr>
          <w:rFonts w:ascii="Calibri" w:hAnsi="Calibri"/>
        </w:rPr>
        <w:t>Tuesday, and Thursday</w:t>
      </w:r>
      <w:r w:rsidRPr="00596911">
        <w:rPr>
          <w:rFonts w:ascii="Calibri" w:hAnsi="Calibri"/>
        </w:rPr>
        <w:t xml:space="preserve"> (Chart 1). </w:t>
      </w:r>
    </w:p>
    <w:p w:rsidR="003400A3" w:rsidRPr="00596911" w:rsidRDefault="003400A3" w:rsidP="00897845">
      <w:pPr>
        <w:numPr>
          <w:ilvl w:val="0"/>
          <w:numId w:val="11"/>
        </w:numPr>
        <w:rPr>
          <w:rFonts w:ascii="Calibri" w:hAnsi="Calibri"/>
        </w:rPr>
      </w:pPr>
      <w:r w:rsidRPr="00596911">
        <w:rPr>
          <w:rFonts w:ascii="Calibri" w:hAnsi="Calibri"/>
        </w:rPr>
        <w:t xml:space="preserve">Open 111 hours per week, there was an average of </w:t>
      </w:r>
      <w:r>
        <w:rPr>
          <w:rFonts w:ascii="Calibri" w:hAnsi="Calibri"/>
        </w:rPr>
        <w:t>147</w:t>
      </w:r>
      <w:r w:rsidRPr="00596911">
        <w:rPr>
          <w:rFonts w:ascii="Calibri" w:hAnsi="Calibri"/>
        </w:rPr>
        <w:t xml:space="preserve"> library users entering the building per hour. </w:t>
      </w:r>
    </w:p>
    <w:p w:rsidR="003400A3" w:rsidRPr="009164FC" w:rsidRDefault="003400A3" w:rsidP="003400A3">
      <w:pPr>
        <w:rPr>
          <w:rFonts w:ascii="Calibri" w:hAnsi="Calibri"/>
        </w:rPr>
      </w:pPr>
    </w:p>
    <w:p w:rsidR="003400A3" w:rsidRPr="009164FC" w:rsidRDefault="00165E59" w:rsidP="003400A3">
      <w:pPr>
        <w:jc w:val="center"/>
        <w:rPr>
          <w:rFonts w:ascii="Calibri" w:hAnsi="Calibri"/>
        </w:rPr>
      </w:pPr>
      <w:r>
        <w:rPr>
          <w:rFonts w:ascii="Calibri" w:hAnsi="Calibri"/>
          <w:noProof/>
        </w:rPr>
        <w:lastRenderedPageBreak/>
        <w:drawing>
          <wp:inline distT="0" distB="0" distL="0" distR="0">
            <wp:extent cx="5199507" cy="3771900"/>
            <wp:effectExtent l="6096" t="0" r="4572"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0A3" w:rsidRPr="009164FC" w:rsidRDefault="003400A3" w:rsidP="003400A3">
      <w:pPr>
        <w:rPr>
          <w:rFonts w:ascii="Calibri" w:hAnsi="Calibri"/>
          <w:b/>
        </w:rPr>
      </w:pPr>
    </w:p>
    <w:p w:rsidR="003400A3" w:rsidRPr="00596911" w:rsidRDefault="003400A3" w:rsidP="003400A3">
      <w:pPr>
        <w:rPr>
          <w:rFonts w:ascii="Calibri" w:hAnsi="Calibri"/>
        </w:rPr>
      </w:pPr>
      <w:r w:rsidRPr="00596911">
        <w:rPr>
          <w:rFonts w:ascii="Calibri" w:hAnsi="Calibri"/>
        </w:rPr>
        <w:t>COT fall semester 2007:</w:t>
      </w:r>
    </w:p>
    <w:p w:rsidR="003400A3" w:rsidRPr="00596911" w:rsidRDefault="003400A3" w:rsidP="00897845">
      <w:pPr>
        <w:numPr>
          <w:ilvl w:val="0"/>
          <w:numId w:val="12"/>
        </w:numPr>
        <w:rPr>
          <w:rFonts w:ascii="Calibri" w:hAnsi="Calibri"/>
        </w:rPr>
      </w:pPr>
      <w:r w:rsidRPr="00596911">
        <w:rPr>
          <w:rFonts w:ascii="Calibri" w:hAnsi="Calibri"/>
        </w:rPr>
        <w:t xml:space="preserve">22,292 patrons entered the Mansfield Library @ the College of Technology. </w:t>
      </w:r>
    </w:p>
    <w:p w:rsidR="003400A3" w:rsidRPr="00596911" w:rsidRDefault="003400A3" w:rsidP="00897845">
      <w:pPr>
        <w:numPr>
          <w:ilvl w:val="0"/>
          <w:numId w:val="12"/>
        </w:numPr>
        <w:rPr>
          <w:rFonts w:ascii="Calibri" w:hAnsi="Calibri"/>
        </w:rPr>
      </w:pPr>
      <w:r w:rsidRPr="00596911">
        <w:rPr>
          <w:rFonts w:ascii="Calibri" w:hAnsi="Calibri"/>
        </w:rPr>
        <w:t>Based on daily averages, peak use occurred on Monday, followed by Wednesday, Tuesday, Thursday and Friday (Chart 2).</w:t>
      </w:r>
    </w:p>
    <w:p w:rsidR="003400A3" w:rsidRPr="00596911" w:rsidRDefault="003400A3" w:rsidP="00897845">
      <w:pPr>
        <w:numPr>
          <w:ilvl w:val="0"/>
          <w:numId w:val="12"/>
        </w:numPr>
        <w:rPr>
          <w:rFonts w:ascii="Calibri" w:hAnsi="Calibri"/>
        </w:rPr>
      </w:pPr>
      <w:r w:rsidRPr="00596911">
        <w:rPr>
          <w:rFonts w:ascii="Calibri" w:hAnsi="Calibri"/>
        </w:rPr>
        <w:t>Open 55.5 hours per wee</w:t>
      </w:r>
      <w:r>
        <w:rPr>
          <w:rFonts w:ascii="Calibri" w:hAnsi="Calibri"/>
        </w:rPr>
        <w:t xml:space="preserve">k, there was an average of </w:t>
      </w:r>
      <w:r w:rsidRPr="00383DAC">
        <w:rPr>
          <w:rFonts w:ascii="Calibri" w:hAnsi="Calibri"/>
        </w:rPr>
        <w:t>25</w:t>
      </w:r>
      <w:r w:rsidRPr="008912EC">
        <w:t xml:space="preserve"> </w:t>
      </w:r>
      <w:r>
        <w:rPr>
          <w:rFonts w:ascii="Calibri" w:hAnsi="Calibri"/>
        </w:rPr>
        <w:t>L</w:t>
      </w:r>
      <w:r w:rsidRPr="00596911">
        <w:rPr>
          <w:rFonts w:ascii="Calibri" w:hAnsi="Calibri"/>
        </w:rPr>
        <w:t>ibrary users entering the building per hour.</w:t>
      </w:r>
    </w:p>
    <w:p w:rsidR="007A540E" w:rsidRDefault="007A540E" w:rsidP="003400A3">
      <w:pPr>
        <w:rPr>
          <w:rFonts w:ascii="Calibri" w:hAnsi="Calibri"/>
        </w:rPr>
      </w:pPr>
    </w:p>
    <w:p w:rsidR="003400A3" w:rsidRDefault="003400A3" w:rsidP="003400A3">
      <w:pPr>
        <w:rPr>
          <w:rFonts w:ascii="Calibri" w:hAnsi="Calibri"/>
        </w:rPr>
      </w:pPr>
      <w:r w:rsidRPr="00D14A3E">
        <w:rPr>
          <w:rFonts w:ascii="Calibri" w:hAnsi="Calibri"/>
        </w:rPr>
        <w:t>COT fall semester 2008:</w:t>
      </w:r>
    </w:p>
    <w:p w:rsidR="003400A3" w:rsidRPr="00596911" w:rsidRDefault="003400A3" w:rsidP="00897845">
      <w:pPr>
        <w:numPr>
          <w:ilvl w:val="0"/>
          <w:numId w:val="12"/>
        </w:numPr>
        <w:rPr>
          <w:rFonts w:ascii="Calibri" w:hAnsi="Calibri"/>
        </w:rPr>
      </w:pPr>
      <w:r>
        <w:rPr>
          <w:rFonts w:ascii="Calibri" w:hAnsi="Calibri"/>
        </w:rPr>
        <w:t xml:space="preserve">16,757 </w:t>
      </w:r>
      <w:r w:rsidRPr="00596911">
        <w:rPr>
          <w:rFonts w:ascii="Calibri" w:hAnsi="Calibri"/>
        </w:rPr>
        <w:t xml:space="preserve">patrons entered the Mansfield Library @ the College of Technology. </w:t>
      </w:r>
    </w:p>
    <w:p w:rsidR="003400A3" w:rsidRPr="00596911" w:rsidRDefault="003400A3" w:rsidP="00897845">
      <w:pPr>
        <w:numPr>
          <w:ilvl w:val="0"/>
          <w:numId w:val="12"/>
        </w:numPr>
        <w:rPr>
          <w:rFonts w:ascii="Calibri" w:hAnsi="Calibri"/>
        </w:rPr>
      </w:pPr>
      <w:r w:rsidRPr="00596911">
        <w:rPr>
          <w:rFonts w:ascii="Calibri" w:hAnsi="Calibri"/>
        </w:rPr>
        <w:t xml:space="preserve">Based on daily averages, peak use occurred on </w:t>
      </w:r>
      <w:r>
        <w:rPr>
          <w:rFonts w:ascii="Calibri" w:hAnsi="Calibri"/>
        </w:rPr>
        <w:t>Tuesday</w:t>
      </w:r>
      <w:r w:rsidRPr="00596911">
        <w:rPr>
          <w:rFonts w:ascii="Calibri" w:hAnsi="Calibri"/>
        </w:rPr>
        <w:t xml:space="preserve">, followed by Wednesday, </w:t>
      </w:r>
      <w:r>
        <w:rPr>
          <w:rFonts w:ascii="Calibri" w:hAnsi="Calibri"/>
        </w:rPr>
        <w:t>Monday</w:t>
      </w:r>
      <w:r w:rsidRPr="00596911">
        <w:rPr>
          <w:rFonts w:ascii="Calibri" w:hAnsi="Calibri"/>
        </w:rPr>
        <w:t>, Thursday and Friday (Chart 2).</w:t>
      </w:r>
    </w:p>
    <w:p w:rsidR="003400A3" w:rsidRPr="00596911" w:rsidRDefault="003400A3" w:rsidP="00897845">
      <w:pPr>
        <w:numPr>
          <w:ilvl w:val="0"/>
          <w:numId w:val="12"/>
        </w:numPr>
        <w:rPr>
          <w:rFonts w:ascii="Calibri" w:hAnsi="Calibri"/>
        </w:rPr>
      </w:pPr>
      <w:r w:rsidRPr="00596911">
        <w:rPr>
          <w:rFonts w:ascii="Calibri" w:hAnsi="Calibri"/>
        </w:rPr>
        <w:t>Open 55.5 hours per wee</w:t>
      </w:r>
      <w:r>
        <w:rPr>
          <w:rFonts w:ascii="Calibri" w:hAnsi="Calibri"/>
        </w:rPr>
        <w:t>k, there was an average of 19</w:t>
      </w:r>
      <w:r w:rsidRPr="00596911">
        <w:rPr>
          <w:rFonts w:ascii="Calibri" w:hAnsi="Calibri"/>
        </w:rPr>
        <w:t xml:space="preserve"> library users entering the building per hour.</w:t>
      </w:r>
    </w:p>
    <w:p w:rsidR="003400A3" w:rsidRPr="009164FC" w:rsidRDefault="003400A3" w:rsidP="003400A3">
      <w:pPr>
        <w:rPr>
          <w:rFonts w:ascii="Calibri" w:hAnsi="Calibri"/>
          <w:highlight w:val="lightGray"/>
        </w:rPr>
      </w:pPr>
    </w:p>
    <w:p w:rsidR="003400A3" w:rsidRPr="009164FC" w:rsidRDefault="003400A3" w:rsidP="003400A3">
      <w:pPr>
        <w:rPr>
          <w:rFonts w:ascii="Calibri" w:hAnsi="Calibri"/>
          <w:b/>
        </w:rPr>
      </w:pPr>
    </w:p>
    <w:p w:rsidR="003400A3" w:rsidRPr="009164FC" w:rsidRDefault="00165E59" w:rsidP="003400A3">
      <w:pPr>
        <w:jc w:val="center"/>
        <w:rPr>
          <w:rFonts w:ascii="Calibri" w:hAnsi="Calibri"/>
          <w:b/>
          <w:noProof/>
        </w:rPr>
      </w:pPr>
      <w:r>
        <w:rPr>
          <w:rFonts w:ascii="Calibri" w:hAnsi="Calibri"/>
          <w:b/>
          <w:noProof/>
        </w:rPr>
        <w:lastRenderedPageBreak/>
        <w:drawing>
          <wp:inline distT="0" distB="0" distL="0" distR="0">
            <wp:extent cx="4362529" cy="2675551"/>
            <wp:effectExtent l="6096" t="0" r="3350" b="974"/>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540E" w:rsidRDefault="007A540E" w:rsidP="003400A3">
      <w:pPr>
        <w:rPr>
          <w:rFonts w:ascii="Calibri" w:hAnsi="Calibri"/>
          <w:b/>
        </w:rPr>
      </w:pPr>
    </w:p>
    <w:p w:rsidR="003400A3" w:rsidRPr="00E96F55" w:rsidRDefault="003400A3" w:rsidP="003400A3">
      <w:pPr>
        <w:rPr>
          <w:rFonts w:ascii="Calibri" w:hAnsi="Calibri"/>
          <w:b/>
        </w:rPr>
      </w:pPr>
      <w:r w:rsidRPr="00E96F55">
        <w:rPr>
          <w:rFonts w:ascii="Calibri" w:hAnsi="Calibri"/>
          <w:b/>
        </w:rPr>
        <w:t>Circulation of Collections at ML and ML@COT</w:t>
      </w:r>
    </w:p>
    <w:p w:rsidR="007A540E" w:rsidRDefault="007A540E" w:rsidP="003400A3">
      <w:pPr>
        <w:rPr>
          <w:rFonts w:ascii="Calibri" w:hAnsi="Calibri"/>
        </w:rPr>
      </w:pPr>
    </w:p>
    <w:p w:rsidR="003400A3" w:rsidRPr="00E96F55" w:rsidRDefault="003400A3" w:rsidP="003400A3">
      <w:pPr>
        <w:rPr>
          <w:rFonts w:ascii="Calibri" w:hAnsi="Calibri"/>
        </w:rPr>
      </w:pPr>
      <w:r w:rsidRPr="00E96F55">
        <w:rPr>
          <w:rFonts w:ascii="Calibri" w:hAnsi="Calibri"/>
        </w:rPr>
        <w:t xml:space="preserve">Fall semester 2007 at ML: </w:t>
      </w:r>
    </w:p>
    <w:p w:rsidR="003400A3" w:rsidRPr="00E96F55" w:rsidRDefault="003400A3" w:rsidP="00897845">
      <w:pPr>
        <w:numPr>
          <w:ilvl w:val="0"/>
          <w:numId w:val="1"/>
        </w:numPr>
        <w:rPr>
          <w:rFonts w:ascii="Calibri" w:hAnsi="Calibri"/>
        </w:rPr>
      </w:pPr>
      <w:r w:rsidRPr="00E96F55">
        <w:rPr>
          <w:rFonts w:ascii="Calibri" w:hAnsi="Calibri"/>
        </w:rPr>
        <w:t xml:space="preserve">51,699 total transactions. </w:t>
      </w:r>
    </w:p>
    <w:p w:rsidR="003400A3" w:rsidRPr="00E96F55" w:rsidRDefault="003400A3" w:rsidP="00897845">
      <w:pPr>
        <w:numPr>
          <w:ilvl w:val="0"/>
          <w:numId w:val="1"/>
        </w:numPr>
        <w:rPr>
          <w:rFonts w:ascii="Calibri" w:hAnsi="Calibri"/>
        </w:rPr>
      </w:pPr>
      <w:r w:rsidRPr="00E96F55">
        <w:rPr>
          <w:rFonts w:ascii="Calibri" w:hAnsi="Calibri"/>
        </w:rPr>
        <w:t xml:space="preserve">Tabulated by hour of the day, the peak periods of check-outs occurred from 11:00am to 5:00pm (Chart 3). </w:t>
      </w:r>
    </w:p>
    <w:p w:rsidR="007A540E" w:rsidRDefault="007A540E" w:rsidP="003400A3">
      <w:pPr>
        <w:rPr>
          <w:rFonts w:ascii="Calibri" w:hAnsi="Calibri"/>
        </w:rPr>
      </w:pPr>
    </w:p>
    <w:p w:rsidR="003400A3" w:rsidRDefault="003400A3" w:rsidP="003400A3">
      <w:pPr>
        <w:rPr>
          <w:rFonts w:ascii="Calibri" w:hAnsi="Calibri"/>
        </w:rPr>
      </w:pPr>
      <w:r w:rsidRPr="00FB0AD5">
        <w:rPr>
          <w:rFonts w:ascii="Calibri" w:hAnsi="Calibri"/>
        </w:rPr>
        <w:t>Fall Semester 2008 at ML:</w:t>
      </w:r>
    </w:p>
    <w:p w:rsidR="003400A3" w:rsidRPr="00E96F55" w:rsidRDefault="003400A3" w:rsidP="00897845">
      <w:pPr>
        <w:numPr>
          <w:ilvl w:val="0"/>
          <w:numId w:val="1"/>
        </w:numPr>
        <w:rPr>
          <w:rFonts w:ascii="Calibri" w:hAnsi="Calibri"/>
        </w:rPr>
      </w:pPr>
      <w:r>
        <w:rPr>
          <w:rFonts w:ascii="Calibri" w:hAnsi="Calibri"/>
        </w:rPr>
        <w:t>54,656</w:t>
      </w:r>
      <w:r w:rsidRPr="00E96F55">
        <w:rPr>
          <w:rFonts w:ascii="Calibri" w:hAnsi="Calibri"/>
        </w:rPr>
        <w:t xml:space="preserve"> total transactions. </w:t>
      </w:r>
    </w:p>
    <w:p w:rsidR="003400A3" w:rsidRPr="00E96F55" w:rsidRDefault="003400A3" w:rsidP="00897845">
      <w:pPr>
        <w:numPr>
          <w:ilvl w:val="0"/>
          <w:numId w:val="1"/>
        </w:numPr>
        <w:rPr>
          <w:rFonts w:ascii="Calibri" w:hAnsi="Calibri"/>
        </w:rPr>
      </w:pPr>
      <w:r w:rsidRPr="00E96F55">
        <w:rPr>
          <w:rFonts w:ascii="Calibri" w:hAnsi="Calibri"/>
        </w:rPr>
        <w:t xml:space="preserve">Tabulated by hour of the day, the peak periods of check-outs occurred from </w:t>
      </w:r>
      <w:r>
        <w:rPr>
          <w:rFonts w:ascii="Calibri" w:hAnsi="Calibri"/>
        </w:rPr>
        <w:t>12:00 to</w:t>
      </w:r>
      <w:r w:rsidRPr="00E96F55">
        <w:rPr>
          <w:rFonts w:ascii="Calibri" w:hAnsi="Calibri"/>
        </w:rPr>
        <w:t xml:space="preserve"> </w:t>
      </w:r>
      <w:r>
        <w:rPr>
          <w:rFonts w:ascii="Calibri" w:hAnsi="Calibri"/>
        </w:rPr>
        <w:t>6</w:t>
      </w:r>
      <w:r w:rsidRPr="00E96F55">
        <w:rPr>
          <w:rFonts w:ascii="Calibri" w:hAnsi="Calibri"/>
        </w:rPr>
        <w:t xml:space="preserve">:00pm (Chart 3). </w:t>
      </w:r>
    </w:p>
    <w:p w:rsidR="003400A3" w:rsidRPr="009164FC" w:rsidRDefault="003400A3" w:rsidP="003400A3">
      <w:pPr>
        <w:rPr>
          <w:rFonts w:ascii="Calibri" w:hAnsi="Calibri"/>
        </w:rPr>
      </w:pPr>
    </w:p>
    <w:p w:rsidR="003400A3" w:rsidRPr="009164FC" w:rsidRDefault="00165E59" w:rsidP="003400A3">
      <w:pPr>
        <w:jc w:val="center"/>
        <w:rPr>
          <w:rFonts w:ascii="Calibri" w:hAnsi="Calibri"/>
        </w:rPr>
      </w:pPr>
      <w:r>
        <w:rPr>
          <w:rFonts w:ascii="Calibri" w:hAnsi="Calibri"/>
          <w:noProof/>
        </w:rPr>
        <w:drawing>
          <wp:inline distT="0" distB="0" distL="0" distR="0">
            <wp:extent cx="5038725" cy="3133725"/>
            <wp:effectExtent l="19050" t="0" r="9525" b="0"/>
            <wp:docPr id="6"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3"/>
                    <a:srcRect/>
                    <a:stretch>
                      <a:fillRect/>
                    </a:stretch>
                  </pic:blipFill>
                  <pic:spPr bwMode="auto">
                    <a:xfrm>
                      <a:off x="0" y="0"/>
                      <a:ext cx="5038725" cy="3133725"/>
                    </a:xfrm>
                    <a:prstGeom prst="rect">
                      <a:avLst/>
                    </a:prstGeom>
                    <a:noFill/>
                    <a:ln w="9525">
                      <a:noFill/>
                      <a:miter lim="800000"/>
                      <a:headEnd/>
                      <a:tailEnd/>
                    </a:ln>
                  </pic:spPr>
                </pic:pic>
              </a:graphicData>
            </a:graphic>
          </wp:inline>
        </w:drawing>
      </w:r>
    </w:p>
    <w:p w:rsidR="003400A3" w:rsidRPr="00E96F55" w:rsidRDefault="003400A3" w:rsidP="00897845">
      <w:pPr>
        <w:numPr>
          <w:ilvl w:val="0"/>
          <w:numId w:val="1"/>
        </w:numPr>
        <w:rPr>
          <w:rFonts w:ascii="Calibri" w:hAnsi="Calibri"/>
        </w:rPr>
      </w:pPr>
      <w:r w:rsidRPr="00E96F55">
        <w:rPr>
          <w:rFonts w:ascii="Calibri" w:hAnsi="Calibri"/>
        </w:rPr>
        <w:lastRenderedPageBreak/>
        <w:t xml:space="preserve">Tabulated by day of week, the peak periods of check-outs </w:t>
      </w:r>
      <w:r>
        <w:rPr>
          <w:rFonts w:ascii="Calibri" w:hAnsi="Calibri"/>
        </w:rPr>
        <w:t xml:space="preserve">for Fall semester 2007 </w:t>
      </w:r>
      <w:r w:rsidRPr="00E96F55">
        <w:rPr>
          <w:rFonts w:ascii="Calibri" w:hAnsi="Calibri"/>
        </w:rPr>
        <w:t>occurred on Tuesday, followed by Monday, Wednesday, Thursday, and Friday (Chart 4).</w:t>
      </w:r>
    </w:p>
    <w:p w:rsidR="003400A3" w:rsidRDefault="003400A3" w:rsidP="00897845">
      <w:pPr>
        <w:numPr>
          <w:ilvl w:val="0"/>
          <w:numId w:val="1"/>
        </w:numPr>
        <w:rPr>
          <w:rFonts w:ascii="Calibri" w:hAnsi="Calibri"/>
        </w:rPr>
      </w:pPr>
      <w:r w:rsidRPr="00FB0AD5">
        <w:rPr>
          <w:rFonts w:ascii="Calibri" w:hAnsi="Calibri"/>
        </w:rPr>
        <w:t>Tabulated by day of week, the peak periods of check-outs for Fall semester 2008 occurred on Monday, followed by Tuesday, Wednesday, Thursday, and Sunday (Chart 4).</w:t>
      </w:r>
    </w:p>
    <w:p w:rsidR="007A540E" w:rsidRPr="00FB0AD5" w:rsidRDefault="007A540E" w:rsidP="007A540E">
      <w:pPr>
        <w:ind w:left="720"/>
        <w:rPr>
          <w:rFonts w:ascii="Calibri" w:hAnsi="Calibri"/>
        </w:rPr>
      </w:pPr>
    </w:p>
    <w:p w:rsidR="003400A3" w:rsidRPr="009164FC" w:rsidRDefault="00165E59" w:rsidP="003400A3">
      <w:pPr>
        <w:ind w:left="720"/>
        <w:jc w:val="center"/>
        <w:rPr>
          <w:rFonts w:ascii="Calibri" w:hAnsi="Calibri"/>
        </w:rPr>
      </w:pPr>
      <w:r>
        <w:rPr>
          <w:rFonts w:ascii="Calibri" w:hAnsi="Calibri"/>
          <w:noProof/>
        </w:rPr>
        <w:drawing>
          <wp:inline distT="0" distB="0" distL="0" distR="0">
            <wp:extent cx="4282186" cy="2733675"/>
            <wp:effectExtent l="6096" t="0" r="7493"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00A3" w:rsidRDefault="003400A3" w:rsidP="003400A3">
      <w:pPr>
        <w:ind w:left="720"/>
        <w:rPr>
          <w:rFonts w:ascii="Calibri" w:hAnsi="Calibri"/>
        </w:rPr>
      </w:pPr>
    </w:p>
    <w:p w:rsidR="007A540E" w:rsidRPr="009164FC" w:rsidRDefault="007A540E" w:rsidP="003400A3">
      <w:pPr>
        <w:ind w:left="720"/>
        <w:rPr>
          <w:rFonts w:ascii="Calibri" w:hAnsi="Calibri"/>
        </w:rPr>
      </w:pPr>
    </w:p>
    <w:p w:rsidR="003400A3" w:rsidRPr="00E96F55" w:rsidRDefault="003400A3" w:rsidP="00897845">
      <w:pPr>
        <w:numPr>
          <w:ilvl w:val="0"/>
          <w:numId w:val="1"/>
        </w:numPr>
        <w:rPr>
          <w:rFonts w:ascii="Calibri" w:hAnsi="Calibri"/>
        </w:rPr>
      </w:pPr>
      <w:r w:rsidRPr="00E96F55">
        <w:rPr>
          <w:rFonts w:ascii="Calibri" w:hAnsi="Calibri"/>
        </w:rPr>
        <w:t>Tabulated by week of semester, the peak periods of check-outs for Fall semester 2007 occurred in weeks 11, 15, 12, 14, and 8 (Chart 5).</w:t>
      </w:r>
    </w:p>
    <w:p w:rsidR="003400A3" w:rsidRDefault="003400A3" w:rsidP="00897845">
      <w:pPr>
        <w:numPr>
          <w:ilvl w:val="0"/>
          <w:numId w:val="1"/>
        </w:numPr>
        <w:rPr>
          <w:rFonts w:ascii="Calibri" w:hAnsi="Calibri"/>
        </w:rPr>
      </w:pPr>
      <w:r w:rsidRPr="00FB0AD5">
        <w:rPr>
          <w:rFonts w:ascii="Calibri" w:hAnsi="Calibri"/>
        </w:rPr>
        <w:t>Tabulated by week of semester, the peak periods of check-outs for Fall semester 2008 occurred in weeks 8, 15, 12, 5, and 10 (Chart 5).</w:t>
      </w:r>
    </w:p>
    <w:p w:rsidR="007A540E" w:rsidRPr="00FB0AD5" w:rsidRDefault="007A540E" w:rsidP="007A540E">
      <w:pPr>
        <w:ind w:left="720"/>
        <w:rPr>
          <w:rFonts w:ascii="Calibri" w:hAnsi="Calibri"/>
        </w:rPr>
      </w:pPr>
    </w:p>
    <w:p w:rsidR="003400A3" w:rsidRDefault="00165E59" w:rsidP="003400A3">
      <w:pPr>
        <w:jc w:val="center"/>
        <w:rPr>
          <w:rFonts w:ascii="Calibri" w:hAnsi="Calibri"/>
        </w:rPr>
      </w:pPr>
      <w:r>
        <w:rPr>
          <w:rFonts w:ascii="Calibri" w:hAnsi="Calibri"/>
          <w:noProof/>
        </w:rPr>
        <w:drawing>
          <wp:inline distT="0" distB="0" distL="0" distR="0">
            <wp:extent cx="5466588" cy="3086100"/>
            <wp:effectExtent l="6096" t="0" r="4191"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00A3" w:rsidRDefault="003400A3" w:rsidP="003400A3">
      <w:pPr>
        <w:rPr>
          <w:rFonts w:ascii="Calibri" w:hAnsi="Calibri"/>
        </w:rPr>
      </w:pPr>
    </w:p>
    <w:p w:rsidR="007A540E" w:rsidRDefault="007A540E" w:rsidP="003400A3">
      <w:pPr>
        <w:rPr>
          <w:rFonts w:ascii="Calibri" w:hAnsi="Calibri"/>
        </w:rPr>
      </w:pPr>
    </w:p>
    <w:p w:rsidR="003400A3" w:rsidRPr="00E96F55" w:rsidRDefault="003400A3" w:rsidP="003400A3">
      <w:pPr>
        <w:rPr>
          <w:rFonts w:ascii="Calibri" w:hAnsi="Calibri"/>
        </w:rPr>
      </w:pPr>
      <w:r w:rsidRPr="00E96F55">
        <w:rPr>
          <w:rFonts w:ascii="Calibri" w:hAnsi="Calibri"/>
        </w:rPr>
        <w:lastRenderedPageBreak/>
        <w:t xml:space="preserve">Fall semester 2007 at ML@COT: </w:t>
      </w:r>
    </w:p>
    <w:p w:rsidR="003400A3" w:rsidRPr="00E96F55" w:rsidRDefault="003400A3" w:rsidP="00897845">
      <w:pPr>
        <w:numPr>
          <w:ilvl w:val="0"/>
          <w:numId w:val="1"/>
        </w:numPr>
        <w:rPr>
          <w:rFonts w:ascii="Calibri" w:hAnsi="Calibri"/>
        </w:rPr>
      </w:pPr>
      <w:r w:rsidRPr="00E96F55">
        <w:rPr>
          <w:rFonts w:ascii="Calibri" w:hAnsi="Calibri"/>
        </w:rPr>
        <w:t xml:space="preserve">2,015 total transactions. </w:t>
      </w:r>
    </w:p>
    <w:p w:rsidR="003400A3" w:rsidRPr="00E96F55" w:rsidRDefault="003400A3" w:rsidP="00897845">
      <w:pPr>
        <w:numPr>
          <w:ilvl w:val="0"/>
          <w:numId w:val="1"/>
        </w:numPr>
        <w:rPr>
          <w:rFonts w:ascii="Calibri" w:hAnsi="Calibri"/>
        </w:rPr>
      </w:pPr>
      <w:r w:rsidRPr="00E96F55">
        <w:rPr>
          <w:rFonts w:ascii="Calibri" w:hAnsi="Calibri"/>
        </w:rPr>
        <w:t xml:space="preserve">Tabulated by hour of the day, the peak periods of check-outs occurred at 9:00am, 11:00am, and 1:00pm (Chart 6). </w:t>
      </w:r>
    </w:p>
    <w:p w:rsidR="007A540E" w:rsidRDefault="007A540E" w:rsidP="003400A3">
      <w:pPr>
        <w:rPr>
          <w:rFonts w:ascii="Calibri" w:hAnsi="Calibri"/>
        </w:rPr>
      </w:pPr>
    </w:p>
    <w:p w:rsidR="003400A3" w:rsidRPr="00A1079D" w:rsidRDefault="003400A3" w:rsidP="003400A3">
      <w:pPr>
        <w:rPr>
          <w:rFonts w:ascii="Calibri" w:hAnsi="Calibri"/>
        </w:rPr>
      </w:pPr>
      <w:r w:rsidRPr="00A1079D">
        <w:rPr>
          <w:rFonts w:ascii="Calibri" w:hAnsi="Calibri"/>
        </w:rPr>
        <w:t xml:space="preserve">Fall semester 2008 at ML@COT: </w:t>
      </w:r>
    </w:p>
    <w:p w:rsidR="003400A3" w:rsidRPr="00E96F55" w:rsidRDefault="003400A3" w:rsidP="00897845">
      <w:pPr>
        <w:numPr>
          <w:ilvl w:val="0"/>
          <w:numId w:val="1"/>
        </w:numPr>
        <w:rPr>
          <w:rFonts w:ascii="Calibri" w:hAnsi="Calibri"/>
        </w:rPr>
      </w:pPr>
      <w:r>
        <w:rPr>
          <w:rFonts w:ascii="Calibri" w:hAnsi="Calibri"/>
        </w:rPr>
        <w:t>1,836</w:t>
      </w:r>
      <w:r w:rsidRPr="00E96F55">
        <w:rPr>
          <w:rFonts w:ascii="Calibri" w:hAnsi="Calibri"/>
        </w:rPr>
        <w:t xml:space="preserve"> total transactions. </w:t>
      </w:r>
    </w:p>
    <w:p w:rsidR="003400A3" w:rsidRDefault="003400A3" w:rsidP="00897845">
      <w:pPr>
        <w:numPr>
          <w:ilvl w:val="0"/>
          <w:numId w:val="1"/>
        </w:numPr>
        <w:rPr>
          <w:rFonts w:ascii="Calibri" w:hAnsi="Calibri"/>
        </w:rPr>
      </w:pPr>
      <w:r w:rsidRPr="00E96F55">
        <w:rPr>
          <w:rFonts w:ascii="Calibri" w:hAnsi="Calibri"/>
        </w:rPr>
        <w:t xml:space="preserve">Tabulated by hour of the day, the peak periods of check-outs occurred at </w:t>
      </w:r>
      <w:r>
        <w:rPr>
          <w:rFonts w:ascii="Calibri" w:hAnsi="Calibri"/>
        </w:rPr>
        <w:t>1:00pm</w:t>
      </w:r>
      <w:r w:rsidRPr="00E96F55">
        <w:rPr>
          <w:rFonts w:ascii="Calibri" w:hAnsi="Calibri"/>
        </w:rPr>
        <w:t xml:space="preserve">, </w:t>
      </w:r>
      <w:r>
        <w:rPr>
          <w:rFonts w:ascii="Calibri" w:hAnsi="Calibri"/>
        </w:rPr>
        <w:t>11</w:t>
      </w:r>
      <w:r w:rsidRPr="00E96F55">
        <w:rPr>
          <w:rFonts w:ascii="Calibri" w:hAnsi="Calibri"/>
        </w:rPr>
        <w:t xml:space="preserve">:00am, and </w:t>
      </w:r>
      <w:r>
        <w:rPr>
          <w:rFonts w:ascii="Calibri" w:hAnsi="Calibri"/>
        </w:rPr>
        <w:t>2</w:t>
      </w:r>
      <w:r w:rsidRPr="00E96F55">
        <w:rPr>
          <w:rFonts w:ascii="Calibri" w:hAnsi="Calibri"/>
        </w:rPr>
        <w:t xml:space="preserve">:00pm (Chart 6). </w:t>
      </w:r>
    </w:p>
    <w:p w:rsidR="007A540E" w:rsidRPr="00E96F55" w:rsidRDefault="007A540E" w:rsidP="007A540E">
      <w:pPr>
        <w:ind w:left="720"/>
        <w:rPr>
          <w:rFonts w:ascii="Calibri" w:hAnsi="Calibri"/>
        </w:rPr>
      </w:pPr>
    </w:p>
    <w:p w:rsidR="003400A3" w:rsidRPr="009164FC" w:rsidRDefault="00165E59" w:rsidP="003400A3">
      <w:pPr>
        <w:jc w:val="center"/>
        <w:rPr>
          <w:rFonts w:ascii="Calibri" w:hAnsi="Calibri"/>
          <w:noProof/>
        </w:rPr>
      </w:pPr>
      <w:r>
        <w:rPr>
          <w:rFonts w:ascii="Calibri" w:hAnsi="Calibri"/>
          <w:noProof/>
        </w:rPr>
        <w:drawing>
          <wp:inline distT="0" distB="0" distL="0" distR="0">
            <wp:extent cx="5387866" cy="3370053"/>
            <wp:effectExtent l="6096" t="0" r="6713" b="1797"/>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00A3" w:rsidRDefault="003400A3" w:rsidP="003400A3">
      <w:pPr>
        <w:rPr>
          <w:rFonts w:ascii="Calibri" w:hAnsi="Calibri"/>
        </w:rPr>
      </w:pPr>
    </w:p>
    <w:p w:rsidR="007A540E" w:rsidRDefault="007A540E" w:rsidP="003400A3">
      <w:pPr>
        <w:rPr>
          <w:rFonts w:ascii="Calibri" w:hAnsi="Calibri"/>
        </w:rPr>
      </w:pPr>
    </w:p>
    <w:p w:rsidR="003400A3" w:rsidRDefault="003400A3" w:rsidP="00897845">
      <w:pPr>
        <w:numPr>
          <w:ilvl w:val="0"/>
          <w:numId w:val="22"/>
        </w:numPr>
        <w:rPr>
          <w:rFonts w:ascii="Calibri" w:hAnsi="Calibri"/>
        </w:rPr>
      </w:pPr>
      <w:r>
        <w:rPr>
          <w:rFonts w:ascii="Calibri" w:hAnsi="Calibri"/>
        </w:rPr>
        <w:t>Tabulated by day of week, the peak periods of check-outs for Fall semester 2007 and Fall Semester 2008 occurred on Monday and Wednesday (Chart 7).</w:t>
      </w:r>
    </w:p>
    <w:p w:rsidR="003400A3" w:rsidRPr="009164FC" w:rsidRDefault="003400A3" w:rsidP="003400A3">
      <w:pPr>
        <w:rPr>
          <w:rFonts w:ascii="Calibri" w:hAnsi="Calibri"/>
        </w:rPr>
      </w:pPr>
    </w:p>
    <w:p w:rsidR="003400A3" w:rsidRPr="009164FC" w:rsidRDefault="00165E59" w:rsidP="003400A3">
      <w:pPr>
        <w:jc w:val="center"/>
        <w:rPr>
          <w:rFonts w:ascii="Calibri" w:hAnsi="Calibri"/>
          <w:noProof/>
        </w:rPr>
      </w:pPr>
      <w:r>
        <w:rPr>
          <w:rFonts w:ascii="Calibri" w:hAnsi="Calibri"/>
          <w:noProof/>
        </w:rPr>
        <w:lastRenderedPageBreak/>
        <w:drawing>
          <wp:inline distT="0" distB="0" distL="0" distR="0">
            <wp:extent cx="4913208" cy="2703576"/>
            <wp:effectExtent l="6096" t="0" r="5121" b="1524"/>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00A3" w:rsidRDefault="003400A3" w:rsidP="003400A3">
      <w:pPr>
        <w:jc w:val="center"/>
        <w:rPr>
          <w:rFonts w:ascii="Calibri" w:hAnsi="Calibri"/>
        </w:rPr>
      </w:pPr>
    </w:p>
    <w:p w:rsidR="007A540E" w:rsidRPr="009164FC" w:rsidRDefault="007A540E" w:rsidP="003400A3">
      <w:pPr>
        <w:jc w:val="center"/>
        <w:rPr>
          <w:rFonts w:ascii="Calibri" w:hAnsi="Calibri"/>
        </w:rPr>
      </w:pPr>
    </w:p>
    <w:p w:rsidR="007A540E" w:rsidRPr="007A540E" w:rsidRDefault="003400A3" w:rsidP="007A540E">
      <w:pPr>
        <w:numPr>
          <w:ilvl w:val="0"/>
          <w:numId w:val="1"/>
        </w:numPr>
        <w:rPr>
          <w:rFonts w:ascii="Calibri" w:hAnsi="Calibri"/>
        </w:rPr>
      </w:pPr>
      <w:r w:rsidRPr="00E96F55">
        <w:rPr>
          <w:rFonts w:ascii="Calibri" w:hAnsi="Calibri"/>
        </w:rPr>
        <w:t xml:space="preserve">Tabulated by week of semester, the peak periods of check-outs for Fall semester 2007 </w:t>
      </w:r>
      <w:r>
        <w:rPr>
          <w:rFonts w:ascii="Calibri" w:hAnsi="Calibri"/>
        </w:rPr>
        <w:t>occurred in weeks 3, 5, 8, 1, and 15</w:t>
      </w:r>
      <w:r w:rsidRPr="00E96F55">
        <w:rPr>
          <w:rFonts w:ascii="Calibri" w:hAnsi="Calibri"/>
        </w:rPr>
        <w:t xml:space="preserve"> (Chart 8).</w:t>
      </w:r>
    </w:p>
    <w:p w:rsidR="003400A3" w:rsidRPr="00A1079D" w:rsidRDefault="003400A3" w:rsidP="00897845">
      <w:pPr>
        <w:numPr>
          <w:ilvl w:val="0"/>
          <w:numId w:val="1"/>
        </w:numPr>
        <w:rPr>
          <w:rFonts w:ascii="Calibri" w:hAnsi="Calibri"/>
        </w:rPr>
      </w:pPr>
      <w:r w:rsidRPr="00A1079D">
        <w:rPr>
          <w:rFonts w:ascii="Calibri" w:hAnsi="Calibri"/>
        </w:rPr>
        <w:t>Tabulated by week of semester, the peak periods of check-outs for Fall semester 2008 occurred in weeks 1, 3, 2, 7, and 9 (Chart 8).</w:t>
      </w:r>
    </w:p>
    <w:p w:rsidR="003400A3" w:rsidRPr="009164FC" w:rsidRDefault="003400A3" w:rsidP="003400A3">
      <w:pPr>
        <w:rPr>
          <w:rFonts w:ascii="Calibri" w:hAnsi="Calibri"/>
        </w:rPr>
      </w:pPr>
    </w:p>
    <w:p w:rsidR="003400A3" w:rsidRPr="009164FC" w:rsidRDefault="00165E59" w:rsidP="003400A3">
      <w:pPr>
        <w:jc w:val="center"/>
        <w:rPr>
          <w:rFonts w:ascii="Calibri" w:hAnsi="Calibri"/>
        </w:rPr>
      </w:pPr>
      <w:r>
        <w:rPr>
          <w:rFonts w:ascii="Calibri" w:hAnsi="Calibri"/>
          <w:noProof/>
        </w:rPr>
        <w:drawing>
          <wp:inline distT="0" distB="0" distL="0" distR="0">
            <wp:extent cx="4976171" cy="3419094"/>
            <wp:effectExtent l="6096" t="0" r="8833" b="381"/>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00A3" w:rsidRPr="009164FC" w:rsidRDefault="003400A3" w:rsidP="003400A3">
      <w:pPr>
        <w:rPr>
          <w:rFonts w:ascii="Calibri" w:hAnsi="Calibri"/>
        </w:rPr>
      </w:pPr>
    </w:p>
    <w:p w:rsidR="003400A3" w:rsidRDefault="003400A3" w:rsidP="003400A3">
      <w:pPr>
        <w:rPr>
          <w:rFonts w:ascii="Calibri" w:hAnsi="Calibri"/>
        </w:rPr>
      </w:pPr>
    </w:p>
    <w:p w:rsidR="007A540E" w:rsidRDefault="007A540E" w:rsidP="003400A3">
      <w:pPr>
        <w:rPr>
          <w:rFonts w:ascii="Calibri" w:hAnsi="Calibri"/>
        </w:rPr>
      </w:pPr>
    </w:p>
    <w:p w:rsidR="007A540E" w:rsidRDefault="007A540E" w:rsidP="003400A3">
      <w:pPr>
        <w:rPr>
          <w:rFonts w:ascii="Calibri" w:hAnsi="Calibri"/>
        </w:rPr>
      </w:pPr>
    </w:p>
    <w:p w:rsidR="007A540E" w:rsidRDefault="007A540E" w:rsidP="003400A3">
      <w:pPr>
        <w:rPr>
          <w:rFonts w:ascii="Calibri" w:hAnsi="Calibri"/>
        </w:rPr>
      </w:pPr>
    </w:p>
    <w:p w:rsidR="007A540E" w:rsidRDefault="007A540E" w:rsidP="003400A3">
      <w:pPr>
        <w:rPr>
          <w:rFonts w:ascii="Calibri" w:hAnsi="Calibri"/>
        </w:rPr>
      </w:pPr>
    </w:p>
    <w:p w:rsidR="003400A3" w:rsidRPr="00E96F55" w:rsidRDefault="003400A3" w:rsidP="003400A3">
      <w:pPr>
        <w:rPr>
          <w:rFonts w:ascii="Calibri" w:hAnsi="Calibri"/>
        </w:rPr>
      </w:pPr>
      <w:r w:rsidRPr="00E96F55">
        <w:rPr>
          <w:rFonts w:ascii="Calibri" w:hAnsi="Calibri"/>
        </w:rPr>
        <w:lastRenderedPageBreak/>
        <w:t>Interlibrary Loan Activity Fall Semester 2007</w:t>
      </w:r>
    </w:p>
    <w:p w:rsidR="003400A3" w:rsidRPr="00E96F55" w:rsidRDefault="003400A3" w:rsidP="00897845">
      <w:pPr>
        <w:numPr>
          <w:ilvl w:val="0"/>
          <w:numId w:val="1"/>
        </w:numPr>
        <w:rPr>
          <w:rFonts w:ascii="Calibri" w:hAnsi="Calibri"/>
        </w:rPr>
      </w:pPr>
      <w:r>
        <w:rPr>
          <w:rFonts w:ascii="Calibri" w:hAnsi="Calibri"/>
        </w:rPr>
        <w:t xml:space="preserve">13,273 </w:t>
      </w:r>
      <w:r w:rsidRPr="00E96F55">
        <w:rPr>
          <w:rFonts w:ascii="Calibri" w:hAnsi="Calibri"/>
        </w:rPr>
        <w:t xml:space="preserve"> total transactions</w:t>
      </w:r>
    </w:p>
    <w:p w:rsidR="003400A3" w:rsidRPr="00E96F55" w:rsidRDefault="003400A3" w:rsidP="00897845">
      <w:pPr>
        <w:numPr>
          <w:ilvl w:val="0"/>
          <w:numId w:val="1"/>
        </w:numPr>
        <w:rPr>
          <w:rFonts w:ascii="Calibri" w:hAnsi="Calibri"/>
        </w:rPr>
      </w:pPr>
      <w:r w:rsidRPr="00E96F55">
        <w:rPr>
          <w:rFonts w:ascii="Calibri" w:hAnsi="Calibri"/>
        </w:rPr>
        <w:t xml:space="preserve">Tabulated by week of semester, the peak periods of interlibrary loan requests occurred in weeks 11, </w:t>
      </w:r>
      <w:r>
        <w:rPr>
          <w:rFonts w:ascii="Calibri" w:hAnsi="Calibri"/>
        </w:rPr>
        <w:t>9</w:t>
      </w:r>
      <w:r w:rsidRPr="00E96F55">
        <w:rPr>
          <w:rFonts w:ascii="Calibri" w:hAnsi="Calibri"/>
        </w:rPr>
        <w:t xml:space="preserve">, </w:t>
      </w:r>
      <w:r>
        <w:rPr>
          <w:rFonts w:ascii="Calibri" w:hAnsi="Calibri"/>
        </w:rPr>
        <w:t>14, 15, and 7</w:t>
      </w:r>
      <w:r w:rsidRPr="00E96F55">
        <w:rPr>
          <w:rFonts w:ascii="Calibri" w:hAnsi="Calibri"/>
        </w:rPr>
        <w:t xml:space="preserve"> (Chart 9). </w:t>
      </w:r>
    </w:p>
    <w:p w:rsidR="007A540E" w:rsidRDefault="007A540E" w:rsidP="003400A3">
      <w:pPr>
        <w:rPr>
          <w:rFonts w:ascii="Calibri" w:hAnsi="Calibri"/>
        </w:rPr>
      </w:pPr>
    </w:p>
    <w:p w:rsidR="003400A3" w:rsidRPr="002E7AA1" w:rsidRDefault="003400A3" w:rsidP="003400A3">
      <w:pPr>
        <w:rPr>
          <w:rFonts w:ascii="Calibri" w:hAnsi="Calibri"/>
        </w:rPr>
      </w:pPr>
      <w:r w:rsidRPr="002E7AA1">
        <w:rPr>
          <w:rFonts w:ascii="Calibri" w:hAnsi="Calibri"/>
        </w:rPr>
        <w:t>Interlibrary Loan Activity Fall Semester 2008</w:t>
      </w:r>
    </w:p>
    <w:p w:rsidR="003400A3" w:rsidRPr="002E7AA1" w:rsidRDefault="003400A3" w:rsidP="00897845">
      <w:pPr>
        <w:numPr>
          <w:ilvl w:val="0"/>
          <w:numId w:val="1"/>
        </w:numPr>
        <w:rPr>
          <w:rFonts w:ascii="Calibri" w:hAnsi="Calibri"/>
        </w:rPr>
      </w:pPr>
      <w:r w:rsidRPr="002E7AA1">
        <w:rPr>
          <w:rFonts w:ascii="Calibri" w:hAnsi="Calibri"/>
        </w:rPr>
        <w:t>12,742  total transactions</w:t>
      </w:r>
    </w:p>
    <w:p w:rsidR="003400A3" w:rsidRDefault="003400A3" w:rsidP="00897845">
      <w:pPr>
        <w:numPr>
          <w:ilvl w:val="0"/>
          <w:numId w:val="1"/>
        </w:numPr>
        <w:rPr>
          <w:rFonts w:ascii="Calibri" w:hAnsi="Calibri"/>
        </w:rPr>
      </w:pPr>
      <w:r w:rsidRPr="002E7AA1">
        <w:rPr>
          <w:rFonts w:ascii="Calibri" w:hAnsi="Calibri"/>
        </w:rPr>
        <w:t xml:space="preserve">Tabulated by week of semester, the peak periods of interlibrary loan requests occurred in weeks 15, 16, 13, 12, and 10 (Chart 9). </w:t>
      </w:r>
    </w:p>
    <w:p w:rsidR="000B4E82" w:rsidRPr="002E7AA1" w:rsidRDefault="000B4E82" w:rsidP="007A540E">
      <w:pPr>
        <w:ind w:left="720"/>
        <w:rPr>
          <w:rFonts w:ascii="Calibri" w:hAnsi="Calibri"/>
        </w:rPr>
      </w:pPr>
    </w:p>
    <w:p w:rsidR="003400A3" w:rsidRPr="009164FC" w:rsidRDefault="00165E59" w:rsidP="003400A3">
      <w:pPr>
        <w:jc w:val="center"/>
        <w:rPr>
          <w:rFonts w:ascii="Calibri" w:hAnsi="Calibri"/>
        </w:rPr>
      </w:pPr>
      <w:r>
        <w:rPr>
          <w:rFonts w:ascii="Calibri" w:hAnsi="Calibri"/>
          <w:noProof/>
        </w:rPr>
        <w:drawing>
          <wp:inline distT="0" distB="0" distL="0" distR="0">
            <wp:extent cx="5938266" cy="2140458"/>
            <wp:effectExtent l="6096" t="0" r="8763" b="2667"/>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4E82" w:rsidRDefault="000B4E82"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Web Site Visits</w:t>
      </w:r>
    </w:p>
    <w:p w:rsidR="003400A3" w:rsidRPr="00134DFC" w:rsidRDefault="003400A3" w:rsidP="00897845">
      <w:pPr>
        <w:numPr>
          <w:ilvl w:val="0"/>
          <w:numId w:val="17"/>
        </w:numPr>
        <w:rPr>
          <w:rFonts w:ascii="Calibri" w:hAnsi="Calibri"/>
        </w:rPr>
      </w:pPr>
      <w:r w:rsidRPr="00134DFC">
        <w:rPr>
          <w:rFonts w:ascii="Calibri" w:hAnsi="Calibri"/>
        </w:rPr>
        <w:t>During both fiscal year 2007 and 2008, the web site had the most monthly hits at the beginning and end of each semester (Chart 10).</w:t>
      </w:r>
    </w:p>
    <w:p w:rsidR="003400A3" w:rsidRPr="009164FC" w:rsidRDefault="003400A3" w:rsidP="003400A3">
      <w:pPr>
        <w:rPr>
          <w:rFonts w:ascii="Calibri" w:hAnsi="Calibri"/>
        </w:rPr>
      </w:pPr>
    </w:p>
    <w:p w:rsidR="003400A3" w:rsidRDefault="00165E59" w:rsidP="003400A3">
      <w:pPr>
        <w:jc w:val="center"/>
        <w:rPr>
          <w:rFonts w:ascii="Calibri" w:hAnsi="Calibri"/>
          <w:b/>
          <w:noProof/>
        </w:rPr>
      </w:pPr>
      <w:r>
        <w:rPr>
          <w:rFonts w:ascii="Calibri" w:hAnsi="Calibri"/>
          <w:b/>
          <w:noProof/>
        </w:rPr>
        <w:drawing>
          <wp:inline distT="0" distB="0" distL="0" distR="0">
            <wp:extent cx="5400879" cy="3163163"/>
            <wp:effectExtent l="11838" t="5783" r="7008" b="2879"/>
            <wp:docPr id="1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4E82" w:rsidRPr="009164FC" w:rsidRDefault="000B4E82" w:rsidP="003400A3">
      <w:pPr>
        <w:jc w:val="center"/>
        <w:rPr>
          <w:rFonts w:ascii="Calibri" w:hAnsi="Calibri"/>
          <w:b/>
        </w:rPr>
      </w:pPr>
    </w:p>
    <w:p w:rsidR="003400A3" w:rsidRPr="00F25E84" w:rsidRDefault="003400A3" w:rsidP="00897845">
      <w:pPr>
        <w:numPr>
          <w:ilvl w:val="0"/>
          <w:numId w:val="17"/>
        </w:numPr>
        <w:rPr>
          <w:rFonts w:ascii="Calibri" w:hAnsi="Calibri"/>
        </w:rPr>
      </w:pPr>
      <w:r w:rsidRPr="00F25E84">
        <w:rPr>
          <w:rFonts w:ascii="Calibri" w:hAnsi="Calibri"/>
        </w:rPr>
        <w:lastRenderedPageBreak/>
        <w:t xml:space="preserve">During </w:t>
      </w:r>
      <w:r w:rsidR="00FB4223">
        <w:rPr>
          <w:rFonts w:ascii="Calibri" w:hAnsi="Calibri"/>
        </w:rPr>
        <w:t>FY</w:t>
      </w:r>
      <w:r>
        <w:rPr>
          <w:rFonts w:ascii="Calibri" w:hAnsi="Calibri"/>
        </w:rPr>
        <w:t>2007</w:t>
      </w:r>
      <w:r w:rsidRPr="00F25E84">
        <w:rPr>
          <w:rFonts w:ascii="Calibri" w:hAnsi="Calibri"/>
        </w:rPr>
        <w:t xml:space="preserve"> the top five web site entry pages were (Chart 11):</w:t>
      </w:r>
    </w:p>
    <w:p w:rsidR="003400A3" w:rsidRPr="00DA46B4" w:rsidRDefault="003400A3" w:rsidP="00897845">
      <w:pPr>
        <w:numPr>
          <w:ilvl w:val="1"/>
          <w:numId w:val="17"/>
        </w:numPr>
        <w:tabs>
          <w:tab w:val="left" w:pos="1608"/>
          <w:tab w:val="left" w:pos="4680"/>
        </w:tabs>
        <w:rPr>
          <w:rFonts w:ascii="Calibri" w:eastAsia="Times New Roman" w:hAnsi="Calibri"/>
          <w:szCs w:val="20"/>
        </w:rPr>
      </w:pPr>
      <w:r w:rsidRPr="00F25E84">
        <w:rPr>
          <w:rFonts w:ascii="Calibri" w:eastAsia="Times New Roman" w:hAnsi="Calibri"/>
          <w:szCs w:val="20"/>
        </w:rPr>
        <w:t>Interlibrary Loan</w:t>
      </w:r>
      <w:r w:rsidRPr="00DA46B4">
        <w:rPr>
          <w:rFonts w:ascii="Calibri" w:eastAsia="Times New Roman" w:hAnsi="Calibri"/>
          <w:szCs w:val="20"/>
        </w:rPr>
        <w:tab/>
      </w:r>
    </w:p>
    <w:p w:rsidR="003400A3" w:rsidRPr="00F25E84" w:rsidRDefault="003400A3" w:rsidP="00897845">
      <w:pPr>
        <w:numPr>
          <w:ilvl w:val="1"/>
          <w:numId w:val="17"/>
        </w:numPr>
        <w:tabs>
          <w:tab w:val="left" w:pos="1608"/>
          <w:tab w:val="left" w:pos="4680"/>
        </w:tabs>
        <w:rPr>
          <w:rFonts w:ascii="Calibri" w:eastAsia="Times New Roman" w:hAnsi="Calibri"/>
          <w:szCs w:val="20"/>
        </w:rPr>
      </w:pPr>
      <w:r w:rsidRPr="00F25E84">
        <w:rPr>
          <w:rFonts w:ascii="Calibri" w:eastAsia="Times New Roman" w:hAnsi="Calibri"/>
          <w:szCs w:val="20"/>
        </w:rPr>
        <w:t>Research Tools</w:t>
      </w:r>
      <w:r w:rsidRPr="00F25E84">
        <w:rPr>
          <w:rFonts w:ascii="Calibri" w:eastAsia="Times New Roman" w:hAnsi="Calibri"/>
          <w:szCs w:val="20"/>
        </w:rPr>
        <w:tab/>
      </w:r>
    </w:p>
    <w:p w:rsidR="003400A3" w:rsidRDefault="003400A3" w:rsidP="00897845">
      <w:pPr>
        <w:numPr>
          <w:ilvl w:val="1"/>
          <w:numId w:val="17"/>
        </w:numPr>
        <w:tabs>
          <w:tab w:val="left" w:pos="1608"/>
          <w:tab w:val="left" w:pos="4680"/>
        </w:tabs>
        <w:rPr>
          <w:rFonts w:ascii="Calibri" w:eastAsia="Times New Roman" w:hAnsi="Calibri"/>
          <w:szCs w:val="20"/>
        </w:rPr>
      </w:pPr>
      <w:r w:rsidRPr="00F25E84">
        <w:rPr>
          <w:rFonts w:ascii="Calibri" w:eastAsia="Times New Roman" w:hAnsi="Calibri"/>
          <w:szCs w:val="20"/>
        </w:rPr>
        <w:t>A-Z Index</w:t>
      </w:r>
    </w:p>
    <w:p w:rsidR="003400A3" w:rsidRPr="00F25E84"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Mansfield Library Hours</w:t>
      </w:r>
      <w:r w:rsidRPr="00F25E84">
        <w:rPr>
          <w:rFonts w:ascii="Calibri" w:eastAsia="Times New Roman" w:hAnsi="Calibri"/>
          <w:szCs w:val="20"/>
        </w:rPr>
        <w:tab/>
      </w:r>
    </w:p>
    <w:p w:rsidR="00FB4223"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Genetic Variation Guide</w:t>
      </w:r>
    </w:p>
    <w:p w:rsidR="003400A3" w:rsidRPr="00F25E84" w:rsidRDefault="003400A3" w:rsidP="00897845">
      <w:pPr>
        <w:numPr>
          <w:ilvl w:val="1"/>
          <w:numId w:val="17"/>
        </w:numPr>
        <w:tabs>
          <w:tab w:val="left" w:pos="1608"/>
          <w:tab w:val="left" w:pos="4680"/>
        </w:tabs>
        <w:rPr>
          <w:rFonts w:ascii="Calibri" w:eastAsia="Times New Roman" w:hAnsi="Calibri"/>
          <w:szCs w:val="20"/>
        </w:rPr>
      </w:pPr>
      <w:r w:rsidRPr="00F25E84">
        <w:rPr>
          <w:rFonts w:ascii="Calibri" w:eastAsia="Times New Roman" w:hAnsi="Calibri"/>
          <w:szCs w:val="20"/>
        </w:rPr>
        <w:tab/>
      </w:r>
    </w:p>
    <w:p w:rsidR="003400A3" w:rsidRPr="00CE1E2E" w:rsidRDefault="00FB4223" w:rsidP="00897845">
      <w:pPr>
        <w:numPr>
          <w:ilvl w:val="1"/>
          <w:numId w:val="24"/>
        </w:numPr>
        <w:tabs>
          <w:tab w:val="clear" w:pos="1440"/>
          <w:tab w:val="left" w:pos="720"/>
          <w:tab w:val="left" w:pos="4680"/>
        </w:tabs>
        <w:ind w:left="720"/>
        <w:rPr>
          <w:rFonts w:ascii="Calibri" w:eastAsia="Times New Roman" w:hAnsi="Calibri"/>
          <w:szCs w:val="20"/>
        </w:rPr>
      </w:pPr>
      <w:r>
        <w:rPr>
          <w:rFonts w:ascii="Calibri" w:eastAsia="Times New Roman" w:hAnsi="Calibri"/>
          <w:szCs w:val="20"/>
        </w:rPr>
        <w:t>During FY</w:t>
      </w:r>
      <w:r w:rsidR="003400A3" w:rsidRPr="00DA46B4">
        <w:rPr>
          <w:rFonts w:ascii="Calibri" w:eastAsia="Times New Roman" w:hAnsi="Calibri"/>
          <w:szCs w:val="20"/>
        </w:rPr>
        <w:t>2008</w:t>
      </w:r>
      <w:r w:rsidR="003400A3" w:rsidRPr="00CE1E2E">
        <w:rPr>
          <w:rFonts w:ascii="Calibri" w:eastAsia="Times New Roman" w:hAnsi="Calibri"/>
          <w:szCs w:val="20"/>
        </w:rPr>
        <w:t xml:space="preserve"> </w:t>
      </w:r>
      <w:r w:rsidR="003400A3" w:rsidRPr="00CE1E2E">
        <w:rPr>
          <w:rFonts w:ascii="Calibri" w:hAnsi="Calibri"/>
        </w:rPr>
        <w:t>the top five web site entry pages were (Chart 11):</w:t>
      </w:r>
    </w:p>
    <w:p w:rsidR="003400A3" w:rsidRPr="00CE1E2E" w:rsidRDefault="003400A3" w:rsidP="00897845">
      <w:pPr>
        <w:numPr>
          <w:ilvl w:val="1"/>
          <w:numId w:val="17"/>
        </w:numPr>
        <w:tabs>
          <w:tab w:val="left" w:pos="1608"/>
          <w:tab w:val="left" w:pos="3108"/>
        </w:tabs>
        <w:rPr>
          <w:rFonts w:ascii="Calibri" w:eastAsia="Times New Roman" w:hAnsi="Calibri"/>
          <w:szCs w:val="20"/>
        </w:rPr>
      </w:pPr>
      <w:r w:rsidRPr="00CE1E2E">
        <w:rPr>
          <w:rFonts w:ascii="Calibri" w:hAnsi="Calibri"/>
          <w:szCs w:val="20"/>
        </w:rPr>
        <w:t>Research Tools</w:t>
      </w:r>
    </w:p>
    <w:p w:rsidR="003400A3" w:rsidRPr="00CE1E2E" w:rsidRDefault="003400A3" w:rsidP="00897845">
      <w:pPr>
        <w:numPr>
          <w:ilvl w:val="1"/>
          <w:numId w:val="17"/>
        </w:numPr>
        <w:tabs>
          <w:tab w:val="left" w:pos="1608"/>
          <w:tab w:val="left" w:pos="3108"/>
        </w:tabs>
        <w:rPr>
          <w:rFonts w:ascii="Calibri" w:hAnsi="Calibri"/>
          <w:b/>
        </w:rPr>
      </w:pPr>
      <w:r w:rsidRPr="00CE1E2E">
        <w:rPr>
          <w:rFonts w:ascii="Calibri" w:hAnsi="Calibri"/>
          <w:szCs w:val="20"/>
        </w:rPr>
        <w:t>Study Room Reservations</w:t>
      </w:r>
    </w:p>
    <w:p w:rsidR="003400A3" w:rsidRPr="00CE1E2E" w:rsidRDefault="003400A3" w:rsidP="00897845">
      <w:pPr>
        <w:numPr>
          <w:ilvl w:val="1"/>
          <w:numId w:val="17"/>
        </w:numPr>
        <w:tabs>
          <w:tab w:val="left" w:pos="1608"/>
          <w:tab w:val="left" w:pos="3108"/>
        </w:tabs>
        <w:rPr>
          <w:rFonts w:ascii="Calibri" w:hAnsi="Calibri"/>
          <w:b/>
        </w:rPr>
      </w:pPr>
      <w:r w:rsidRPr="00CE1E2E">
        <w:rPr>
          <w:rFonts w:ascii="Calibri" w:hAnsi="Calibri"/>
          <w:szCs w:val="20"/>
        </w:rPr>
        <w:t>Interlibrary Loan</w:t>
      </w:r>
    </w:p>
    <w:p w:rsidR="003400A3" w:rsidRPr="00CE1E2E" w:rsidRDefault="003400A3" w:rsidP="00897845">
      <w:pPr>
        <w:numPr>
          <w:ilvl w:val="1"/>
          <w:numId w:val="17"/>
        </w:numPr>
        <w:tabs>
          <w:tab w:val="left" w:pos="1608"/>
          <w:tab w:val="left" w:pos="3108"/>
        </w:tabs>
        <w:rPr>
          <w:rFonts w:ascii="Calibri" w:hAnsi="Calibri"/>
          <w:b/>
        </w:rPr>
      </w:pPr>
      <w:r w:rsidRPr="00CE1E2E">
        <w:rPr>
          <w:rFonts w:ascii="Calibri" w:hAnsi="Calibri"/>
          <w:szCs w:val="20"/>
        </w:rPr>
        <w:t>A-Z Index</w:t>
      </w:r>
    </w:p>
    <w:p w:rsidR="003400A3" w:rsidRPr="00CE1E2E" w:rsidRDefault="003400A3" w:rsidP="00897845">
      <w:pPr>
        <w:numPr>
          <w:ilvl w:val="1"/>
          <w:numId w:val="17"/>
        </w:numPr>
        <w:tabs>
          <w:tab w:val="left" w:pos="1608"/>
          <w:tab w:val="left" w:pos="3108"/>
        </w:tabs>
        <w:rPr>
          <w:rFonts w:ascii="Calibri" w:hAnsi="Calibri"/>
          <w:b/>
        </w:rPr>
      </w:pPr>
      <w:r w:rsidRPr="00CE1E2E">
        <w:rPr>
          <w:rFonts w:ascii="Calibri" w:hAnsi="Calibri"/>
          <w:szCs w:val="20"/>
        </w:rPr>
        <w:t>Mansfield Library Hours</w:t>
      </w:r>
      <w:r w:rsidRPr="00CE1E2E">
        <w:rPr>
          <w:rFonts w:ascii="Calibri" w:hAnsi="Calibri"/>
          <w:szCs w:val="20"/>
        </w:rPr>
        <w:br/>
      </w:r>
    </w:p>
    <w:p w:rsidR="003400A3" w:rsidRDefault="00165E59" w:rsidP="003400A3">
      <w:pPr>
        <w:tabs>
          <w:tab w:val="left" w:pos="1608"/>
          <w:tab w:val="left" w:pos="4680"/>
        </w:tabs>
        <w:jc w:val="center"/>
        <w:rPr>
          <w:rFonts w:ascii="Calibri" w:eastAsia="Times New Roman" w:hAnsi="Calibri"/>
          <w:noProof/>
          <w:szCs w:val="20"/>
        </w:rPr>
      </w:pPr>
      <w:r>
        <w:rPr>
          <w:rFonts w:ascii="Calibri" w:eastAsia="Times New Roman" w:hAnsi="Calibri"/>
          <w:noProof/>
          <w:szCs w:val="20"/>
        </w:rPr>
        <w:drawing>
          <wp:inline distT="0" distB="0" distL="0" distR="0">
            <wp:extent cx="5391150" cy="3228975"/>
            <wp:effectExtent l="19050" t="0" r="0" b="0"/>
            <wp:docPr id="14"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1"/>
                    <a:srcRect/>
                    <a:stretch>
                      <a:fillRect/>
                    </a:stretch>
                  </pic:blipFill>
                  <pic:spPr bwMode="auto">
                    <a:xfrm>
                      <a:off x="0" y="0"/>
                      <a:ext cx="5391150" cy="3228975"/>
                    </a:xfrm>
                    <a:prstGeom prst="rect">
                      <a:avLst/>
                    </a:prstGeom>
                    <a:noFill/>
                    <a:ln w="9525">
                      <a:noFill/>
                      <a:miter lim="800000"/>
                      <a:headEnd/>
                      <a:tailEnd/>
                    </a:ln>
                  </pic:spPr>
                </pic:pic>
              </a:graphicData>
            </a:graphic>
          </wp:inline>
        </w:drawing>
      </w:r>
    </w:p>
    <w:p w:rsidR="003400A3" w:rsidRPr="00F25E84" w:rsidRDefault="003400A3" w:rsidP="003400A3">
      <w:pPr>
        <w:tabs>
          <w:tab w:val="left" w:pos="1608"/>
          <w:tab w:val="left" w:pos="4680"/>
        </w:tabs>
        <w:rPr>
          <w:rFonts w:ascii="Calibri" w:eastAsia="Times New Roman" w:hAnsi="Calibri"/>
          <w:szCs w:val="20"/>
          <w:highlight w:val="lightGray"/>
        </w:rPr>
      </w:pPr>
    </w:p>
    <w:p w:rsidR="003400A3" w:rsidRPr="00F25E84" w:rsidRDefault="003400A3" w:rsidP="00897845">
      <w:pPr>
        <w:numPr>
          <w:ilvl w:val="0"/>
          <w:numId w:val="17"/>
        </w:numPr>
        <w:rPr>
          <w:rFonts w:ascii="Calibri" w:hAnsi="Calibri"/>
        </w:rPr>
      </w:pPr>
      <w:r w:rsidRPr="00F25E84">
        <w:rPr>
          <w:rFonts w:ascii="Calibri" w:hAnsi="Calibri"/>
        </w:rPr>
        <w:t xml:space="preserve">During </w:t>
      </w:r>
      <w:r>
        <w:rPr>
          <w:rFonts w:ascii="Calibri" w:hAnsi="Calibri"/>
        </w:rPr>
        <w:t>FY 2007</w:t>
      </w:r>
      <w:r w:rsidRPr="00F25E84">
        <w:rPr>
          <w:rFonts w:ascii="Calibri" w:hAnsi="Calibri"/>
        </w:rPr>
        <w:t xml:space="preserve"> the top five web site exit pages were (Chart 12):</w:t>
      </w:r>
    </w:p>
    <w:p w:rsidR="003400A3"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Interlibrary Loan</w:t>
      </w:r>
    </w:p>
    <w:p w:rsidR="003400A3"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Research Tools</w:t>
      </w:r>
    </w:p>
    <w:p w:rsidR="003400A3"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A-Z Index</w:t>
      </w:r>
    </w:p>
    <w:p w:rsidR="003400A3"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Mansfield Library Hours</w:t>
      </w:r>
    </w:p>
    <w:p w:rsidR="003400A3" w:rsidRPr="003400A3" w:rsidRDefault="003400A3" w:rsidP="00897845">
      <w:pPr>
        <w:numPr>
          <w:ilvl w:val="1"/>
          <w:numId w:val="17"/>
        </w:numPr>
        <w:tabs>
          <w:tab w:val="left" w:pos="1608"/>
          <w:tab w:val="left" w:pos="4680"/>
        </w:tabs>
        <w:rPr>
          <w:rFonts w:ascii="Calibri" w:eastAsia="Times New Roman" w:hAnsi="Calibri"/>
          <w:szCs w:val="20"/>
        </w:rPr>
      </w:pPr>
      <w:r>
        <w:rPr>
          <w:rFonts w:ascii="Calibri" w:eastAsia="Times New Roman" w:hAnsi="Calibri"/>
          <w:szCs w:val="20"/>
        </w:rPr>
        <w:t>Study Room Reservations</w:t>
      </w:r>
      <w:r w:rsidRPr="00F25E84">
        <w:rPr>
          <w:rFonts w:ascii="Calibri" w:eastAsia="Times New Roman" w:hAnsi="Calibri"/>
          <w:szCs w:val="20"/>
        </w:rPr>
        <w:tab/>
      </w:r>
    </w:p>
    <w:p w:rsidR="003400A3" w:rsidRPr="003D6349" w:rsidRDefault="003400A3" w:rsidP="00897845">
      <w:pPr>
        <w:numPr>
          <w:ilvl w:val="1"/>
          <w:numId w:val="23"/>
        </w:numPr>
        <w:tabs>
          <w:tab w:val="clear" w:pos="1440"/>
          <w:tab w:val="left" w:pos="720"/>
          <w:tab w:val="left" w:pos="4680"/>
        </w:tabs>
        <w:ind w:left="720"/>
        <w:rPr>
          <w:rFonts w:ascii="Calibri" w:eastAsia="Times New Roman" w:hAnsi="Calibri"/>
          <w:szCs w:val="20"/>
        </w:rPr>
      </w:pPr>
      <w:r w:rsidRPr="003D6349">
        <w:rPr>
          <w:rFonts w:ascii="Calibri" w:eastAsia="Times New Roman" w:hAnsi="Calibri"/>
          <w:szCs w:val="20"/>
        </w:rPr>
        <w:t xml:space="preserve">During </w:t>
      </w:r>
      <w:r w:rsidRPr="00DA46B4">
        <w:rPr>
          <w:rFonts w:ascii="Calibri" w:eastAsia="Times New Roman" w:hAnsi="Calibri"/>
          <w:szCs w:val="20"/>
        </w:rPr>
        <w:t xml:space="preserve">FY 2008 </w:t>
      </w:r>
      <w:r w:rsidRPr="00DA46B4">
        <w:rPr>
          <w:rFonts w:ascii="Calibri" w:hAnsi="Calibri"/>
        </w:rPr>
        <w:t>the</w:t>
      </w:r>
      <w:r w:rsidRPr="003D6349">
        <w:rPr>
          <w:rFonts w:ascii="Calibri" w:hAnsi="Calibri"/>
        </w:rPr>
        <w:t xml:space="preserve"> top </w:t>
      </w:r>
      <w:r>
        <w:rPr>
          <w:rFonts w:ascii="Calibri" w:hAnsi="Calibri"/>
        </w:rPr>
        <w:t>five</w:t>
      </w:r>
      <w:r w:rsidRPr="003D6349">
        <w:rPr>
          <w:rFonts w:ascii="Calibri" w:hAnsi="Calibri"/>
        </w:rPr>
        <w:t xml:space="preserve"> web site exit pages were (Chart 12):</w:t>
      </w:r>
    </w:p>
    <w:p w:rsidR="003400A3" w:rsidRPr="003D6349" w:rsidRDefault="003400A3" w:rsidP="00897845">
      <w:pPr>
        <w:numPr>
          <w:ilvl w:val="1"/>
          <w:numId w:val="17"/>
        </w:numPr>
        <w:tabs>
          <w:tab w:val="left" w:pos="1608"/>
          <w:tab w:val="left" w:pos="4680"/>
        </w:tabs>
        <w:rPr>
          <w:rFonts w:ascii="Calibri" w:eastAsia="Times New Roman" w:hAnsi="Calibri"/>
          <w:szCs w:val="20"/>
        </w:rPr>
      </w:pPr>
      <w:r w:rsidRPr="003D6349">
        <w:rPr>
          <w:rFonts w:ascii="Calibri" w:hAnsi="Calibri"/>
        </w:rPr>
        <w:t>Research Tools</w:t>
      </w:r>
    </w:p>
    <w:p w:rsidR="003400A3" w:rsidRPr="003D6349" w:rsidRDefault="003400A3" w:rsidP="00897845">
      <w:pPr>
        <w:numPr>
          <w:ilvl w:val="1"/>
          <w:numId w:val="17"/>
        </w:numPr>
        <w:tabs>
          <w:tab w:val="left" w:pos="1608"/>
          <w:tab w:val="left" w:pos="4680"/>
        </w:tabs>
        <w:rPr>
          <w:rFonts w:ascii="Calibri" w:eastAsia="Times New Roman" w:hAnsi="Calibri"/>
          <w:szCs w:val="20"/>
        </w:rPr>
      </w:pPr>
      <w:r w:rsidRPr="003D6349">
        <w:rPr>
          <w:rFonts w:ascii="Calibri" w:hAnsi="Calibri"/>
        </w:rPr>
        <w:t>Interlibrary Loan</w:t>
      </w:r>
    </w:p>
    <w:p w:rsidR="003400A3" w:rsidRPr="003D6349" w:rsidRDefault="003400A3" w:rsidP="00897845">
      <w:pPr>
        <w:numPr>
          <w:ilvl w:val="1"/>
          <w:numId w:val="17"/>
        </w:numPr>
        <w:tabs>
          <w:tab w:val="left" w:pos="1608"/>
          <w:tab w:val="left" w:pos="4680"/>
        </w:tabs>
        <w:rPr>
          <w:rFonts w:ascii="Calibri" w:eastAsia="Times New Roman" w:hAnsi="Calibri"/>
          <w:szCs w:val="20"/>
        </w:rPr>
      </w:pPr>
      <w:r w:rsidRPr="003D6349">
        <w:rPr>
          <w:rFonts w:ascii="Calibri" w:hAnsi="Calibri"/>
        </w:rPr>
        <w:t>Study Room Reservations</w:t>
      </w:r>
    </w:p>
    <w:p w:rsidR="003400A3" w:rsidRPr="003D6349" w:rsidRDefault="003400A3" w:rsidP="00897845">
      <w:pPr>
        <w:numPr>
          <w:ilvl w:val="1"/>
          <w:numId w:val="17"/>
        </w:numPr>
        <w:tabs>
          <w:tab w:val="left" w:pos="1608"/>
          <w:tab w:val="left" w:pos="4680"/>
        </w:tabs>
        <w:rPr>
          <w:rFonts w:ascii="Calibri" w:eastAsia="Times New Roman" w:hAnsi="Calibri"/>
          <w:szCs w:val="20"/>
        </w:rPr>
      </w:pPr>
      <w:r w:rsidRPr="003D6349">
        <w:rPr>
          <w:rFonts w:ascii="Calibri" w:hAnsi="Calibri"/>
        </w:rPr>
        <w:t>Mansfield Library Hours</w:t>
      </w:r>
      <w:r w:rsidRPr="003D6349">
        <w:rPr>
          <w:rFonts w:ascii="Calibri" w:hAnsi="Calibri"/>
          <w:b/>
        </w:rPr>
        <w:t xml:space="preserve"> </w:t>
      </w:r>
    </w:p>
    <w:p w:rsidR="003400A3" w:rsidRPr="00FB0FA2" w:rsidRDefault="003400A3" w:rsidP="00897845">
      <w:pPr>
        <w:numPr>
          <w:ilvl w:val="1"/>
          <w:numId w:val="17"/>
        </w:numPr>
        <w:tabs>
          <w:tab w:val="left" w:pos="1608"/>
          <w:tab w:val="left" w:pos="4680"/>
        </w:tabs>
        <w:rPr>
          <w:rFonts w:ascii="Calibri" w:hAnsi="Calibri"/>
        </w:rPr>
      </w:pPr>
      <w:r w:rsidRPr="003D6349">
        <w:rPr>
          <w:rFonts w:ascii="Calibri" w:hAnsi="Calibri"/>
        </w:rPr>
        <w:t>A-Z Index</w:t>
      </w:r>
      <w:r w:rsidRPr="003D6349">
        <w:rPr>
          <w:rFonts w:ascii="Calibri" w:hAnsi="Calibri"/>
          <w:b/>
        </w:rPr>
        <w:t xml:space="preserve"> </w:t>
      </w:r>
    </w:p>
    <w:p w:rsidR="003400A3" w:rsidRPr="009164FC" w:rsidRDefault="003400A3" w:rsidP="003400A3">
      <w:pPr>
        <w:tabs>
          <w:tab w:val="left" w:pos="1608"/>
          <w:tab w:val="left" w:pos="4680"/>
        </w:tabs>
        <w:ind w:left="720"/>
        <w:rPr>
          <w:rFonts w:ascii="Calibri" w:hAnsi="Calibri"/>
        </w:rPr>
      </w:pPr>
      <w:r w:rsidRPr="003D6349">
        <w:rPr>
          <w:rFonts w:ascii="Calibri" w:hAnsi="Calibri"/>
        </w:rPr>
        <w:lastRenderedPageBreak/>
        <w:br/>
      </w:r>
      <w:r w:rsidR="00165E59">
        <w:rPr>
          <w:rFonts w:ascii="Calibri" w:hAnsi="Calibri"/>
          <w:noProof/>
        </w:rPr>
        <w:drawing>
          <wp:inline distT="0" distB="0" distL="0" distR="0">
            <wp:extent cx="5467350" cy="3267075"/>
            <wp:effectExtent l="19050" t="0" r="0" b="0"/>
            <wp:docPr id="15"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22"/>
                    <a:srcRect/>
                    <a:stretch>
                      <a:fillRect/>
                    </a:stretch>
                  </pic:blipFill>
                  <pic:spPr bwMode="auto">
                    <a:xfrm>
                      <a:off x="0" y="0"/>
                      <a:ext cx="5467350" cy="3267075"/>
                    </a:xfrm>
                    <a:prstGeom prst="rect">
                      <a:avLst/>
                    </a:prstGeom>
                    <a:noFill/>
                    <a:ln w="9525">
                      <a:noFill/>
                      <a:miter lim="800000"/>
                      <a:headEnd/>
                      <a:tailEnd/>
                    </a:ln>
                  </pic:spPr>
                </pic:pic>
              </a:graphicData>
            </a:graphic>
          </wp:inline>
        </w:drawing>
      </w:r>
    </w:p>
    <w:p w:rsidR="000B4E82" w:rsidRDefault="000B4E82" w:rsidP="003400A3">
      <w:pPr>
        <w:rPr>
          <w:rFonts w:ascii="Calibri" w:hAnsi="Calibri"/>
          <w:b/>
        </w:rPr>
      </w:pPr>
    </w:p>
    <w:p w:rsidR="000B4E82" w:rsidRDefault="000B4E82" w:rsidP="003400A3">
      <w:pPr>
        <w:rPr>
          <w:rFonts w:ascii="Calibri" w:hAnsi="Calibri"/>
          <w:b/>
        </w:rPr>
      </w:pPr>
    </w:p>
    <w:p w:rsidR="003400A3" w:rsidRDefault="003400A3" w:rsidP="003400A3">
      <w:pPr>
        <w:rPr>
          <w:rFonts w:ascii="Calibri" w:hAnsi="Calibri"/>
          <w:b/>
        </w:rPr>
      </w:pPr>
      <w:r w:rsidRPr="009164FC">
        <w:rPr>
          <w:rFonts w:ascii="Calibri" w:hAnsi="Calibri"/>
          <w:b/>
        </w:rPr>
        <w:t>In-Building Use at ML</w:t>
      </w:r>
    </w:p>
    <w:p w:rsidR="000B4E82" w:rsidRDefault="000B4E82" w:rsidP="003400A3">
      <w:pPr>
        <w:rPr>
          <w:rFonts w:ascii="Calibri" w:hAnsi="Calibri"/>
          <w:b/>
        </w:rPr>
      </w:pPr>
    </w:p>
    <w:p w:rsidR="003400A3" w:rsidRDefault="003400A3" w:rsidP="003400A3">
      <w:pPr>
        <w:rPr>
          <w:rFonts w:ascii="Calibri" w:hAnsi="Calibri"/>
        </w:rPr>
      </w:pPr>
      <w:r w:rsidRPr="00F63CF6">
        <w:rPr>
          <w:rFonts w:ascii="Calibri" w:hAnsi="Calibri"/>
          <w:b/>
        </w:rPr>
        <w:t>Laptop Usage</w:t>
      </w:r>
      <w:r>
        <w:rPr>
          <w:rFonts w:ascii="Calibri" w:hAnsi="Calibri"/>
          <w:b/>
        </w:rPr>
        <w:t xml:space="preserve"> </w:t>
      </w:r>
      <w:r>
        <w:rPr>
          <w:rFonts w:ascii="Calibri" w:hAnsi="Calibri"/>
        </w:rPr>
        <w:t>in the Mansfield Library was evaluated during spring semester (2009) using sample times each day over a period of one week.</w:t>
      </w:r>
    </w:p>
    <w:p w:rsidR="003400A3" w:rsidRDefault="003400A3" w:rsidP="003400A3">
      <w:pPr>
        <w:rPr>
          <w:rFonts w:ascii="Calibri" w:hAnsi="Calibri"/>
        </w:rPr>
      </w:pPr>
      <w:r w:rsidRPr="00F63CF6">
        <w:rPr>
          <w:rFonts w:ascii="Calibri" w:hAnsi="Calibri"/>
        </w:rPr>
        <w:t>Laptop Usage</w:t>
      </w:r>
    </w:p>
    <w:p w:rsidR="003400A3" w:rsidRPr="00F63CF6" w:rsidRDefault="003400A3" w:rsidP="00897845">
      <w:pPr>
        <w:pStyle w:val="ListParagraph"/>
        <w:numPr>
          <w:ilvl w:val="1"/>
          <w:numId w:val="23"/>
        </w:numPr>
      </w:pPr>
      <w:r w:rsidRPr="00F63CF6">
        <w:t>4,744 total library users during sample periods</w:t>
      </w:r>
    </w:p>
    <w:p w:rsidR="003400A3" w:rsidRPr="00F63CF6" w:rsidRDefault="003400A3" w:rsidP="00897845">
      <w:pPr>
        <w:pStyle w:val="ListParagraph"/>
        <w:numPr>
          <w:ilvl w:val="1"/>
          <w:numId w:val="23"/>
        </w:numPr>
      </w:pPr>
      <w:r w:rsidRPr="00F63CF6">
        <w:t>1,422 (29.97%) laptop users</w:t>
      </w:r>
    </w:p>
    <w:p w:rsidR="003400A3" w:rsidRPr="00F63CF6" w:rsidRDefault="003400A3" w:rsidP="00897845">
      <w:pPr>
        <w:pStyle w:val="ListParagraph"/>
        <w:numPr>
          <w:ilvl w:val="1"/>
          <w:numId w:val="23"/>
        </w:numPr>
      </w:pPr>
      <w:r w:rsidRPr="00F63CF6">
        <w:t>929 (66.3%) connected to power source</w:t>
      </w:r>
    </w:p>
    <w:p w:rsidR="000B4E82" w:rsidRDefault="000B4E82" w:rsidP="003400A3">
      <w:pPr>
        <w:rPr>
          <w:rFonts w:ascii="Calibri" w:hAnsi="Calibri"/>
        </w:rPr>
      </w:pPr>
    </w:p>
    <w:p w:rsidR="003400A3" w:rsidRDefault="003400A3" w:rsidP="003400A3">
      <w:pPr>
        <w:rPr>
          <w:rFonts w:ascii="Calibri" w:hAnsi="Calibri"/>
        </w:rPr>
      </w:pPr>
      <w:r>
        <w:rPr>
          <w:rFonts w:ascii="Calibri" w:hAnsi="Calibri"/>
        </w:rPr>
        <w:t>Laptop usage by day of week: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2686"/>
        <w:gridCol w:w="2676"/>
        <w:gridCol w:w="2709"/>
      </w:tblGrid>
      <w:tr w:rsidR="003400A3" w:rsidRPr="001F4E42" w:rsidTr="001031E2">
        <w:trPr>
          <w:trHeight w:val="308"/>
          <w:jc w:val="center"/>
        </w:trPr>
        <w:tc>
          <w:tcPr>
            <w:tcW w:w="1025" w:type="pct"/>
            <w:hideMark/>
          </w:tcPr>
          <w:p w:rsidR="003400A3" w:rsidRPr="001031E2" w:rsidRDefault="003400A3" w:rsidP="001031E2">
            <w:pPr>
              <w:pStyle w:val="NoSpacing"/>
              <w:rPr>
                <w:b/>
              </w:rPr>
            </w:pPr>
            <w:r w:rsidRPr="001031E2">
              <w:rPr>
                <w:b/>
              </w:rPr>
              <w:t xml:space="preserve">Day of Week </w:t>
            </w:r>
          </w:p>
        </w:tc>
        <w:tc>
          <w:tcPr>
            <w:tcW w:w="1323" w:type="pct"/>
            <w:hideMark/>
          </w:tcPr>
          <w:p w:rsidR="003400A3" w:rsidRPr="001031E2" w:rsidRDefault="001031E2" w:rsidP="001031E2">
            <w:pPr>
              <w:pStyle w:val="NoSpacing"/>
              <w:jc w:val="center"/>
              <w:rPr>
                <w:b/>
              </w:rPr>
            </w:pPr>
            <w:r>
              <w:rPr>
                <w:b/>
              </w:rPr>
              <w:t>L</w:t>
            </w:r>
            <w:r w:rsidR="003400A3" w:rsidRPr="001031E2">
              <w:rPr>
                <w:b/>
              </w:rPr>
              <w:t>aptop Users</w:t>
            </w:r>
          </w:p>
        </w:tc>
        <w:tc>
          <w:tcPr>
            <w:tcW w:w="1318" w:type="pct"/>
            <w:hideMark/>
          </w:tcPr>
          <w:p w:rsidR="003400A3" w:rsidRPr="001031E2" w:rsidRDefault="003400A3" w:rsidP="001031E2">
            <w:pPr>
              <w:pStyle w:val="NoSpacing"/>
              <w:jc w:val="center"/>
              <w:rPr>
                <w:b/>
              </w:rPr>
            </w:pPr>
            <w:r w:rsidRPr="001031E2">
              <w:rPr>
                <w:b/>
              </w:rPr>
              <w:t>Total Users</w:t>
            </w:r>
          </w:p>
        </w:tc>
        <w:tc>
          <w:tcPr>
            <w:tcW w:w="1334" w:type="pct"/>
            <w:hideMark/>
          </w:tcPr>
          <w:p w:rsidR="003400A3" w:rsidRPr="001031E2" w:rsidRDefault="003400A3" w:rsidP="001031E2">
            <w:pPr>
              <w:pStyle w:val="NoSpacing"/>
              <w:jc w:val="center"/>
              <w:rPr>
                <w:b/>
              </w:rPr>
            </w:pPr>
            <w:r w:rsidRPr="001031E2">
              <w:rPr>
                <w:b/>
              </w:rPr>
              <w:t>Circulating Laptops</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Thursday </w:t>
            </w:r>
          </w:p>
        </w:tc>
        <w:tc>
          <w:tcPr>
            <w:tcW w:w="1323" w:type="pct"/>
            <w:hideMark/>
          </w:tcPr>
          <w:p w:rsidR="003400A3" w:rsidRPr="001F4E42" w:rsidRDefault="003400A3" w:rsidP="001031E2">
            <w:pPr>
              <w:pStyle w:val="NoSpacing"/>
              <w:jc w:val="right"/>
            </w:pPr>
            <w:r w:rsidRPr="001F4E42">
              <w:t>289 (33.4%)</w:t>
            </w:r>
          </w:p>
        </w:tc>
        <w:tc>
          <w:tcPr>
            <w:tcW w:w="1318" w:type="pct"/>
            <w:hideMark/>
          </w:tcPr>
          <w:p w:rsidR="003400A3" w:rsidRPr="001F4E42" w:rsidRDefault="003400A3" w:rsidP="001031E2">
            <w:pPr>
              <w:pStyle w:val="NoSpacing"/>
              <w:jc w:val="right"/>
            </w:pPr>
            <w:r w:rsidRPr="001F4E42">
              <w:t>865</w:t>
            </w:r>
          </w:p>
        </w:tc>
        <w:tc>
          <w:tcPr>
            <w:tcW w:w="1334" w:type="pct"/>
            <w:hideMark/>
          </w:tcPr>
          <w:p w:rsidR="003400A3" w:rsidRPr="001F4E42" w:rsidRDefault="003400A3" w:rsidP="001031E2">
            <w:pPr>
              <w:pStyle w:val="NoSpacing"/>
              <w:jc w:val="right"/>
            </w:pPr>
            <w:r w:rsidRPr="001F4E42">
              <w:t>64</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Wednesday </w:t>
            </w:r>
          </w:p>
        </w:tc>
        <w:tc>
          <w:tcPr>
            <w:tcW w:w="1323" w:type="pct"/>
            <w:hideMark/>
          </w:tcPr>
          <w:p w:rsidR="003400A3" w:rsidRPr="001F4E42" w:rsidRDefault="003400A3" w:rsidP="001031E2">
            <w:pPr>
              <w:pStyle w:val="NoSpacing"/>
              <w:jc w:val="right"/>
            </w:pPr>
            <w:r w:rsidRPr="001F4E42">
              <w:t>275 (28.2%)</w:t>
            </w:r>
          </w:p>
        </w:tc>
        <w:tc>
          <w:tcPr>
            <w:tcW w:w="1318" w:type="pct"/>
            <w:hideMark/>
          </w:tcPr>
          <w:p w:rsidR="003400A3" w:rsidRPr="001F4E42" w:rsidRDefault="003400A3" w:rsidP="001031E2">
            <w:pPr>
              <w:pStyle w:val="NoSpacing"/>
              <w:jc w:val="right"/>
            </w:pPr>
            <w:r w:rsidRPr="001F4E42">
              <w:t>975</w:t>
            </w:r>
          </w:p>
        </w:tc>
        <w:tc>
          <w:tcPr>
            <w:tcW w:w="1334" w:type="pct"/>
            <w:hideMark/>
          </w:tcPr>
          <w:p w:rsidR="003400A3" w:rsidRPr="001F4E42" w:rsidRDefault="003400A3" w:rsidP="001031E2">
            <w:pPr>
              <w:pStyle w:val="NoSpacing"/>
              <w:jc w:val="right"/>
            </w:pPr>
            <w:r w:rsidRPr="001F4E42">
              <w:t>80</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Tuesday </w:t>
            </w:r>
          </w:p>
        </w:tc>
        <w:tc>
          <w:tcPr>
            <w:tcW w:w="1323" w:type="pct"/>
            <w:hideMark/>
          </w:tcPr>
          <w:p w:rsidR="003400A3" w:rsidRPr="001F4E42" w:rsidRDefault="003400A3" w:rsidP="001031E2">
            <w:pPr>
              <w:pStyle w:val="NoSpacing"/>
              <w:jc w:val="right"/>
            </w:pPr>
            <w:r w:rsidRPr="001F4E42">
              <w:t>255 (31.4%)</w:t>
            </w:r>
          </w:p>
        </w:tc>
        <w:tc>
          <w:tcPr>
            <w:tcW w:w="1318" w:type="pct"/>
            <w:hideMark/>
          </w:tcPr>
          <w:p w:rsidR="003400A3" w:rsidRPr="001F4E42" w:rsidRDefault="003400A3" w:rsidP="001031E2">
            <w:pPr>
              <w:pStyle w:val="NoSpacing"/>
              <w:jc w:val="right"/>
            </w:pPr>
            <w:r w:rsidRPr="001F4E42">
              <w:t>813</w:t>
            </w:r>
          </w:p>
        </w:tc>
        <w:tc>
          <w:tcPr>
            <w:tcW w:w="1334" w:type="pct"/>
            <w:hideMark/>
          </w:tcPr>
          <w:p w:rsidR="003400A3" w:rsidRPr="001F4E42" w:rsidRDefault="003400A3" w:rsidP="001031E2">
            <w:pPr>
              <w:pStyle w:val="NoSpacing"/>
              <w:jc w:val="right"/>
            </w:pPr>
            <w:r w:rsidRPr="001F4E42">
              <w:t>72</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Monday </w:t>
            </w:r>
          </w:p>
        </w:tc>
        <w:tc>
          <w:tcPr>
            <w:tcW w:w="1323" w:type="pct"/>
            <w:hideMark/>
          </w:tcPr>
          <w:p w:rsidR="003400A3" w:rsidRPr="001F4E42" w:rsidRDefault="003400A3" w:rsidP="001031E2">
            <w:pPr>
              <w:pStyle w:val="NoSpacing"/>
              <w:jc w:val="right"/>
            </w:pPr>
            <w:r w:rsidRPr="001F4E42">
              <w:t>231 (29.4%)</w:t>
            </w:r>
          </w:p>
        </w:tc>
        <w:tc>
          <w:tcPr>
            <w:tcW w:w="1318" w:type="pct"/>
            <w:hideMark/>
          </w:tcPr>
          <w:p w:rsidR="003400A3" w:rsidRPr="001F4E42" w:rsidRDefault="003400A3" w:rsidP="001031E2">
            <w:pPr>
              <w:pStyle w:val="NoSpacing"/>
              <w:jc w:val="right"/>
            </w:pPr>
            <w:r w:rsidRPr="001F4E42">
              <w:t>785</w:t>
            </w:r>
          </w:p>
        </w:tc>
        <w:tc>
          <w:tcPr>
            <w:tcW w:w="1334" w:type="pct"/>
            <w:hideMark/>
          </w:tcPr>
          <w:p w:rsidR="003400A3" w:rsidRPr="001F4E42" w:rsidRDefault="003400A3" w:rsidP="001031E2">
            <w:pPr>
              <w:pStyle w:val="NoSpacing"/>
              <w:jc w:val="right"/>
            </w:pPr>
            <w:r w:rsidRPr="001F4E42">
              <w:t>72</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Sunday </w:t>
            </w:r>
          </w:p>
        </w:tc>
        <w:tc>
          <w:tcPr>
            <w:tcW w:w="1323" w:type="pct"/>
            <w:hideMark/>
          </w:tcPr>
          <w:p w:rsidR="003400A3" w:rsidRPr="001F4E42" w:rsidRDefault="003400A3" w:rsidP="001031E2">
            <w:pPr>
              <w:pStyle w:val="NoSpacing"/>
              <w:jc w:val="right"/>
            </w:pPr>
            <w:r w:rsidRPr="001F4E42">
              <w:t>190 (31.3%)</w:t>
            </w:r>
          </w:p>
        </w:tc>
        <w:tc>
          <w:tcPr>
            <w:tcW w:w="1318" w:type="pct"/>
            <w:hideMark/>
          </w:tcPr>
          <w:p w:rsidR="003400A3" w:rsidRPr="001F4E42" w:rsidRDefault="003400A3" w:rsidP="001031E2">
            <w:pPr>
              <w:pStyle w:val="NoSpacing"/>
              <w:jc w:val="right"/>
            </w:pPr>
            <w:r w:rsidRPr="001F4E42">
              <w:t>608</w:t>
            </w:r>
          </w:p>
        </w:tc>
        <w:tc>
          <w:tcPr>
            <w:tcW w:w="1334" w:type="pct"/>
            <w:hideMark/>
          </w:tcPr>
          <w:p w:rsidR="003400A3" w:rsidRPr="001F4E42" w:rsidRDefault="003400A3" w:rsidP="001031E2">
            <w:pPr>
              <w:pStyle w:val="NoSpacing"/>
              <w:jc w:val="right"/>
            </w:pPr>
            <w:r w:rsidRPr="001F4E42">
              <w:t>43</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Friday </w:t>
            </w:r>
          </w:p>
        </w:tc>
        <w:tc>
          <w:tcPr>
            <w:tcW w:w="1323" w:type="pct"/>
            <w:hideMark/>
          </w:tcPr>
          <w:p w:rsidR="003400A3" w:rsidRPr="001F4E42" w:rsidRDefault="003400A3" w:rsidP="001031E2">
            <w:pPr>
              <w:pStyle w:val="NoSpacing"/>
              <w:jc w:val="right"/>
            </w:pPr>
            <w:r w:rsidRPr="001F4E42">
              <w:t>121 (24.3%)</w:t>
            </w:r>
          </w:p>
        </w:tc>
        <w:tc>
          <w:tcPr>
            <w:tcW w:w="1318" w:type="pct"/>
            <w:hideMark/>
          </w:tcPr>
          <w:p w:rsidR="003400A3" w:rsidRPr="001F4E42" w:rsidRDefault="003400A3" w:rsidP="001031E2">
            <w:pPr>
              <w:pStyle w:val="NoSpacing"/>
              <w:jc w:val="right"/>
            </w:pPr>
            <w:r w:rsidRPr="001F4E42">
              <w:t>498</w:t>
            </w:r>
          </w:p>
        </w:tc>
        <w:tc>
          <w:tcPr>
            <w:tcW w:w="1334" w:type="pct"/>
            <w:hideMark/>
          </w:tcPr>
          <w:p w:rsidR="003400A3" w:rsidRPr="001F4E42" w:rsidRDefault="003400A3" w:rsidP="001031E2">
            <w:pPr>
              <w:pStyle w:val="NoSpacing"/>
              <w:jc w:val="right"/>
            </w:pPr>
            <w:r w:rsidRPr="001F4E42">
              <w:t>32</w:t>
            </w:r>
          </w:p>
        </w:tc>
      </w:tr>
      <w:tr w:rsidR="003400A3" w:rsidRPr="001F4E42" w:rsidTr="001031E2">
        <w:trPr>
          <w:trHeight w:val="308"/>
          <w:jc w:val="center"/>
        </w:trPr>
        <w:tc>
          <w:tcPr>
            <w:tcW w:w="1025" w:type="pct"/>
            <w:hideMark/>
          </w:tcPr>
          <w:p w:rsidR="003400A3" w:rsidRPr="001F4E42" w:rsidRDefault="003400A3" w:rsidP="001031E2">
            <w:pPr>
              <w:pStyle w:val="NoSpacing"/>
            </w:pPr>
            <w:r w:rsidRPr="001F4E42">
              <w:t xml:space="preserve">Saturday </w:t>
            </w:r>
          </w:p>
        </w:tc>
        <w:tc>
          <w:tcPr>
            <w:tcW w:w="1323" w:type="pct"/>
            <w:hideMark/>
          </w:tcPr>
          <w:p w:rsidR="003400A3" w:rsidRPr="001F4E42" w:rsidRDefault="003400A3" w:rsidP="001031E2">
            <w:pPr>
              <w:pStyle w:val="NoSpacing"/>
              <w:jc w:val="right"/>
            </w:pPr>
            <w:r w:rsidRPr="001F4E42">
              <w:t>61 (30.5%)</w:t>
            </w:r>
          </w:p>
        </w:tc>
        <w:tc>
          <w:tcPr>
            <w:tcW w:w="1318" w:type="pct"/>
            <w:hideMark/>
          </w:tcPr>
          <w:p w:rsidR="003400A3" w:rsidRPr="001F4E42" w:rsidRDefault="003400A3" w:rsidP="001031E2">
            <w:pPr>
              <w:pStyle w:val="NoSpacing"/>
              <w:jc w:val="right"/>
            </w:pPr>
            <w:r w:rsidRPr="001F4E42">
              <w:t>200</w:t>
            </w:r>
          </w:p>
        </w:tc>
        <w:tc>
          <w:tcPr>
            <w:tcW w:w="1334" w:type="pct"/>
            <w:hideMark/>
          </w:tcPr>
          <w:p w:rsidR="003400A3" w:rsidRPr="001F4E42" w:rsidRDefault="003400A3" w:rsidP="001031E2">
            <w:pPr>
              <w:pStyle w:val="NoSpacing"/>
              <w:jc w:val="right"/>
            </w:pPr>
            <w:r w:rsidRPr="001F4E42">
              <w:t>8</w:t>
            </w:r>
          </w:p>
        </w:tc>
      </w:tr>
    </w:tbl>
    <w:p w:rsidR="001031E2" w:rsidRDefault="001031E2" w:rsidP="003400A3">
      <w:pPr>
        <w:rPr>
          <w:rFonts w:ascii="Calibri" w:hAnsi="Calibri"/>
        </w:rPr>
      </w:pPr>
    </w:p>
    <w:p w:rsidR="001031E2" w:rsidRDefault="001031E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1031E2" w:rsidRPr="001031E2" w:rsidRDefault="003400A3" w:rsidP="001031E2">
      <w:pPr>
        <w:rPr>
          <w:rFonts w:ascii="Calibri" w:hAnsi="Calibri"/>
        </w:rPr>
      </w:pPr>
      <w:r>
        <w:rPr>
          <w:rFonts w:ascii="Calibri" w:hAnsi="Calibri"/>
        </w:rPr>
        <w:lastRenderedPageBreak/>
        <w:t>Laptop usage by floor level: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7"/>
        <w:gridCol w:w="3574"/>
        <w:gridCol w:w="3571"/>
      </w:tblGrid>
      <w:tr w:rsidR="003400A3" w:rsidRPr="001031E2" w:rsidTr="001031E2">
        <w:trPr>
          <w:trHeight w:val="364"/>
          <w:jc w:val="center"/>
        </w:trPr>
        <w:tc>
          <w:tcPr>
            <w:tcW w:w="1481" w:type="pct"/>
            <w:hideMark/>
          </w:tcPr>
          <w:p w:rsidR="003400A3" w:rsidRPr="001031E2" w:rsidRDefault="003400A3" w:rsidP="001031E2">
            <w:pPr>
              <w:pStyle w:val="NoSpacing"/>
              <w:rPr>
                <w:b/>
              </w:rPr>
            </w:pPr>
            <w:r w:rsidRPr="001031E2">
              <w:rPr>
                <w:b/>
              </w:rPr>
              <w:t xml:space="preserve">Floor Level </w:t>
            </w:r>
          </w:p>
        </w:tc>
        <w:tc>
          <w:tcPr>
            <w:tcW w:w="1760" w:type="pct"/>
            <w:hideMark/>
          </w:tcPr>
          <w:p w:rsidR="003400A3" w:rsidRPr="001031E2" w:rsidRDefault="003400A3" w:rsidP="001031E2">
            <w:pPr>
              <w:pStyle w:val="NoSpacing"/>
              <w:jc w:val="center"/>
              <w:rPr>
                <w:b/>
              </w:rPr>
            </w:pPr>
            <w:r w:rsidRPr="001031E2">
              <w:rPr>
                <w:b/>
              </w:rPr>
              <w:t>Laptop Users</w:t>
            </w:r>
          </w:p>
        </w:tc>
        <w:tc>
          <w:tcPr>
            <w:tcW w:w="1760" w:type="pct"/>
            <w:hideMark/>
          </w:tcPr>
          <w:p w:rsidR="003400A3" w:rsidRPr="001031E2" w:rsidRDefault="003400A3" w:rsidP="001031E2">
            <w:pPr>
              <w:pStyle w:val="NoSpacing"/>
              <w:jc w:val="center"/>
              <w:rPr>
                <w:b/>
              </w:rPr>
            </w:pPr>
            <w:r w:rsidRPr="001031E2">
              <w:rPr>
                <w:b/>
              </w:rPr>
              <w:t>Total Users</w:t>
            </w:r>
          </w:p>
        </w:tc>
      </w:tr>
      <w:tr w:rsidR="003400A3" w:rsidRPr="001F4E42" w:rsidTr="001031E2">
        <w:trPr>
          <w:trHeight w:val="364"/>
          <w:jc w:val="center"/>
        </w:trPr>
        <w:tc>
          <w:tcPr>
            <w:tcW w:w="1481" w:type="pct"/>
            <w:hideMark/>
          </w:tcPr>
          <w:p w:rsidR="003400A3" w:rsidRPr="001F4E42" w:rsidRDefault="003400A3" w:rsidP="001031E2">
            <w:pPr>
              <w:pStyle w:val="NoSpacing"/>
            </w:pPr>
            <w:r w:rsidRPr="001F4E42">
              <w:t xml:space="preserve">Level 5 </w:t>
            </w:r>
          </w:p>
        </w:tc>
        <w:tc>
          <w:tcPr>
            <w:tcW w:w="1760" w:type="pct"/>
            <w:hideMark/>
          </w:tcPr>
          <w:p w:rsidR="003400A3" w:rsidRPr="001F4E42" w:rsidRDefault="003400A3" w:rsidP="001031E2">
            <w:pPr>
              <w:pStyle w:val="NoSpacing"/>
              <w:jc w:val="right"/>
            </w:pPr>
            <w:r w:rsidRPr="001F4E42">
              <w:t>384 (55.6%)</w:t>
            </w:r>
          </w:p>
        </w:tc>
        <w:tc>
          <w:tcPr>
            <w:tcW w:w="1760" w:type="pct"/>
            <w:hideMark/>
          </w:tcPr>
          <w:p w:rsidR="003400A3" w:rsidRPr="001F4E42" w:rsidRDefault="003400A3" w:rsidP="001031E2">
            <w:pPr>
              <w:pStyle w:val="NoSpacing"/>
              <w:jc w:val="right"/>
            </w:pPr>
            <w:r w:rsidRPr="001F4E42">
              <w:t>691</w:t>
            </w:r>
          </w:p>
        </w:tc>
      </w:tr>
      <w:tr w:rsidR="003400A3" w:rsidRPr="001F4E42" w:rsidTr="001031E2">
        <w:trPr>
          <w:trHeight w:val="364"/>
          <w:jc w:val="center"/>
        </w:trPr>
        <w:tc>
          <w:tcPr>
            <w:tcW w:w="1481" w:type="pct"/>
            <w:hideMark/>
          </w:tcPr>
          <w:p w:rsidR="003400A3" w:rsidRPr="001F4E42" w:rsidRDefault="003400A3" w:rsidP="001031E2">
            <w:pPr>
              <w:pStyle w:val="NoSpacing"/>
            </w:pPr>
            <w:r w:rsidRPr="001F4E42">
              <w:t xml:space="preserve">Level 3 </w:t>
            </w:r>
          </w:p>
        </w:tc>
        <w:tc>
          <w:tcPr>
            <w:tcW w:w="1760" w:type="pct"/>
            <w:hideMark/>
          </w:tcPr>
          <w:p w:rsidR="003400A3" w:rsidRPr="001F4E42" w:rsidRDefault="003400A3" w:rsidP="001031E2">
            <w:pPr>
              <w:pStyle w:val="NoSpacing"/>
              <w:jc w:val="right"/>
            </w:pPr>
            <w:r w:rsidRPr="001F4E42">
              <w:t>302 (11.9%)</w:t>
            </w:r>
          </w:p>
        </w:tc>
        <w:tc>
          <w:tcPr>
            <w:tcW w:w="1760" w:type="pct"/>
            <w:hideMark/>
          </w:tcPr>
          <w:p w:rsidR="003400A3" w:rsidRPr="001F4E42" w:rsidRDefault="003400A3" w:rsidP="001031E2">
            <w:pPr>
              <w:pStyle w:val="NoSpacing"/>
              <w:jc w:val="right"/>
            </w:pPr>
            <w:r w:rsidRPr="001F4E42">
              <w:t>2,539</w:t>
            </w:r>
          </w:p>
        </w:tc>
      </w:tr>
      <w:tr w:rsidR="003400A3" w:rsidRPr="001F4E42" w:rsidTr="001031E2">
        <w:trPr>
          <w:trHeight w:val="364"/>
          <w:jc w:val="center"/>
        </w:trPr>
        <w:tc>
          <w:tcPr>
            <w:tcW w:w="1481" w:type="pct"/>
            <w:hideMark/>
          </w:tcPr>
          <w:p w:rsidR="003400A3" w:rsidRPr="001F4E42" w:rsidRDefault="003400A3" w:rsidP="001031E2">
            <w:pPr>
              <w:pStyle w:val="NoSpacing"/>
            </w:pPr>
            <w:r w:rsidRPr="001F4E42">
              <w:t xml:space="preserve">Level 2 </w:t>
            </w:r>
          </w:p>
        </w:tc>
        <w:tc>
          <w:tcPr>
            <w:tcW w:w="1760" w:type="pct"/>
            <w:hideMark/>
          </w:tcPr>
          <w:p w:rsidR="003400A3" w:rsidRPr="001F4E42" w:rsidRDefault="003400A3" w:rsidP="001031E2">
            <w:pPr>
              <w:pStyle w:val="NoSpacing"/>
              <w:jc w:val="right"/>
            </w:pPr>
            <w:r w:rsidRPr="001F4E42">
              <w:t>274 (47.4%)</w:t>
            </w:r>
          </w:p>
        </w:tc>
        <w:tc>
          <w:tcPr>
            <w:tcW w:w="1760" w:type="pct"/>
            <w:hideMark/>
          </w:tcPr>
          <w:p w:rsidR="003400A3" w:rsidRPr="001F4E42" w:rsidRDefault="003400A3" w:rsidP="001031E2">
            <w:pPr>
              <w:pStyle w:val="NoSpacing"/>
              <w:jc w:val="right"/>
            </w:pPr>
            <w:r w:rsidRPr="001F4E42">
              <w:t>578</w:t>
            </w:r>
          </w:p>
        </w:tc>
      </w:tr>
      <w:tr w:rsidR="003400A3" w:rsidRPr="001F4E42" w:rsidTr="001031E2">
        <w:trPr>
          <w:trHeight w:val="364"/>
          <w:jc w:val="center"/>
        </w:trPr>
        <w:tc>
          <w:tcPr>
            <w:tcW w:w="1481" w:type="pct"/>
            <w:hideMark/>
          </w:tcPr>
          <w:p w:rsidR="003400A3" w:rsidRPr="001F4E42" w:rsidRDefault="003400A3" w:rsidP="001031E2">
            <w:pPr>
              <w:pStyle w:val="NoSpacing"/>
            </w:pPr>
            <w:r w:rsidRPr="001F4E42">
              <w:t xml:space="preserve">Level 4 </w:t>
            </w:r>
          </w:p>
        </w:tc>
        <w:tc>
          <w:tcPr>
            <w:tcW w:w="1760" w:type="pct"/>
            <w:hideMark/>
          </w:tcPr>
          <w:p w:rsidR="003400A3" w:rsidRPr="001F4E42" w:rsidRDefault="003400A3" w:rsidP="001031E2">
            <w:pPr>
              <w:pStyle w:val="NoSpacing"/>
              <w:jc w:val="right"/>
            </w:pPr>
            <w:r w:rsidRPr="001F4E42">
              <w:t>248 (51.0%)</w:t>
            </w:r>
          </w:p>
        </w:tc>
        <w:tc>
          <w:tcPr>
            <w:tcW w:w="1760" w:type="pct"/>
            <w:hideMark/>
          </w:tcPr>
          <w:p w:rsidR="003400A3" w:rsidRPr="001F4E42" w:rsidRDefault="003400A3" w:rsidP="001031E2">
            <w:pPr>
              <w:pStyle w:val="NoSpacing"/>
              <w:jc w:val="right"/>
            </w:pPr>
            <w:r w:rsidRPr="001F4E42">
              <w:t>486</w:t>
            </w:r>
          </w:p>
        </w:tc>
      </w:tr>
      <w:tr w:rsidR="003400A3" w:rsidRPr="001F4E42" w:rsidTr="001031E2">
        <w:trPr>
          <w:trHeight w:val="178"/>
          <w:jc w:val="center"/>
        </w:trPr>
        <w:tc>
          <w:tcPr>
            <w:tcW w:w="1481" w:type="pct"/>
            <w:hideMark/>
          </w:tcPr>
          <w:p w:rsidR="003400A3" w:rsidRPr="001F4E42" w:rsidRDefault="003400A3" w:rsidP="001031E2">
            <w:pPr>
              <w:pStyle w:val="NoSpacing"/>
            </w:pPr>
            <w:r w:rsidRPr="001F4E42">
              <w:t xml:space="preserve">Level 1 </w:t>
            </w:r>
          </w:p>
        </w:tc>
        <w:tc>
          <w:tcPr>
            <w:tcW w:w="1760" w:type="pct"/>
            <w:hideMark/>
          </w:tcPr>
          <w:p w:rsidR="003400A3" w:rsidRPr="001F4E42" w:rsidRDefault="003400A3" w:rsidP="001031E2">
            <w:pPr>
              <w:pStyle w:val="NoSpacing"/>
              <w:jc w:val="right"/>
            </w:pPr>
            <w:r w:rsidRPr="001F4E42">
              <w:t>214 (47.6%)</w:t>
            </w:r>
          </w:p>
        </w:tc>
        <w:tc>
          <w:tcPr>
            <w:tcW w:w="1760" w:type="pct"/>
            <w:hideMark/>
          </w:tcPr>
          <w:p w:rsidR="003400A3" w:rsidRPr="001F4E42" w:rsidRDefault="003400A3" w:rsidP="001031E2">
            <w:pPr>
              <w:pStyle w:val="NoSpacing"/>
              <w:jc w:val="right"/>
            </w:pPr>
            <w:r w:rsidRPr="001F4E42">
              <w:t>450</w:t>
            </w:r>
          </w:p>
        </w:tc>
      </w:tr>
    </w:tbl>
    <w:p w:rsidR="000B4E82" w:rsidRDefault="000B4E82" w:rsidP="001031E2"/>
    <w:p w:rsidR="003400A3" w:rsidRDefault="003400A3" w:rsidP="001031E2">
      <w:r>
        <w:t>Laptop usage by individual study versus group study:</w:t>
      </w:r>
    </w:p>
    <w:tbl>
      <w:tblPr>
        <w:tblpPr w:leftFromText="180" w:rightFromText="180" w:vertAnchor="text" w:horzAnchor="margin" w:tblpXSpec="center" w:tblpY="2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4"/>
        <w:gridCol w:w="3385"/>
        <w:gridCol w:w="3383"/>
      </w:tblGrid>
      <w:tr w:rsidR="003400A3" w:rsidRPr="001031E2" w:rsidTr="001031E2">
        <w:trPr>
          <w:trHeight w:val="435"/>
        </w:trPr>
        <w:tc>
          <w:tcPr>
            <w:tcW w:w="1667" w:type="pct"/>
            <w:hideMark/>
          </w:tcPr>
          <w:p w:rsidR="003400A3" w:rsidRPr="001031E2" w:rsidRDefault="003400A3" w:rsidP="001031E2">
            <w:pPr>
              <w:pStyle w:val="NoSpacing"/>
              <w:rPr>
                <w:b/>
              </w:rPr>
            </w:pPr>
            <w:r w:rsidRPr="001031E2">
              <w:rPr>
                <w:b/>
              </w:rPr>
              <w:t xml:space="preserve">Group Size </w:t>
            </w:r>
          </w:p>
        </w:tc>
        <w:tc>
          <w:tcPr>
            <w:tcW w:w="1667" w:type="pct"/>
            <w:hideMark/>
          </w:tcPr>
          <w:p w:rsidR="003400A3" w:rsidRPr="001031E2" w:rsidRDefault="003400A3" w:rsidP="001031E2">
            <w:pPr>
              <w:pStyle w:val="NoSpacing"/>
              <w:jc w:val="center"/>
              <w:rPr>
                <w:b/>
              </w:rPr>
            </w:pPr>
            <w:r w:rsidRPr="001031E2">
              <w:rPr>
                <w:b/>
              </w:rPr>
              <w:t>Number</w:t>
            </w:r>
          </w:p>
        </w:tc>
        <w:tc>
          <w:tcPr>
            <w:tcW w:w="1667" w:type="pct"/>
            <w:hideMark/>
          </w:tcPr>
          <w:p w:rsidR="003400A3" w:rsidRPr="001031E2" w:rsidRDefault="003400A3" w:rsidP="001031E2">
            <w:pPr>
              <w:pStyle w:val="NoSpacing"/>
              <w:jc w:val="center"/>
              <w:rPr>
                <w:b/>
              </w:rPr>
            </w:pPr>
            <w:r w:rsidRPr="001031E2">
              <w:rPr>
                <w:b/>
              </w:rPr>
              <w:t>Percent</w:t>
            </w:r>
          </w:p>
        </w:tc>
      </w:tr>
      <w:tr w:rsidR="003400A3" w:rsidRPr="001F4E42" w:rsidTr="001031E2">
        <w:trPr>
          <w:trHeight w:val="435"/>
        </w:trPr>
        <w:tc>
          <w:tcPr>
            <w:tcW w:w="1667" w:type="pct"/>
            <w:hideMark/>
          </w:tcPr>
          <w:p w:rsidR="003400A3" w:rsidRPr="001F4E42" w:rsidRDefault="003400A3" w:rsidP="001031E2">
            <w:pPr>
              <w:pStyle w:val="NoSpacing"/>
            </w:pPr>
            <w:r w:rsidRPr="001F4E42">
              <w:t xml:space="preserve">Individual </w:t>
            </w:r>
          </w:p>
        </w:tc>
        <w:tc>
          <w:tcPr>
            <w:tcW w:w="1667" w:type="pct"/>
            <w:hideMark/>
          </w:tcPr>
          <w:p w:rsidR="003400A3" w:rsidRPr="001F4E42" w:rsidRDefault="003400A3" w:rsidP="001031E2">
            <w:pPr>
              <w:pStyle w:val="NoSpacing"/>
              <w:jc w:val="right"/>
            </w:pPr>
            <w:r w:rsidRPr="001F4E42">
              <w:t xml:space="preserve">1,144 </w:t>
            </w:r>
          </w:p>
        </w:tc>
        <w:tc>
          <w:tcPr>
            <w:tcW w:w="1667" w:type="pct"/>
            <w:hideMark/>
          </w:tcPr>
          <w:p w:rsidR="003400A3" w:rsidRPr="001F4E42" w:rsidRDefault="003400A3" w:rsidP="001031E2">
            <w:pPr>
              <w:pStyle w:val="NoSpacing"/>
              <w:jc w:val="right"/>
            </w:pPr>
            <w:r w:rsidRPr="001F4E42">
              <w:t xml:space="preserve">90.1% </w:t>
            </w:r>
          </w:p>
        </w:tc>
      </w:tr>
      <w:tr w:rsidR="003400A3" w:rsidRPr="001F4E42" w:rsidTr="001031E2">
        <w:trPr>
          <w:trHeight w:val="435"/>
        </w:trPr>
        <w:tc>
          <w:tcPr>
            <w:tcW w:w="1667" w:type="pct"/>
            <w:hideMark/>
          </w:tcPr>
          <w:p w:rsidR="003400A3" w:rsidRPr="001F4E42" w:rsidRDefault="003400A3" w:rsidP="001031E2">
            <w:pPr>
              <w:pStyle w:val="NoSpacing"/>
            </w:pPr>
            <w:r w:rsidRPr="001F4E42">
              <w:t xml:space="preserve">Group of 2 </w:t>
            </w:r>
          </w:p>
        </w:tc>
        <w:tc>
          <w:tcPr>
            <w:tcW w:w="1667" w:type="pct"/>
            <w:hideMark/>
          </w:tcPr>
          <w:p w:rsidR="003400A3" w:rsidRPr="001F4E42" w:rsidRDefault="003400A3" w:rsidP="001031E2">
            <w:pPr>
              <w:pStyle w:val="NoSpacing"/>
              <w:jc w:val="right"/>
            </w:pPr>
            <w:r w:rsidRPr="001F4E42">
              <w:t xml:space="preserve">100 (200 individuals) </w:t>
            </w:r>
          </w:p>
        </w:tc>
        <w:tc>
          <w:tcPr>
            <w:tcW w:w="1667" w:type="pct"/>
            <w:hideMark/>
          </w:tcPr>
          <w:p w:rsidR="003400A3" w:rsidRPr="001F4E42" w:rsidRDefault="003400A3" w:rsidP="001031E2">
            <w:pPr>
              <w:pStyle w:val="NoSpacing"/>
              <w:jc w:val="right"/>
            </w:pPr>
            <w:r w:rsidRPr="001F4E42">
              <w:t xml:space="preserve">7.9% </w:t>
            </w:r>
          </w:p>
        </w:tc>
      </w:tr>
      <w:tr w:rsidR="003400A3" w:rsidRPr="001F4E42" w:rsidTr="001031E2">
        <w:trPr>
          <w:trHeight w:val="435"/>
        </w:trPr>
        <w:tc>
          <w:tcPr>
            <w:tcW w:w="1667" w:type="pct"/>
            <w:hideMark/>
          </w:tcPr>
          <w:p w:rsidR="003400A3" w:rsidRPr="001F4E42" w:rsidRDefault="003400A3" w:rsidP="001031E2">
            <w:pPr>
              <w:pStyle w:val="NoSpacing"/>
            </w:pPr>
            <w:r w:rsidRPr="001F4E42">
              <w:t xml:space="preserve">Group of 3 </w:t>
            </w:r>
          </w:p>
        </w:tc>
        <w:tc>
          <w:tcPr>
            <w:tcW w:w="1667" w:type="pct"/>
            <w:hideMark/>
          </w:tcPr>
          <w:p w:rsidR="003400A3" w:rsidRPr="001F4E42" w:rsidRDefault="003400A3" w:rsidP="001031E2">
            <w:pPr>
              <w:pStyle w:val="NoSpacing"/>
              <w:jc w:val="right"/>
            </w:pPr>
            <w:r w:rsidRPr="001F4E42">
              <w:t xml:space="preserve">22 (66 individuals) </w:t>
            </w:r>
          </w:p>
        </w:tc>
        <w:tc>
          <w:tcPr>
            <w:tcW w:w="1667" w:type="pct"/>
            <w:hideMark/>
          </w:tcPr>
          <w:p w:rsidR="003400A3" w:rsidRPr="001F4E42" w:rsidRDefault="003400A3" w:rsidP="001031E2">
            <w:pPr>
              <w:pStyle w:val="NoSpacing"/>
              <w:jc w:val="right"/>
            </w:pPr>
            <w:r w:rsidRPr="001F4E42">
              <w:t xml:space="preserve">1.7% </w:t>
            </w:r>
          </w:p>
        </w:tc>
      </w:tr>
      <w:tr w:rsidR="003400A3" w:rsidRPr="001F4E42" w:rsidTr="001031E2">
        <w:trPr>
          <w:trHeight w:val="435"/>
        </w:trPr>
        <w:tc>
          <w:tcPr>
            <w:tcW w:w="1667" w:type="pct"/>
            <w:hideMark/>
          </w:tcPr>
          <w:p w:rsidR="003400A3" w:rsidRPr="001F4E42" w:rsidRDefault="003400A3" w:rsidP="001031E2">
            <w:pPr>
              <w:pStyle w:val="NoSpacing"/>
            </w:pPr>
            <w:r w:rsidRPr="001F4E42">
              <w:t xml:space="preserve">Group of 4 </w:t>
            </w:r>
          </w:p>
        </w:tc>
        <w:tc>
          <w:tcPr>
            <w:tcW w:w="1667" w:type="pct"/>
            <w:hideMark/>
          </w:tcPr>
          <w:p w:rsidR="003400A3" w:rsidRPr="001F4E42" w:rsidRDefault="003400A3" w:rsidP="001031E2">
            <w:pPr>
              <w:pStyle w:val="NoSpacing"/>
              <w:jc w:val="right"/>
            </w:pPr>
            <w:r w:rsidRPr="001F4E42">
              <w:t xml:space="preserve">3 (12 individuals) </w:t>
            </w:r>
          </w:p>
        </w:tc>
        <w:tc>
          <w:tcPr>
            <w:tcW w:w="1667" w:type="pct"/>
            <w:hideMark/>
          </w:tcPr>
          <w:p w:rsidR="003400A3" w:rsidRPr="001F4E42" w:rsidRDefault="003400A3" w:rsidP="001031E2">
            <w:pPr>
              <w:pStyle w:val="NoSpacing"/>
              <w:jc w:val="right"/>
            </w:pPr>
            <w:r w:rsidRPr="001F4E42">
              <w:t xml:space="preserve">0.2% </w:t>
            </w:r>
          </w:p>
        </w:tc>
      </w:tr>
    </w:tbl>
    <w:p w:rsidR="003400A3" w:rsidRPr="00AA17D1" w:rsidRDefault="003400A3" w:rsidP="003400A3">
      <w:pPr>
        <w:rPr>
          <w:rFonts w:ascii="Calibri" w:hAnsi="Calibri"/>
        </w:rPr>
      </w:pPr>
    </w:p>
    <w:p w:rsidR="003400A3" w:rsidRPr="009164FC" w:rsidRDefault="003400A3" w:rsidP="00897845">
      <w:pPr>
        <w:numPr>
          <w:ilvl w:val="0"/>
          <w:numId w:val="2"/>
        </w:numPr>
        <w:rPr>
          <w:rFonts w:ascii="Calibri" w:hAnsi="Calibri"/>
        </w:rPr>
      </w:pPr>
      <w:r w:rsidRPr="009164FC">
        <w:rPr>
          <w:rFonts w:ascii="Calibri" w:hAnsi="Calibri"/>
          <w:b/>
        </w:rPr>
        <w:t>Group Study Rooms</w:t>
      </w:r>
      <w:r w:rsidRPr="009164FC">
        <w:rPr>
          <w:rFonts w:ascii="Calibri" w:hAnsi="Calibri"/>
        </w:rPr>
        <w:t xml:space="preserve"> </w:t>
      </w:r>
    </w:p>
    <w:p w:rsidR="003400A3" w:rsidRPr="00F25E84" w:rsidRDefault="003400A3" w:rsidP="00897845">
      <w:pPr>
        <w:numPr>
          <w:ilvl w:val="1"/>
          <w:numId w:val="2"/>
        </w:numPr>
        <w:rPr>
          <w:rFonts w:ascii="Calibri" w:hAnsi="Calibri"/>
        </w:rPr>
      </w:pPr>
      <w:r w:rsidRPr="00F25E84">
        <w:rPr>
          <w:rFonts w:ascii="Calibri" w:hAnsi="Calibri"/>
        </w:rPr>
        <w:t xml:space="preserve">8,231 total reservations during fall semester 2007. </w:t>
      </w:r>
    </w:p>
    <w:p w:rsidR="003400A3" w:rsidRPr="00F25E84" w:rsidRDefault="003400A3" w:rsidP="00897845">
      <w:pPr>
        <w:numPr>
          <w:ilvl w:val="1"/>
          <w:numId w:val="2"/>
        </w:numPr>
        <w:rPr>
          <w:rFonts w:ascii="Calibri" w:hAnsi="Calibri"/>
        </w:rPr>
      </w:pPr>
      <w:r w:rsidRPr="00F25E84">
        <w:rPr>
          <w:rFonts w:ascii="Calibri" w:hAnsi="Calibri"/>
        </w:rPr>
        <w:t>Peak use of group study rooms occurred during weeks 15 (844) and 16 (811). See Chart 1</w:t>
      </w:r>
      <w:r w:rsidR="00E601B7">
        <w:rPr>
          <w:rFonts w:ascii="Calibri" w:hAnsi="Calibri"/>
        </w:rPr>
        <w:t>3</w:t>
      </w:r>
      <w:r w:rsidRPr="00F25E84">
        <w:rPr>
          <w:rFonts w:ascii="Calibri" w:hAnsi="Calibri"/>
        </w:rPr>
        <w:t>.</w:t>
      </w:r>
    </w:p>
    <w:p w:rsidR="003400A3" w:rsidRPr="00CC37F7" w:rsidRDefault="003400A3" w:rsidP="00897845">
      <w:pPr>
        <w:numPr>
          <w:ilvl w:val="1"/>
          <w:numId w:val="2"/>
        </w:numPr>
        <w:rPr>
          <w:rFonts w:ascii="Calibri" w:hAnsi="Calibri"/>
        </w:rPr>
      </w:pPr>
      <w:r>
        <w:rPr>
          <w:rFonts w:ascii="Calibri" w:hAnsi="Calibri"/>
        </w:rPr>
        <w:t>7,</w:t>
      </w:r>
      <w:r w:rsidRPr="00CC37F7">
        <w:rPr>
          <w:rFonts w:ascii="Calibri" w:hAnsi="Calibri"/>
        </w:rPr>
        <w:t xml:space="preserve">125 total reservations during fall semester 2008. </w:t>
      </w:r>
    </w:p>
    <w:p w:rsidR="003400A3" w:rsidRDefault="003400A3" w:rsidP="00897845">
      <w:pPr>
        <w:numPr>
          <w:ilvl w:val="1"/>
          <w:numId w:val="2"/>
        </w:numPr>
        <w:rPr>
          <w:rFonts w:ascii="Calibri" w:hAnsi="Calibri"/>
        </w:rPr>
      </w:pPr>
      <w:r w:rsidRPr="00CC37F7">
        <w:rPr>
          <w:rFonts w:ascii="Calibri" w:hAnsi="Calibri"/>
        </w:rPr>
        <w:t>Peak use of group study rooms occurred during weeks 16 (782) and 15 (736). See Chart 1</w:t>
      </w:r>
      <w:r w:rsidR="00E601B7">
        <w:rPr>
          <w:rFonts w:ascii="Calibri" w:hAnsi="Calibri"/>
        </w:rPr>
        <w:t>3</w:t>
      </w:r>
      <w:r w:rsidRPr="00CC37F7">
        <w:rPr>
          <w:rFonts w:ascii="Calibri" w:hAnsi="Calibri"/>
        </w:rPr>
        <w:t>.</w:t>
      </w:r>
    </w:p>
    <w:p w:rsidR="000B4E82" w:rsidRPr="003400A3" w:rsidRDefault="000B4E82" w:rsidP="000B4E82">
      <w:pPr>
        <w:ind w:left="1440"/>
        <w:rPr>
          <w:rFonts w:ascii="Calibri" w:hAnsi="Calibri"/>
        </w:rPr>
      </w:pPr>
    </w:p>
    <w:p w:rsidR="003400A3" w:rsidRPr="009164FC" w:rsidRDefault="00165E59" w:rsidP="003400A3">
      <w:pPr>
        <w:jc w:val="center"/>
        <w:rPr>
          <w:rFonts w:ascii="Calibri" w:hAnsi="Calibri"/>
          <w:noProof/>
        </w:rPr>
      </w:pPr>
      <w:r>
        <w:rPr>
          <w:rFonts w:ascii="Calibri" w:hAnsi="Calibri"/>
          <w:noProof/>
        </w:rPr>
        <w:drawing>
          <wp:inline distT="0" distB="0" distL="0" distR="0">
            <wp:extent cx="5407406" cy="3390900"/>
            <wp:effectExtent l="6096" t="0" r="6223"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00A3" w:rsidRPr="009164FC" w:rsidRDefault="003400A3" w:rsidP="003400A3">
      <w:pPr>
        <w:rPr>
          <w:rFonts w:ascii="Calibri" w:hAnsi="Calibri"/>
          <w:noProof/>
        </w:rPr>
      </w:pPr>
    </w:p>
    <w:p w:rsidR="003400A3" w:rsidRPr="009164FC" w:rsidRDefault="003400A3" w:rsidP="00897845">
      <w:pPr>
        <w:numPr>
          <w:ilvl w:val="0"/>
          <w:numId w:val="2"/>
        </w:numPr>
        <w:rPr>
          <w:rFonts w:ascii="Calibri" w:hAnsi="Calibri"/>
          <w:b/>
        </w:rPr>
      </w:pPr>
      <w:r w:rsidRPr="009164FC">
        <w:rPr>
          <w:rFonts w:ascii="Calibri" w:hAnsi="Calibri"/>
          <w:b/>
        </w:rPr>
        <w:t xml:space="preserve">Library Instruction Program </w:t>
      </w:r>
    </w:p>
    <w:p w:rsidR="003400A3" w:rsidRPr="00391847" w:rsidRDefault="003400A3" w:rsidP="00897845">
      <w:pPr>
        <w:numPr>
          <w:ilvl w:val="1"/>
          <w:numId w:val="2"/>
        </w:numPr>
        <w:rPr>
          <w:rFonts w:ascii="Calibri" w:hAnsi="Calibri"/>
        </w:rPr>
      </w:pPr>
      <w:r w:rsidRPr="00391847">
        <w:rPr>
          <w:rFonts w:ascii="Calibri" w:hAnsi="Calibri"/>
        </w:rPr>
        <w:t>Weekly tallies of classes were identified for fall semester 2006, 2007 and 2008 (Chart 1</w:t>
      </w:r>
      <w:r w:rsidR="00E601B7">
        <w:rPr>
          <w:rFonts w:ascii="Calibri" w:hAnsi="Calibri"/>
        </w:rPr>
        <w:t>4</w:t>
      </w:r>
      <w:r w:rsidRPr="00391847">
        <w:rPr>
          <w:rFonts w:ascii="Calibri" w:hAnsi="Calibri"/>
        </w:rPr>
        <w:t>).</w:t>
      </w:r>
    </w:p>
    <w:p w:rsidR="003400A3" w:rsidRPr="00F25E84" w:rsidRDefault="003400A3" w:rsidP="00897845">
      <w:pPr>
        <w:numPr>
          <w:ilvl w:val="2"/>
          <w:numId w:val="2"/>
        </w:numPr>
        <w:rPr>
          <w:rFonts w:ascii="Calibri" w:hAnsi="Calibri"/>
        </w:rPr>
      </w:pPr>
      <w:r w:rsidRPr="00F25E84">
        <w:rPr>
          <w:rFonts w:ascii="Calibri" w:hAnsi="Calibri"/>
        </w:rPr>
        <w:t xml:space="preserve">Of a total of 235 classes taught in </w:t>
      </w:r>
      <w:r>
        <w:rPr>
          <w:rFonts w:ascii="Calibri" w:hAnsi="Calibri"/>
        </w:rPr>
        <w:t xml:space="preserve">fall </w:t>
      </w:r>
      <w:r w:rsidRPr="00F25E84">
        <w:rPr>
          <w:rFonts w:ascii="Calibri" w:hAnsi="Calibri"/>
        </w:rPr>
        <w:t>2006, 32 were taught during week 5, 30 during week 4, and 2</w:t>
      </w:r>
      <w:r>
        <w:rPr>
          <w:rFonts w:ascii="Calibri" w:hAnsi="Calibri"/>
        </w:rPr>
        <w:t>8 during week 3 of the semester</w:t>
      </w:r>
      <w:r w:rsidRPr="00F25E84">
        <w:rPr>
          <w:rFonts w:ascii="Calibri" w:hAnsi="Calibri"/>
        </w:rPr>
        <w:t>.</w:t>
      </w:r>
    </w:p>
    <w:p w:rsidR="003400A3" w:rsidRPr="00391847" w:rsidRDefault="003400A3" w:rsidP="00897845">
      <w:pPr>
        <w:numPr>
          <w:ilvl w:val="2"/>
          <w:numId w:val="2"/>
        </w:numPr>
        <w:rPr>
          <w:rFonts w:ascii="Calibri" w:hAnsi="Calibri"/>
        </w:rPr>
      </w:pPr>
      <w:r w:rsidRPr="00391847">
        <w:rPr>
          <w:rFonts w:ascii="Calibri" w:hAnsi="Calibri"/>
        </w:rPr>
        <w:t xml:space="preserve">Of a total of </w:t>
      </w:r>
      <w:r>
        <w:rPr>
          <w:rFonts w:ascii="Calibri" w:hAnsi="Calibri"/>
        </w:rPr>
        <w:t>234</w:t>
      </w:r>
      <w:r w:rsidRPr="00391847">
        <w:rPr>
          <w:rFonts w:ascii="Calibri" w:hAnsi="Calibri"/>
        </w:rPr>
        <w:t xml:space="preserve"> classes taught in fall 2007, </w:t>
      </w:r>
      <w:r>
        <w:rPr>
          <w:rFonts w:ascii="Calibri" w:hAnsi="Calibri"/>
        </w:rPr>
        <w:t>40 were taught during week 7, 39 during week 3, and 27 during week 6 of the semester.</w:t>
      </w:r>
    </w:p>
    <w:p w:rsidR="003400A3" w:rsidRPr="00ED3DBA" w:rsidRDefault="003400A3" w:rsidP="00897845">
      <w:pPr>
        <w:numPr>
          <w:ilvl w:val="2"/>
          <w:numId w:val="2"/>
        </w:numPr>
        <w:rPr>
          <w:rFonts w:ascii="Calibri" w:hAnsi="Calibri"/>
        </w:rPr>
      </w:pPr>
      <w:r w:rsidRPr="00ED3DBA">
        <w:rPr>
          <w:rFonts w:ascii="Calibri" w:hAnsi="Calibri"/>
        </w:rPr>
        <w:t>Of a total of 218 classes taught in fall 2008</w:t>
      </w:r>
      <w:r>
        <w:rPr>
          <w:rFonts w:ascii="Calibri" w:hAnsi="Calibri"/>
        </w:rPr>
        <w:t>, 36 were taught during week 5, 26 during week 4, and 25 during week 6 of the semester.</w:t>
      </w:r>
    </w:p>
    <w:p w:rsidR="003400A3" w:rsidRDefault="003400A3" w:rsidP="003400A3">
      <w:pPr>
        <w:jc w:val="center"/>
        <w:rPr>
          <w:rFonts w:ascii="Calibri" w:hAnsi="Calibri"/>
          <w:noProof/>
        </w:rPr>
      </w:pPr>
    </w:p>
    <w:p w:rsidR="003400A3" w:rsidRPr="009164FC" w:rsidRDefault="00165E59" w:rsidP="003400A3">
      <w:pPr>
        <w:jc w:val="center"/>
        <w:rPr>
          <w:rFonts w:ascii="Calibri" w:hAnsi="Calibri"/>
          <w:noProof/>
        </w:rPr>
      </w:pPr>
      <w:r>
        <w:rPr>
          <w:rFonts w:ascii="Calibri" w:hAnsi="Calibri"/>
          <w:noProof/>
        </w:rPr>
        <w:drawing>
          <wp:inline distT="0" distB="0" distL="0" distR="0">
            <wp:extent cx="4827397" cy="3512058"/>
            <wp:effectExtent l="6096" t="0" r="5207" b="2667"/>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00A3" w:rsidRPr="009164FC" w:rsidRDefault="003400A3" w:rsidP="003400A3">
      <w:pPr>
        <w:rPr>
          <w:rFonts w:ascii="Calibri" w:hAnsi="Calibri"/>
        </w:rPr>
      </w:pPr>
    </w:p>
    <w:p w:rsidR="003400A3" w:rsidRPr="009164FC" w:rsidRDefault="003400A3" w:rsidP="00897845">
      <w:pPr>
        <w:numPr>
          <w:ilvl w:val="0"/>
          <w:numId w:val="2"/>
        </w:numPr>
        <w:rPr>
          <w:rFonts w:ascii="Calibri" w:hAnsi="Calibri"/>
        </w:rPr>
      </w:pPr>
      <w:r w:rsidRPr="009164FC">
        <w:rPr>
          <w:rFonts w:ascii="Calibri" w:hAnsi="Calibri"/>
          <w:b/>
        </w:rPr>
        <w:t xml:space="preserve">Math </w:t>
      </w:r>
      <w:r>
        <w:rPr>
          <w:rFonts w:ascii="Calibri" w:hAnsi="Calibri"/>
          <w:b/>
        </w:rPr>
        <w:t xml:space="preserve">PILOT </w:t>
      </w:r>
      <w:r w:rsidRPr="009164FC">
        <w:rPr>
          <w:rFonts w:ascii="Calibri" w:hAnsi="Calibri"/>
          <w:b/>
        </w:rPr>
        <w:t>Tutoring</w:t>
      </w:r>
    </w:p>
    <w:p w:rsidR="003400A3" w:rsidRPr="009164FC" w:rsidRDefault="003400A3" w:rsidP="00897845">
      <w:pPr>
        <w:numPr>
          <w:ilvl w:val="1"/>
          <w:numId w:val="2"/>
        </w:numPr>
        <w:rPr>
          <w:rFonts w:ascii="Calibri" w:hAnsi="Calibri"/>
        </w:rPr>
      </w:pPr>
      <w:r w:rsidRPr="009164FC">
        <w:rPr>
          <w:rFonts w:ascii="Calibri" w:hAnsi="Calibri"/>
        </w:rPr>
        <w:t>Fall semester 2007: 859 students</w:t>
      </w:r>
      <w:r>
        <w:rPr>
          <w:rFonts w:ascii="Calibri" w:hAnsi="Calibri"/>
        </w:rPr>
        <w:t>.</w:t>
      </w:r>
    </w:p>
    <w:p w:rsidR="003400A3" w:rsidRPr="003400A3" w:rsidRDefault="003400A3" w:rsidP="00897845">
      <w:pPr>
        <w:numPr>
          <w:ilvl w:val="1"/>
          <w:numId w:val="2"/>
        </w:numPr>
        <w:rPr>
          <w:rFonts w:ascii="Calibri" w:hAnsi="Calibri"/>
        </w:rPr>
      </w:pPr>
      <w:r w:rsidRPr="003C54D0">
        <w:rPr>
          <w:rFonts w:ascii="Calibri" w:hAnsi="Calibri"/>
        </w:rPr>
        <w:t>Fall semester 2008: 1,154 students.</w:t>
      </w:r>
    </w:p>
    <w:p w:rsidR="003400A3" w:rsidRPr="009164FC" w:rsidRDefault="003400A3" w:rsidP="00897845">
      <w:pPr>
        <w:numPr>
          <w:ilvl w:val="0"/>
          <w:numId w:val="2"/>
        </w:numPr>
        <w:rPr>
          <w:rFonts w:ascii="Calibri" w:hAnsi="Calibri"/>
        </w:rPr>
      </w:pPr>
      <w:r w:rsidRPr="009164FC">
        <w:rPr>
          <w:rFonts w:ascii="Calibri" w:hAnsi="Calibri"/>
          <w:b/>
        </w:rPr>
        <w:t>Writing Center</w:t>
      </w:r>
      <w:r>
        <w:rPr>
          <w:rFonts w:ascii="Calibri" w:hAnsi="Calibri"/>
          <w:b/>
        </w:rPr>
        <w:t xml:space="preserve"> Tutoring</w:t>
      </w:r>
    </w:p>
    <w:p w:rsidR="003400A3" w:rsidRPr="009164FC" w:rsidRDefault="003400A3" w:rsidP="00897845">
      <w:pPr>
        <w:numPr>
          <w:ilvl w:val="1"/>
          <w:numId w:val="2"/>
        </w:numPr>
        <w:rPr>
          <w:rFonts w:ascii="Calibri" w:hAnsi="Calibri"/>
        </w:rPr>
      </w:pPr>
      <w:r w:rsidRPr="009164FC">
        <w:rPr>
          <w:rFonts w:ascii="Calibri" w:hAnsi="Calibri"/>
        </w:rPr>
        <w:t xml:space="preserve">Fall semester 2007: 266 sessions (underrepresented since </w:t>
      </w:r>
      <w:r>
        <w:rPr>
          <w:rFonts w:ascii="Calibri" w:hAnsi="Calibri"/>
        </w:rPr>
        <w:t xml:space="preserve">the tracking </w:t>
      </w:r>
      <w:r w:rsidRPr="009164FC">
        <w:rPr>
          <w:rFonts w:ascii="Calibri" w:hAnsi="Calibri"/>
        </w:rPr>
        <w:t>form did not include location until part way through the semester)</w:t>
      </w:r>
      <w:r>
        <w:rPr>
          <w:rFonts w:ascii="Calibri" w:hAnsi="Calibri"/>
        </w:rPr>
        <w:t>.</w:t>
      </w:r>
    </w:p>
    <w:p w:rsidR="003400A3" w:rsidRPr="009164FC" w:rsidRDefault="003400A3" w:rsidP="00897845">
      <w:pPr>
        <w:numPr>
          <w:ilvl w:val="1"/>
          <w:numId w:val="2"/>
        </w:numPr>
        <w:rPr>
          <w:rFonts w:ascii="Calibri" w:hAnsi="Calibri"/>
        </w:rPr>
      </w:pPr>
      <w:r w:rsidRPr="009164FC">
        <w:rPr>
          <w:rFonts w:ascii="Calibri" w:hAnsi="Calibri"/>
        </w:rPr>
        <w:t xml:space="preserve">Fall semester 2008: </w:t>
      </w:r>
      <w:r>
        <w:rPr>
          <w:rFonts w:ascii="Calibri" w:hAnsi="Calibri"/>
        </w:rPr>
        <w:t>576 sessions, 33% of the total writing center sessions for the semester (n=1,748).</w:t>
      </w:r>
    </w:p>
    <w:p w:rsidR="003400A3" w:rsidRPr="009164FC" w:rsidRDefault="003400A3" w:rsidP="003400A3">
      <w:pPr>
        <w:rPr>
          <w:rFonts w:ascii="Calibri" w:hAnsi="Calibri"/>
        </w:rPr>
      </w:pPr>
    </w:p>
    <w:p w:rsidR="003400A3" w:rsidRDefault="003400A3" w:rsidP="003400A3">
      <w:pPr>
        <w:rPr>
          <w:rFonts w:ascii="Calibri" w:hAnsi="Calibri"/>
          <w:b/>
          <w:i/>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3400A3" w:rsidRPr="003400A3" w:rsidRDefault="003400A3" w:rsidP="003400A3">
      <w:pPr>
        <w:rPr>
          <w:rFonts w:ascii="Calibri" w:hAnsi="Calibri"/>
          <w:b/>
          <w:i/>
          <w:szCs w:val="28"/>
        </w:rPr>
      </w:pPr>
      <w:r w:rsidRPr="009164FC">
        <w:rPr>
          <w:rFonts w:ascii="Calibri" w:hAnsi="Calibri"/>
          <w:b/>
          <w:i/>
          <w:szCs w:val="28"/>
        </w:rPr>
        <w:lastRenderedPageBreak/>
        <w:t>Who are the library users?</w:t>
      </w:r>
    </w:p>
    <w:p w:rsidR="007A540E" w:rsidRDefault="007A540E" w:rsidP="003400A3">
      <w:pPr>
        <w:rPr>
          <w:rFonts w:ascii="Calibri" w:hAnsi="Calibri"/>
        </w:rPr>
      </w:pPr>
    </w:p>
    <w:p w:rsidR="003400A3" w:rsidRPr="009164FC" w:rsidRDefault="003400A3" w:rsidP="003400A3">
      <w:pPr>
        <w:rPr>
          <w:rFonts w:ascii="Calibri" w:hAnsi="Calibri"/>
        </w:rPr>
      </w:pPr>
      <w:r>
        <w:rPr>
          <w:rFonts w:ascii="Calibri" w:hAnsi="Calibri"/>
        </w:rPr>
        <w:t>Overall during both FY2007 and FY2008:</w:t>
      </w:r>
    </w:p>
    <w:p w:rsidR="003400A3" w:rsidRPr="00F25E84" w:rsidRDefault="003400A3" w:rsidP="00897845">
      <w:pPr>
        <w:numPr>
          <w:ilvl w:val="0"/>
          <w:numId w:val="14"/>
        </w:numPr>
        <w:rPr>
          <w:rFonts w:ascii="Calibri" w:hAnsi="Calibri"/>
        </w:rPr>
      </w:pPr>
      <w:r w:rsidRPr="00F25E84">
        <w:rPr>
          <w:rFonts w:ascii="Calibri" w:hAnsi="Calibri"/>
        </w:rPr>
        <w:t>Undergraduate students are the primary library user group in all categories with the exception of interlibrary loan.</w:t>
      </w:r>
    </w:p>
    <w:p w:rsidR="003400A3" w:rsidRPr="00F25E84" w:rsidRDefault="003400A3" w:rsidP="00897845">
      <w:pPr>
        <w:numPr>
          <w:ilvl w:val="0"/>
          <w:numId w:val="14"/>
        </w:numPr>
        <w:rPr>
          <w:rFonts w:ascii="Calibri" w:hAnsi="Calibri"/>
        </w:rPr>
      </w:pPr>
      <w:r w:rsidRPr="00F25E84">
        <w:rPr>
          <w:rFonts w:ascii="Calibri" w:hAnsi="Calibri"/>
        </w:rPr>
        <w:t>Graduate students and then faculty are the primary library user groups of interlibrary loan.</w:t>
      </w:r>
    </w:p>
    <w:p w:rsidR="003400A3" w:rsidRPr="003400A3" w:rsidRDefault="003400A3" w:rsidP="00897845">
      <w:pPr>
        <w:numPr>
          <w:ilvl w:val="0"/>
          <w:numId w:val="14"/>
        </w:numPr>
        <w:rPr>
          <w:rFonts w:ascii="Calibri" w:hAnsi="Calibri"/>
        </w:rPr>
      </w:pPr>
      <w:r w:rsidRPr="00F25E84">
        <w:rPr>
          <w:rFonts w:ascii="Calibri" w:hAnsi="Calibri"/>
        </w:rPr>
        <w:t>First-year students are the largest group receiving instruction.</w:t>
      </w:r>
    </w:p>
    <w:p w:rsidR="007A540E" w:rsidRDefault="007A540E"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Circulation at ML and ML@COT</w:t>
      </w:r>
    </w:p>
    <w:p w:rsidR="007A540E" w:rsidRDefault="007A540E" w:rsidP="003400A3">
      <w:pPr>
        <w:rPr>
          <w:rFonts w:ascii="Calibri" w:hAnsi="Calibri"/>
        </w:rPr>
      </w:pPr>
    </w:p>
    <w:p w:rsidR="003400A3" w:rsidRDefault="003400A3" w:rsidP="003400A3">
      <w:pPr>
        <w:rPr>
          <w:rFonts w:ascii="Calibri" w:hAnsi="Calibri"/>
        </w:rPr>
      </w:pPr>
      <w:r w:rsidRPr="00210644">
        <w:rPr>
          <w:rFonts w:ascii="Calibri" w:hAnsi="Calibri"/>
        </w:rPr>
        <w:t>ML FY2007 and FY2008 circulation transactions totaled 115,046 and 125,602 respectively, and were identified by status of borrower with the following results:</w:t>
      </w:r>
    </w:p>
    <w:p w:rsidR="003400A3" w:rsidRPr="00210644" w:rsidRDefault="003400A3" w:rsidP="003400A3">
      <w:pPr>
        <w:rPr>
          <w:rFonts w:ascii="Calibri" w:hAnsi="Calibri"/>
        </w:rPr>
      </w:pPr>
    </w:p>
    <w:tbl>
      <w:tblPr>
        <w:tblW w:w="7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987"/>
        <w:gridCol w:w="1061"/>
        <w:gridCol w:w="1061"/>
      </w:tblGrid>
      <w:tr w:rsidR="003400A3" w:rsidRPr="0092119B" w:rsidTr="00897845">
        <w:trPr>
          <w:jc w:val="center"/>
        </w:trPr>
        <w:tc>
          <w:tcPr>
            <w:tcW w:w="5005" w:type="dxa"/>
          </w:tcPr>
          <w:p w:rsidR="003400A3" w:rsidRPr="0092119B" w:rsidRDefault="0092119B" w:rsidP="001031E2">
            <w:pPr>
              <w:pStyle w:val="NoSpacing"/>
              <w:rPr>
                <w:b/>
              </w:rPr>
            </w:pPr>
            <w:r>
              <w:rPr>
                <w:b/>
              </w:rPr>
              <w:t xml:space="preserve">Patron </w:t>
            </w:r>
            <w:r w:rsidR="001031E2" w:rsidRPr="0092119B">
              <w:rPr>
                <w:b/>
              </w:rPr>
              <w:t>Status</w:t>
            </w:r>
          </w:p>
        </w:tc>
        <w:tc>
          <w:tcPr>
            <w:tcW w:w="1052" w:type="dxa"/>
          </w:tcPr>
          <w:p w:rsidR="003400A3" w:rsidRPr="0092119B" w:rsidRDefault="003400A3" w:rsidP="001031E2">
            <w:pPr>
              <w:pStyle w:val="NoSpacing"/>
              <w:rPr>
                <w:b/>
              </w:rPr>
            </w:pPr>
            <w:r w:rsidRPr="0092119B">
              <w:rPr>
                <w:b/>
              </w:rPr>
              <w:t>FY2007</w:t>
            </w:r>
          </w:p>
        </w:tc>
        <w:tc>
          <w:tcPr>
            <w:tcW w:w="1052" w:type="dxa"/>
          </w:tcPr>
          <w:p w:rsidR="003400A3" w:rsidRPr="0092119B" w:rsidRDefault="003400A3" w:rsidP="001031E2">
            <w:pPr>
              <w:pStyle w:val="NoSpacing"/>
              <w:rPr>
                <w:b/>
              </w:rPr>
            </w:pPr>
            <w:r w:rsidRPr="0092119B">
              <w:rPr>
                <w:b/>
              </w:rPr>
              <w:t>FY2008</w:t>
            </w:r>
          </w:p>
        </w:tc>
      </w:tr>
      <w:tr w:rsidR="003400A3" w:rsidRPr="00210644" w:rsidTr="00897845">
        <w:trPr>
          <w:jc w:val="center"/>
        </w:trPr>
        <w:tc>
          <w:tcPr>
            <w:tcW w:w="5005" w:type="dxa"/>
          </w:tcPr>
          <w:p w:rsidR="003400A3" w:rsidRPr="00210644" w:rsidRDefault="003400A3" w:rsidP="001031E2">
            <w:pPr>
              <w:pStyle w:val="NoSpacing"/>
            </w:pPr>
            <w:r w:rsidRPr="00210644">
              <w:t>Undergraduate</w:t>
            </w:r>
          </w:p>
        </w:tc>
        <w:tc>
          <w:tcPr>
            <w:tcW w:w="1052" w:type="dxa"/>
          </w:tcPr>
          <w:p w:rsidR="003400A3" w:rsidRPr="00210644" w:rsidRDefault="003400A3" w:rsidP="0092119B">
            <w:pPr>
              <w:pStyle w:val="NoSpacing"/>
              <w:jc w:val="center"/>
            </w:pPr>
            <w:r w:rsidRPr="00210644">
              <w:t>55%</w:t>
            </w:r>
          </w:p>
        </w:tc>
        <w:tc>
          <w:tcPr>
            <w:tcW w:w="1052" w:type="dxa"/>
          </w:tcPr>
          <w:p w:rsidR="003400A3" w:rsidRPr="00210644" w:rsidRDefault="003400A3" w:rsidP="0092119B">
            <w:pPr>
              <w:pStyle w:val="NoSpacing"/>
              <w:jc w:val="center"/>
            </w:pPr>
            <w:r w:rsidRPr="00210644">
              <w:t>58%</w:t>
            </w:r>
          </w:p>
        </w:tc>
      </w:tr>
      <w:tr w:rsidR="003400A3" w:rsidRPr="00210644" w:rsidTr="00897845">
        <w:trPr>
          <w:jc w:val="center"/>
        </w:trPr>
        <w:tc>
          <w:tcPr>
            <w:tcW w:w="5005" w:type="dxa"/>
          </w:tcPr>
          <w:p w:rsidR="003400A3" w:rsidRPr="00210644" w:rsidRDefault="003400A3" w:rsidP="001031E2">
            <w:pPr>
              <w:pStyle w:val="NoSpacing"/>
            </w:pPr>
            <w:r w:rsidRPr="00210644">
              <w:t>Graduate</w:t>
            </w:r>
          </w:p>
        </w:tc>
        <w:tc>
          <w:tcPr>
            <w:tcW w:w="1052" w:type="dxa"/>
          </w:tcPr>
          <w:p w:rsidR="003400A3" w:rsidRPr="00210644" w:rsidRDefault="003400A3" w:rsidP="0092119B">
            <w:pPr>
              <w:pStyle w:val="NoSpacing"/>
              <w:jc w:val="center"/>
            </w:pPr>
            <w:r w:rsidRPr="00210644">
              <w:t>18%</w:t>
            </w:r>
          </w:p>
        </w:tc>
        <w:tc>
          <w:tcPr>
            <w:tcW w:w="1052" w:type="dxa"/>
          </w:tcPr>
          <w:p w:rsidR="003400A3" w:rsidRPr="00210644" w:rsidRDefault="003400A3" w:rsidP="0092119B">
            <w:pPr>
              <w:pStyle w:val="NoSpacing"/>
              <w:jc w:val="center"/>
            </w:pPr>
            <w:r w:rsidRPr="00210644">
              <w:t>16%</w:t>
            </w:r>
          </w:p>
        </w:tc>
      </w:tr>
      <w:tr w:rsidR="003400A3" w:rsidRPr="00210644" w:rsidTr="00897845">
        <w:trPr>
          <w:jc w:val="center"/>
        </w:trPr>
        <w:tc>
          <w:tcPr>
            <w:tcW w:w="5005" w:type="dxa"/>
          </w:tcPr>
          <w:p w:rsidR="003400A3" w:rsidRPr="00210644" w:rsidRDefault="003400A3" w:rsidP="001031E2">
            <w:pPr>
              <w:pStyle w:val="NoSpacing"/>
            </w:pPr>
            <w:r w:rsidRPr="00210644">
              <w:t>Faculty</w:t>
            </w:r>
          </w:p>
        </w:tc>
        <w:tc>
          <w:tcPr>
            <w:tcW w:w="1052" w:type="dxa"/>
          </w:tcPr>
          <w:p w:rsidR="003400A3" w:rsidRPr="00210644" w:rsidRDefault="003400A3" w:rsidP="0092119B">
            <w:pPr>
              <w:pStyle w:val="NoSpacing"/>
              <w:jc w:val="center"/>
            </w:pPr>
            <w:r w:rsidRPr="00210644">
              <w:t>10%</w:t>
            </w:r>
          </w:p>
        </w:tc>
        <w:tc>
          <w:tcPr>
            <w:tcW w:w="1052" w:type="dxa"/>
          </w:tcPr>
          <w:p w:rsidR="003400A3" w:rsidRPr="00210644" w:rsidRDefault="003400A3" w:rsidP="0092119B">
            <w:pPr>
              <w:pStyle w:val="NoSpacing"/>
              <w:jc w:val="center"/>
            </w:pPr>
            <w:r w:rsidRPr="00210644">
              <w:t>10%</w:t>
            </w:r>
          </w:p>
        </w:tc>
      </w:tr>
      <w:tr w:rsidR="003400A3" w:rsidRPr="00210644" w:rsidTr="00897845">
        <w:trPr>
          <w:jc w:val="center"/>
        </w:trPr>
        <w:tc>
          <w:tcPr>
            <w:tcW w:w="5005" w:type="dxa"/>
          </w:tcPr>
          <w:p w:rsidR="003400A3" w:rsidRPr="00210644" w:rsidRDefault="003400A3" w:rsidP="001031E2">
            <w:pPr>
              <w:pStyle w:val="NoSpacing"/>
            </w:pPr>
            <w:r w:rsidRPr="00210644">
              <w:t>ILL</w:t>
            </w:r>
          </w:p>
        </w:tc>
        <w:tc>
          <w:tcPr>
            <w:tcW w:w="1052" w:type="dxa"/>
          </w:tcPr>
          <w:p w:rsidR="003400A3" w:rsidRPr="00210644" w:rsidRDefault="003400A3" w:rsidP="0092119B">
            <w:pPr>
              <w:pStyle w:val="NoSpacing"/>
              <w:jc w:val="center"/>
            </w:pPr>
            <w:r w:rsidRPr="00210644">
              <w:t>6%</w:t>
            </w:r>
          </w:p>
        </w:tc>
        <w:tc>
          <w:tcPr>
            <w:tcW w:w="1052" w:type="dxa"/>
          </w:tcPr>
          <w:p w:rsidR="003400A3" w:rsidRPr="00210644" w:rsidRDefault="003400A3" w:rsidP="0092119B">
            <w:pPr>
              <w:pStyle w:val="NoSpacing"/>
              <w:jc w:val="center"/>
            </w:pPr>
            <w:r w:rsidRPr="00210644">
              <w:t>5%</w:t>
            </w:r>
          </w:p>
        </w:tc>
      </w:tr>
      <w:tr w:rsidR="003400A3" w:rsidRPr="00210644" w:rsidTr="00897845">
        <w:trPr>
          <w:jc w:val="center"/>
        </w:trPr>
        <w:tc>
          <w:tcPr>
            <w:tcW w:w="5005" w:type="dxa"/>
          </w:tcPr>
          <w:p w:rsidR="003400A3" w:rsidRPr="00210644" w:rsidRDefault="003400A3" w:rsidP="001031E2">
            <w:pPr>
              <w:pStyle w:val="NoSpacing"/>
            </w:pPr>
            <w:r w:rsidRPr="00210644">
              <w:t>Staff</w:t>
            </w:r>
          </w:p>
        </w:tc>
        <w:tc>
          <w:tcPr>
            <w:tcW w:w="1052" w:type="dxa"/>
          </w:tcPr>
          <w:p w:rsidR="003400A3" w:rsidRPr="00210644" w:rsidRDefault="003400A3" w:rsidP="0092119B">
            <w:pPr>
              <w:pStyle w:val="NoSpacing"/>
              <w:jc w:val="center"/>
            </w:pPr>
            <w:r>
              <w:t>4</w:t>
            </w:r>
            <w:r w:rsidRPr="00210644">
              <w:t>%</w:t>
            </w:r>
          </w:p>
        </w:tc>
        <w:tc>
          <w:tcPr>
            <w:tcW w:w="1052" w:type="dxa"/>
          </w:tcPr>
          <w:p w:rsidR="003400A3" w:rsidRPr="00210644" w:rsidRDefault="003400A3" w:rsidP="0092119B">
            <w:pPr>
              <w:pStyle w:val="NoSpacing"/>
              <w:jc w:val="center"/>
            </w:pPr>
            <w:r>
              <w:t>4</w:t>
            </w:r>
            <w:r w:rsidRPr="00210644">
              <w:t>%</w:t>
            </w:r>
          </w:p>
        </w:tc>
      </w:tr>
      <w:tr w:rsidR="003400A3" w:rsidRPr="00210644" w:rsidTr="00897845">
        <w:trPr>
          <w:jc w:val="center"/>
        </w:trPr>
        <w:tc>
          <w:tcPr>
            <w:tcW w:w="5005" w:type="dxa"/>
          </w:tcPr>
          <w:p w:rsidR="003400A3" w:rsidRPr="00210644" w:rsidRDefault="003400A3" w:rsidP="001031E2">
            <w:pPr>
              <w:pStyle w:val="NoSpacing"/>
            </w:pPr>
            <w:r w:rsidRPr="00210644">
              <w:t>MT Borrowers</w:t>
            </w:r>
          </w:p>
        </w:tc>
        <w:tc>
          <w:tcPr>
            <w:tcW w:w="1052" w:type="dxa"/>
          </w:tcPr>
          <w:p w:rsidR="003400A3" w:rsidRPr="00210644" w:rsidRDefault="003400A3" w:rsidP="0092119B">
            <w:pPr>
              <w:pStyle w:val="NoSpacing"/>
              <w:jc w:val="center"/>
            </w:pPr>
            <w:r>
              <w:t>3</w:t>
            </w:r>
            <w:r w:rsidRPr="00210644">
              <w:t>%</w:t>
            </w:r>
          </w:p>
        </w:tc>
        <w:tc>
          <w:tcPr>
            <w:tcW w:w="1052" w:type="dxa"/>
          </w:tcPr>
          <w:p w:rsidR="003400A3" w:rsidRPr="00210644" w:rsidRDefault="003400A3" w:rsidP="0092119B">
            <w:pPr>
              <w:pStyle w:val="NoSpacing"/>
              <w:jc w:val="center"/>
            </w:pPr>
            <w:r>
              <w:t>4</w:t>
            </w:r>
            <w:r w:rsidRPr="00210644">
              <w:t>%</w:t>
            </w:r>
          </w:p>
        </w:tc>
      </w:tr>
      <w:tr w:rsidR="003400A3" w:rsidRPr="00210644" w:rsidTr="00897845">
        <w:trPr>
          <w:jc w:val="center"/>
        </w:trPr>
        <w:tc>
          <w:tcPr>
            <w:tcW w:w="5005" w:type="dxa"/>
          </w:tcPr>
          <w:p w:rsidR="003400A3" w:rsidRPr="00210644" w:rsidRDefault="003400A3" w:rsidP="001031E2">
            <w:pPr>
              <w:pStyle w:val="NoSpacing"/>
            </w:pPr>
            <w:r w:rsidRPr="00210644">
              <w:t>Alumni/Visiting Scholars/Community Borrowers</w:t>
            </w:r>
          </w:p>
        </w:tc>
        <w:tc>
          <w:tcPr>
            <w:tcW w:w="1052" w:type="dxa"/>
          </w:tcPr>
          <w:p w:rsidR="003400A3" w:rsidRPr="00210644" w:rsidRDefault="003400A3" w:rsidP="0092119B">
            <w:pPr>
              <w:pStyle w:val="NoSpacing"/>
              <w:jc w:val="center"/>
            </w:pPr>
            <w:r>
              <w:t>2</w:t>
            </w:r>
            <w:r w:rsidRPr="00210644">
              <w:t>%</w:t>
            </w:r>
          </w:p>
        </w:tc>
        <w:tc>
          <w:tcPr>
            <w:tcW w:w="1052" w:type="dxa"/>
          </w:tcPr>
          <w:p w:rsidR="003400A3" w:rsidRPr="00210644" w:rsidRDefault="003400A3" w:rsidP="0092119B">
            <w:pPr>
              <w:pStyle w:val="NoSpacing"/>
              <w:jc w:val="center"/>
            </w:pPr>
            <w:r>
              <w:t>2</w:t>
            </w:r>
            <w:r w:rsidRPr="00210644">
              <w:t>%</w:t>
            </w:r>
          </w:p>
        </w:tc>
      </w:tr>
      <w:tr w:rsidR="003400A3" w:rsidRPr="00210644" w:rsidTr="00897845">
        <w:trPr>
          <w:jc w:val="center"/>
        </w:trPr>
        <w:tc>
          <w:tcPr>
            <w:tcW w:w="5005" w:type="dxa"/>
          </w:tcPr>
          <w:p w:rsidR="003400A3" w:rsidRPr="00210644" w:rsidRDefault="003400A3" w:rsidP="001031E2">
            <w:pPr>
              <w:pStyle w:val="NoSpacing"/>
            </w:pPr>
            <w:r w:rsidRPr="00210644">
              <w:t>Professional Staff</w:t>
            </w:r>
          </w:p>
        </w:tc>
        <w:tc>
          <w:tcPr>
            <w:tcW w:w="1052" w:type="dxa"/>
          </w:tcPr>
          <w:p w:rsidR="003400A3" w:rsidRPr="00210644" w:rsidRDefault="003400A3" w:rsidP="0092119B">
            <w:pPr>
              <w:pStyle w:val="NoSpacing"/>
              <w:jc w:val="center"/>
            </w:pPr>
            <w:r>
              <w:t>1</w:t>
            </w:r>
            <w:r w:rsidRPr="00210644">
              <w:t>%</w:t>
            </w:r>
          </w:p>
        </w:tc>
        <w:tc>
          <w:tcPr>
            <w:tcW w:w="1052" w:type="dxa"/>
          </w:tcPr>
          <w:p w:rsidR="003400A3" w:rsidRPr="00210644" w:rsidRDefault="003400A3" w:rsidP="0092119B">
            <w:pPr>
              <w:pStyle w:val="NoSpacing"/>
              <w:jc w:val="center"/>
            </w:pPr>
            <w:r>
              <w:t>1</w:t>
            </w:r>
            <w:r w:rsidRPr="00210644">
              <w:t>%</w:t>
            </w:r>
          </w:p>
        </w:tc>
      </w:tr>
      <w:tr w:rsidR="003400A3" w:rsidRPr="00210644" w:rsidTr="00897845">
        <w:trPr>
          <w:jc w:val="center"/>
        </w:trPr>
        <w:tc>
          <w:tcPr>
            <w:tcW w:w="5005" w:type="dxa"/>
          </w:tcPr>
          <w:p w:rsidR="003400A3" w:rsidRPr="00210644" w:rsidRDefault="003400A3" w:rsidP="001031E2">
            <w:pPr>
              <w:pStyle w:val="NoSpacing"/>
            </w:pPr>
            <w:r w:rsidRPr="00210644">
              <w:t>Other</w:t>
            </w:r>
          </w:p>
        </w:tc>
        <w:tc>
          <w:tcPr>
            <w:tcW w:w="1052" w:type="dxa"/>
          </w:tcPr>
          <w:p w:rsidR="003400A3" w:rsidRPr="00210644" w:rsidRDefault="003400A3" w:rsidP="0092119B">
            <w:pPr>
              <w:pStyle w:val="NoSpacing"/>
              <w:jc w:val="center"/>
            </w:pPr>
            <w:r>
              <w:t>&lt; 1</w:t>
            </w:r>
            <w:r w:rsidRPr="00210644">
              <w:t>%</w:t>
            </w:r>
          </w:p>
        </w:tc>
        <w:tc>
          <w:tcPr>
            <w:tcW w:w="1052" w:type="dxa"/>
          </w:tcPr>
          <w:p w:rsidR="003400A3" w:rsidRPr="00210644" w:rsidRDefault="003400A3" w:rsidP="0092119B">
            <w:pPr>
              <w:pStyle w:val="NoSpacing"/>
              <w:jc w:val="center"/>
            </w:pPr>
            <w:r>
              <w:t>&lt; 1</w:t>
            </w:r>
            <w:r w:rsidRPr="00210644">
              <w:t>%</w:t>
            </w:r>
          </w:p>
        </w:tc>
      </w:tr>
    </w:tbl>
    <w:p w:rsidR="003400A3" w:rsidRPr="009164FC" w:rsidRDefault="003400A3" w:rsidP="003400A3">
      <w:pPr>
        <w:rPr>
          <w:rFonts w:ascii="Calibri" w:hAnsi="Calibri"/>
        </w:rPr>
      </w:pPr>
    </w:p>
    <w:p w:rsidR="003400A3" w:rsidRPr="009164FC" w:rsidRDefault="00165E59" w:rsidP="003400A3">
      <w:pPr>
        <w:jc w:val="center"/>
        <w:rPr>
          <w:rFonts w:ascii="Calibri" w:hAnsi="Calibri"/>
          <w:noProof/>
        </w:rPr>
      </w:pPr>
      <w:r>
        <w:rPr>
          <w:rFonts w:ascii="Calibri" w:hAnsi="Calibri"/>
          <w:noProof/>
        </w:rPr>
        <w:drawing>
          <wp:inline distT="0" distB="0" distL="0" distR="0">
            <wp:extent cx="5940933" cy="2159635"/>
            <wp:effectExtent l="6096" t="0" r="6096" b="2540"/>
            <wp:docPr id="1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00A3" w:rsidRPr="009164FC" w:rsidRDefault="003400A3" w:rsidP="003400A3">
      <w:pPr>
        <w:rPr>
          <w:rFonts w:ascii="Calibri" w:hAnsi="Calibri"/>
        </w:rPr>
      </w:pPr>
    </w:p>
    <w:p w:rsidR="0092119B" w:rsidRDefault="0092119B" w:rsidP="003400A3">
      <w:pPr>
        <w:rPr>
          <w:rFonts w:ascii="Calibri" w:hAnsi="Calibri"/>
        </w:rPr>
      </w:pPr>
    </w:p>
    <w:p w:rsidR="0092119B" w:rsidRDefault="0092119B"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3400A3" w:rsidRDefault="003400A3" w:rsidP="003400A3">
      <w:pPr>
        <w:rPr>
          <w:rFonts w:ascii="Calibri" w:hAnsi="Calibri"/>
        </w:rPr>
      </w:pPr>
      <w:r w:rsidRPr="002B4E37">
        <w:rPr>
          <w:rFonts w:ascii="Calibri" w:hAnsi="Calibri"/>
        </w:rPr>
        <w:lastRenderedPageBreak/>
        <w:t>At ML@COT, FY2007 and FY2008 circulation transactions totaled 5,467 and 5,016 respectively, and were identified by status of borrower with the following results:</w:t>
      </w:r>
    </w:p>
    <w:p w:rsidR="003400A3" w:rsidRDefault="003400A3" w:rsidP="003400A3">
      <w:pPr>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05"/>
        <w:gridCol w:w="1061"/>
        <w:gridCol w:w="1061"/>
      </w:tblGrid>
      <w:tr w:rsidR="003400A3" w:rsidRPr="00F8243C" w:rsidTr="00897845">
        <w:trPr>
          <w:jc w:val="center"/>
        </w:trPr>
        <w:tc>
          <w:tcPr>
            <w:tcW w:w="5005" w:type="dxa"/>
          </w:tcPr>
          <w:p w:rsidR="003400A3" w:rsidRPr="0092119B" w:rsidRDefault="0092119B" w:rsidP="0092119B">
            <w:pPr>
              <w:pStyle w:val="NoSpacing"/>
              <w:rPr>
                <w:b/>
              </w:rPr>
            </w:pPr>
            <w:r>
              <w:rPr>
                <w:b/>
              </w:rPr>
              <w:t xml:space="preserve">Patron </w:t>
            </w:r>
            <w:r w:rsidRPr="0092119B">
              <w:rPr>
                <w:b/>
              </w:rPr>
              <w:t>Status</w:t>
            </w:r>
          </w:p>
        </w:tc>
        <w:tc>
          <w:tcPr>
            <w:tcW w:w="935" w:type="dxa"/>
          </w:tcPr>
          <w:p w:rsidR="003400A3" w:rsidRPr="0092119B" w:rsidRDefault="003400A3" w:rsidP="0092119B">
            <w:pPr>
              <w:pStyle w:val="NoSpacing"/>
              <w:rPr>
                <w:b/>
              </w:rPr>
            </w:pPr>
            <w:r w:rsidRPr="0092119B">
              <w:rPr>
                <w:b/>
              </w:rPr>
              <w:t>FY2007</w:t>
            </w:r>
          </w:p>
        </w:tc>
        <w:tc>
          <w:tcPr>
            <w:tcW w:w="935" w:type="dxa"/>
          </w:tcPr>
          <w:p w:rsidR="003400A3" w:rsidRPr="0092119B" w:rsidRDefault="003400A3" w:rsidP="0092119B">
            <w:pPr>
              <w:pStyle w:val="NoSpacing"/>
              <w:rPr>
                <w:b/>
              </w:rPr>
            </w:pPr>
            <w:r w:rsidRPr="0092119B">
              <w:rPr>
                <w:b/>
              </w:rPr>
              <w:t>FY2008</w:t>
            </w:r>
          </w:p>
        </w:tc>
      </w:tr>
      <w:tr w:rsidR="003400A3" w:rsidRPr="00F8243C" w:rsidTr="00897845">
        <w:trPr>
          <w:jc w:val="center"/>
        </w:trPr>
        <w:tc>
          <w:tcPr>
            <w:tcW w:w="5005" w:type="dxa"/>
          </w:tcPr>
          <w:p w:rsidR="003400A3" w:rsidRPr="00F8243C" w:rsidRDefault="003400A3" w:rsidP="0092119B">
            <w:pPr>
              <w:pStyle w:val="NoSpacing"/>
            </w:pPr>
            <w:r w:rsidRPr="00F8243C">
              <w:t>Undergraduate</w:t>
            </w:r>
          </w:p>
        </w:tc>
        <w:tc>
          <w:tcPr>
            <w:tcW w:w="935" w:type="dxa"/>
          </w:tcPr>
          <w:p w:rsidR="003400A3" w:rsidRPr="00F8243C" w:rsidRDefault="003400A3" w:rsidP="0092119B">
            <w:pPr>
              <w:pStyle w:val="NoSpacing"/>
              <w:jc w:val="center"/>
            </w:pPr>
            <w:r>
              <w:t>59</w:t>
            </w:r>
            <w:r w:rsidRPr="00F8243C">
              <w:t>%</w:t>
            </w:r>
          </w:p>
        </w:tc>
        <w:tc>
          <w:tcPr>
            <w:tcW w:w="935" w:type="dxa"/>
          </w:tcPr>
          <w:p w:rsidR="003400A3" w:rsidRPr="002B4E37" w:rsidRDefault="003400A3" w:rsidP="0092119B">
            <w:pPr>
              <w:pStyle w:val="NoSpacing"/>
              <w:jc w:val="center"/>
            </w:pPr>
            <w:r w:rsidRPr="002B4E37">
              <w:t>54%</w:t>
            </w:r>
          </w:p>
        </w:tc>
      </w:tr>
      <w:tr w:rsidR="003400A3" w:rsidRPr="00F8243C" w:rsidTr="00897845">
        <w:trPr>
          <w:jc w:val="center"/>
        </w:trPr>
        <w:tc>
          <w:tcPr>
            <w:tcW w:w="5005" w:type="dxa"/>
          </w:tcPr>
          <w:p w:rsidR="003400A3" w:rsidRPr="00F8243C" w:rsidRDefault="003400A3" w:rsidP="0092119B">
            <w:pPr>
              <w:pStyle w:val="NoSpacing"/>
            </w:pPr>
            <w:r w:rsidRPr="00F8243C">
              <w:t>Faculty</w:t>
            </w:r>
          </w:p>
        </w:tc>
        <w:tc>
          <w:tcPr>
            <w:tcW w:w="935" w:type="dxa"/>
          </w:tcPr>
          <w:p w:rsidR="003400A3" w:rsidRPr="00F8243C" w:rsidRDefault="003400A3" w:rsidP="0092119B">
            <w:pPr>
              <w:pStyle w:val="NoSpacing"/>
              <w:jc w:val="center"/>
            </w:pPr>
            <w:r>
              <w:t>21</w:t>
            </w:r>
            <w:r w:rsidRPr="00F8243C">
              <w:t>%</w:t>
            </w:r>
          </w:p>
        </w:tc>
        <w:tc>
          <w:tcPr>
            <w:tcW w:w="935" w:type="dxa"/>
          </w:tcPr>
          <w:p w:rsidR="003400A3" w:rsidRPr="002B4E37" w:rsidRDefault="003400A3" w:rsidP="0092119B">
            <w:pPr>
              <w:pStyle w:val="NoSpacing"/>
              <w:jc w:val="center"/>
            </w:pPr>
            <w:r>
              <w:t>22%</w:t>
            </w:r>
          </w:p>
        </w:tc>
      </w:tr>
      <w:tr w:rsidR="003400A3" w:rsidRPr="00F8243C" w:rsidTr="00897845">
        <w:trPr>
          <w:jc w:val="center"/>
        </w:trPr>
        <w:tc>
          <w:tcPr>
            <w:tcW w:w="5005" w:type="dxa"/>
          </w:tcPr>
          <w:p w:rsidR="003400A3" w:rsidRPr="00F8243C" w:rsidRDefault="003400A3" w:rsidP="0092119B">
            <w:pPr>
              <w:pStyle w:val="NoSpacing"/>
            </w:pPr>
            <w:r w:rsidRPr="00F8243C">
              <w:t>ILL</w:t>
            </w:r>
          </w:p>
        </w:tc>
        <w:tc>
          <w:tcPr>
            <w:tcW w:w="935" w:type="dxa"/>
          </w:tcPr>
          <w:p w:rsidR="003400A3" w:rsidRPr="00F8243C" w:rsidRDefault="003400A3" w:rsidP="0092119B">
            <w:pPr>
              <w:pStyle w:val="NoSpacing"/>
              <w:jc w:val="center"/>
            </w:pPr>
            <w:r>
              <w:t>7</w:t>
            </w:r>
            <w:r w:rsidRPr="00F8243C">
              <w:t>%</w:t>
            </w:r>
          </w:p>
        </w:tc>
        <w:tc>
          <w:tcPr>
            <w:tcW w:w="935" w:type="dxa"/>
          </w:tcPr>
          <w:p w:rsidR="003400A3" w:rsidRPr="002B4E37" w:rsidRDefault="003400A3" w:rsidP="0092119B">
            <w:pPr>
              <w:pStyle w:val="NoSpacing"/>
              <w:jc w:val="center"/>
            </w:pPr>
            <w:r>
              <w:t>8%</w:t>
            </w:r>
          </w:p>
        </w:tc>
      </w:tr>
      <w:tr w:rsidR="003400A3" w:rsidRPr="00F8243C" w:rsidTr="00897845">
        <w:trPr>
          <w:jc w:val="center"/>
        </w:trPr>
        <w:tc>
          <w:tcPr>
            <w:tcW w:w="5005" w:type="dxa"/>
          </w:tcPr>
          <w:p w:rsidR="003400A3" w:rsidRPr="00F8243C" w:rsidRDefault="003400A3" w:rsidP="0092119B">
            <w:pPr>
              <w:pStyle w:val="NoSpacing"/>
            </w:pPr>
            <w:r w:rsidRPr="00F8243C">
              <w:t>Professional Staff</w:t>
            </w:r>
          </w:p>
        </w:tc>
        <w:tc>
          <w:tcPr>
            <w:tcW w:w="935" w:type="dxa"/>
          </w:tcPr>
          <w:p w:rsidR="003400A3" w:rsidRPr="00F8243C" w:rsidRDefault="003400A3" w:rsidP="0092119B">
            <w:pPr>
              <w:pStyle w:val="NoSpacing"/>
              <w:jc w:val="center"/>
            </w:pPr>
            <w:r>
              <w:t>2</w:t>
            </w:r>
            <w:r w:rsidRPr="00F8243C">
              <w:t>%</w:t>
            </w:r>
          </w:p>
        </w:tc>
        <w:tc>
          <w:tcPr>
            <w:tcW w:w="935" w:type="dxa"/>
          </w:tcPr>
          <w:p w:rsidR="003400A3" w:rsidRPr="002B4E37" w:rsidRDefault="003400A3" w:rsidP="0092119B">
            <w:pPr>
              <w:pStyle w:val="NoSpacing"/>
              <w:jc w:val="center"/>
            </w:pPr>
            <w:r>
              <w:t>6</w:t>
            </w:r>
            <w:r w:rsidRPr="00F8243C">
              <w:t>%</w:t>
            </w:r>
          </w:p>
        </w:tc>
      </w:tr>
      <w:tr w:rsidR="003400A3" w:rsidRPr="00F8243C" w:rsidTr="00897845">
        <w:trPr>
          <w:jc w:val="center"/>
        </w:trPr>
        <w:tc>
          <w:tcPr>
            <w:tcW w:w="5005" w:type="dxa"/>
          </w:tcPr>
          <w:p w:rsidR="003400A3" w:rsidRPr="00F8243C" w:rsidRDefault="003400A3" w:rsidP="0092119B">
            <w:pPr>
              <w:pStyle w:val="NoSpacing"/>
            </w:pPr>
            <w:r w:rsidRPr="00F8243C">
              <w:t>MT Borrowers</w:t>
            </w:r>
          </w:p>
        </w:tc>
        <w:tc>
          <w:tcPr>
            <w:tcW w:w="935" w:type="dxa"/>
          </w:tcPr>
          <w:p w:rsidR="003400A3" w:rsidRPr="00F8243C" w:rsidRDefault="003400A3" w:rsidP="0092119B">
            <w:pPr>
              <w:pStyle w:val="NoSpacing"/>
              <w:jc w:val="center"/>
            </w:pPr>
            <w:r>
              <w:t>2</w:t>
            </w:r>
            <w:r w:rsidRPr="00F8243C">
              <w:t>%</w:t>
            </w:r>
          </w:p>
        </w:tc>
        <w:tc>
          <w:tcPr>
            <w:tcW w:w="935" w:type="dxa"/>
          </w:tcPr>
          <w:p w:rsidR="003400A3" w:rsidRPr="002B4E37" w:rsidRDefault="003400A3" w:rsidP="0092119B">
            <w:pPr>
              <w:pStyle w:val="NoSpacing"/>
              <w:jc w:val="center"/>
            </w:pPr>
            <w:r>
              <w:t>2</w:t>
            </w:r>
            <w:r w:rsidRPr="00F8243C">
              <w:t>%</w:t>
            </w:r>
          </w:p>
        </w:tc>
      </w:tr>
      <w:tr w:rsidR="003400A3" w:rsidRPr="00F8243C" w:rsidTr="00897845">
        <w:trPr>
          <w:jc w:val="center"/>
        </w:trPr>
        <w:tc>
          <w:tcPr>
            <w:tcW w:w="5005" w:type="dxa"/>
          </w:tcPr>
          <w:p w:rsidR="003400A3" w:rsidRPr="00F8243C" w:rsidRDefault="003400A3" w:rsidP="0092119B">
            <w:pPr>
              <w:pStyle w:val="NoSpacing"/>
            </w:pPr>
            <w:r w:rsidRPr="00F8243C">
              <w:t>Graduate</w:t>
            </w:r>
          </w:p>
        </w:tc>
        <w:tc>
          <w:tcPr>
            <w:tcW w:w="935" w:type="dxa"/>
          </w:tcPr>
          <w:p w:rsidR="003400A3" w:rsidRPr="00F8243C" w:rsidRDefault="003400A3" w:rsidP="0092119B">
            <w:pPr>
              <w:pStyle w:val="NoSpacing"/>
              <w:jc w:val="center"/>
            </w:pPr>
            <w:r>
              <w:t>1</w:t>
            </w:r>
            <w:r w:rsidRPr="00F8243C">
              <w:t>%</w:t>
            </w:r>
          </w:p>
        </w:tc>
        <w:tc>
          <w:tcPr>
            <w:tcW w:w="935" w:type="dxa"/>
          </w:tcPr>
          <w:p w:rsidR="003400A3" w:rsidRPr="002B4E37" w:rsidRDefault="003400A3" w:rsidP="0092119B">
            <w:pPr>
              <w:pStyle w:val="NoSpacing"/>
              <w:jc w:val="center"/>
            </w:pPr>
            <w:r>
              <w:t>2%</w:t>
            </w:r>
          </w:p>
        </w:tc>
      </w:tr>
      <w:tr w:rsidR="003400A3" w:rsidRPr="00F8243C" w:rsidTr="00897845">
        <w:trPr>
          <w:jc w:val="center"/>
        </w:trPr>
        <w:tc>
          <w:tcPr>
            <w:tcW w:w="5005" w:type="dxa"/>
          </w:tcPr>
          <w:p w:rsidR="003400A3" w:rsidRPr="00F8243C" w:rsidRDefault="003400A3" w:rsidP="0092119B">
            <w:pPr>
              <w:pStyle w:val="NoSpacing"/>
            </w:pPr>
            <w:r w:rsidRPr="00F8243C">
              <w:t>Staff</w:t>
            </w:r>
          </w:p>
        </w:tc>
        <w:tc>
          <w:tcPr>
            <w:tcW w:w="935" w:type="dxa"/>
          </w:tcPr>
          <w:p w:rsidR="003400A3" w:rsidRPr="00F8243C" w:rsidRDefault="003400A3" w:rsidP="0092119B">
            <w:pPr>
              <w:pStyle w:val="NoSpacing"/>
              <w:jc w:val="center"/>
            </w:pPr>
            <w:r>
              <w:t>7</w:t>
            </w:r>
            <w:r w:rsidRPr="00F8243C">
              <w:t>%</w:t>
            </w:r>
          </w:p>
        </w:tc>
        <w:tc>
          <w:tcPr>
            <w:tcW w:w="935" w:type="dxa"/>
          </w:tcPr>
          <w:p w:rsidR="003400A3" w:rsidRPr="002B4E37" w:rsidRDefault="003400A3" w:rsidP="0092119B">
            <w:pPr>
              <w:pStyle w:val="NoSpacing"/>
              <w:jc w:val="center"/>
            </w:pPr>
            <w:r>
              <w:t>6%</w:t>
            </w:r>
          </w:p>
        </w:tc>
      </w:tr>
      <w:tr w:rsidR="003400A3" w:rsidRPr="00F8243C" w:rsidTr="00897845">
        <w:trPr>
          <w:jc w:val="center"/>
        </w:trPr>
        <w:tc>
          <w:tcPr>
            <w:tcW w:w="5005" w:type="dxa"/>
          </w:tcPr>
          <w:p w:rsidR="003400A3" w:rsidRPr="00F8243C" w:rsidRDefault="003400A3" w:rsidP="0092119B">
            <w:pPr>
              <w:pStyle w:val="NoSpacing"/>
            </w:pPr>
            <w:r w:rsidRPr="00F8243C">
              <w:t>Other</w:t>
            </w:r>
          </w:p>
        </w:tc>
        <w:tc>
          <w:tcPr>
            <w:tcW w:w="935" w:type="dxa"/>
          </w:tcPr>
          <w:p w:rsidR="003400A3" w:rsidRPr="00F8243C" w:rsidRDefault="003400A3" w:rsidP="0092119B">
            <w:pPr>
              <w:pStyle w:val="NoSpacing"/>
              <w:jc w:val="center"/>
            </w:pPr>
            <w:r>
              <w:t>&lt; 1</w:t>
            </w:r>
            <w:r w:rsidRPr="00210644">
              <w:t>%</w:t>
            </w:r>
          </w:p>
        </w:tc>
        <w:tc>
          <w:tcPr>
            <w:tcW w:w="935" w:type="dxa"/>
          </w:tcPr>
          <w:p w:rsidR="003400A3" w:rsidRPr="002B4E37" w:rsidRDefault="003400A3" w:rsidP="0092119B">
            <w:pPr>
              <w:pStyle w:val="NoSpacing"/>
              <w:jc w:val="center"/>
            </w:pPr>
            <w:r>
              <w:t>&lt; 1</w:t>
            </w:r>
            <w:r w:rsidRPr="00210644">
              <w:t>%</w:t>
            </w:r>
          </w:p>
        </w:tc>
      </w:tr>
      <w:tr w:rsidR="003400A3" w:rsidRPr="00F8243C" w:rsidTr="00897845">
        <w:trPr>
          <w:jc w:val="center"/>
        </w:trPr>
        <w:tc>
          <w:tcPr>
            <w:tcW w:w="5005" w:type="dxa"/>
          </w:tcPr>
          <w:p w:rsidR="003400A3" w:rsidRPr="00F8243C" w:rsidRDefault="003400A3" w:rsidP="0092119B">
            <w:pPr>
              <w:pStyle w:val="NoSpacing"/>
            </w:pPr>
            <w:r w:rsidRPr="00F8243C">
              <w:t>Alumni/Visiting Scholars/Community Borrowers</w:t>
            </w:r>
          </w:p>
        </w:tc>
        <w:tc>
          <w:tcPr>
            <w:tcW w:w="935" w:type="dxa"/>
          </w:tcPr>
          <w:p w:rsidR="003400A3" w:rsidRPr="00F8243C" w:rsidRDefault="003400A3" w:rsidP="0092119B">
            <w:pPr>
              <w:pStyle w:val="NoSpacing"/>
              <w:jc w:val="center"/>
            </w:pPr>
            <w:r>
              <w:t>&lt; 1</w:t>
            </w:r>
            <w:r w:rsidRPr="00210644">
              <w:t>%</w:t>
            </w:r>
          </w:p>
        </w:tc>
        <w:tc>
          <w:tcPr>
            <w:tcW w:w="935" w:type="dxa"/>
          </w:tcPr>
          <w:p w:rsidR="003400A3" w:rsidRPr="002B4E37" w:rsidRDefault="003400A3" w:rsidP="0092119B">
            <w:pPr>
              <w:pStyle w:val="NoSpacing"/>
              <w:jc w:val="center"/>
            </w:pPr>
            <w:r>
              <w:t>&lt; 1</w:t>
            </w:r>
            <w:r w:rsidRPr="00210644">
              <w:t>%</w:t>
            </w:r>
          </w:p>
        </w:tc>
      </w:tr>
    </w:tbl>
    <w:p w:rsidR="003400A3" w:rsidRPr="009164FC" w:rsidRDefault="003400A3" w:rsidP="003400A3">
      <w:pPr>
        <w:rPr>
          <w:rFonts w:ascii="Calibri" w:hAnsi="Calibri"/>
        </w:rPr>
      </w:pPr>
    </w:p>
    <w:p w:rsidR="003400A3" w:rsidRPr="009164FC" w:rsidRDefault="00165E59" w:rsidP="003400A3">
      <w:pPr>
        <w:jc w:val="center"/>
        <w:rPr>
          <w:rFonts w:ascii="Calibri" w:hAnsi="Calibri"/>
          <w:noProof/>
        </w:rPr>
      </w:pPr>
      <w:r>
        <w:rPr>
          <w:rFonts w:ascii="Calibri" w:hAnsi="Calibri"/>
          <w:noProof/>
        </w:rPr>
        <w:drawing>
          <wp:inline distT="0" distB="0" distL="0" distR="0">
            <wp:extent cx="5940933" cy="3190875"/>
            <wp:effectExtent l="6096" t="0" r="6096" b="0"/>
            <wp:docPr id="1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400A3" w:rsidRPr="009164FC" w:rsidRDefault="003400A3" w:rsidP="003400A3">
      <w:pPr>
        <w:jc w:val="center"/>
        <w:rPr>
          <w:rFonts w:ascii="Calibri" w:hAnsi="Calibri"/>
          <w:noProof/>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Interlibrary Loan</w:t>
      </w:r>
    </w:p>
    <w:p w:rsidR="003400A3" w:rsidRDefault="003400A3" w:rsidP="003400A3">
      <w:pPr>
        <w:rPr>
          <w:rFonts w:ascii="Calibri" w:hAnsi="Calibri"/>
        </w:rPr>
      </w:pPr>
      <w:r w:rsidRPr="00C53439">
        <w:rPr>
          <w:rFonts w:ascii="Calibri" w:hAnsi="Calibri"/>
        </w:rPr>
        <w:t>FY2007 and FY2008 interlibrary loan transactions totaled 14,983 and 16,449 respectively and were identified by status of borr</w:t>
      </w:r>
      <w:r>
        <w:rPr>
          <w:rFonts w:ascii="Calibri" w:hAnsi="Calibri"/>
        </w:rPr>
        <w:t>ower with the following results. See Chart 19 for details.</w:t>
      </w:r>
    </w:p>
    <w:p w:rsidR="003400A3" w:rsidRPr="00C53439" w:rsidRDefault="003400A3" w:rsidP="003400A3">
      <w:pPr>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05"/>
        <w:gridCol w:w="1131"/>
        <w:gridCol w:w="1061"/>
      </w:tblGrid>
      <w:tr w:rsidR="003400A3" w:rsidRPr="00F8243C" w:rsidTr="0092119B">
        <w:trPr>
          <w:jc w:val="center"/>
        </w:trPr>
        <w:tc>
          <w:tcPr>
            <w:tcW w:w="1805" w:type="dxa"/>
          </w:tcPr>
          <w:p w:rsidR="003400A3" w:rsidRPr="0092119B" w:rsidRDefault="0092119B" w:rsidP="0092119B">
            <w:pPr>
              <w:pStyle w:val="NoSpacing"/>
              <w:rPr>
                <w:b/>
              </w:rPr>
            </w:pPr>
            <w:r w:rsidRPr="0092119B">
              <w:rPr>
                <w:b/>
              </w:rPr>
              <w:t>Patron Status</w:t>
            </w:r>
          </w:p>
        </w:tc>
        <w:tc>
          <w:tcPr>
            <w:tcW w:w="1131" w:type="dxa"/>
          </w:tcPr>
          <w:p w:rsidR="003400A3" w:rsidRPr="0092119B" w:rsidRDefault="003400A3" w:rsidP="0092119B">
            <w:pPr>
              <w:pStyle w:val="NoSpacing"/>
              <w:rPr>
                <w:b/>
              </w:rPr>
            </w:pPr>
            <w:r w:rsidRPr="0092119B">
              <w:rPr>
                <w:b/>
              </w:rPr>
              <w:t>FY2007</w:t>
            </w:r>
          </w:p>
        </w:tc>
        <w:tc>
          <w:tcPr>
            <w:tcW w:w="991" w:type="dxa"/>
          </w:tcPr>
          <w:p w:rsidR="003400A3" w:rsidRPr="0092119B" w:rsidRDefault="003400A3" w:rsidP="0092119B">
            <w:pPr>
              <w:pStyle w:val="NoSpacing"/>
              <w:rPr>
                <w:b/>
              </w:rPr>
            </w:pPr>
            <w:r w:rsidRPr="0092119B">
              <w:rPr>
                <w:b/>
              </w:rPr>
              <w:t>FY2008</w:t>
            </w:r>
          </w:p>
        </w:tc>
      </w:tr>
      <w:tr w:rsidR="003400A3" w:rsidRPr="00F8243C" w:rsidTr="0092119B">
        <w:trPr>
          <w:jc w:val="center"/>
        </w:trPr>
        <w:tc>
          <w:tcPr>
            <w:tcW w:w="1805" w:type="dxa"/>
          </w:tcPr>
          <w:p w:rsidR="003400A3" w:rsidRPr="00F8243C" w:rsidRDefault="003400A3" w:rsidP="0092119B">
            <w:pPr>
              <w:pStyle w:val="NoSpacing"/>
            </w:pPr>
            <w:r w:rsidRPr="00F8243C">
              <w:t>Graduate</w:t>
            </w:r>
          </w:p>
        </w:tc>
        <w:tc>
          <w:tcPr>
            <w:tcW w:w="1131" w:type="dxa"/>
          </w:tcPr>
          <w:p w:rsidR="003400A3" w:rsidRPr="00F8243C" w:rsidRDefault="003400A3" w:rsidP="0092119B">
            <w:pPr>
              <w:pStyle w:val="NoSpacing"/>
              <w:jc w:val="center"/>
            </w:pPr>
            <w:r>
              <w:t>43</w:t>
            </w:r>
            <w:r w:rsidRPr="00F8243C">
              <w:t>%</w:t>
            </w:r>
          </w:p>
        </w:tc>
        <w:tc>
          <w:tcPr>
            <w:tcW w:w="991" w:type="dxa"/>
          </w:tcPr>
          <w:p w:rsidR="003400A3" w:rsidRPr="00F8243C" w:rsidRDefault="003400A3" w:rsidP="0092119B">
            <w:pPr>
              <w:pStyle w:val="NoSpacing"/>
              <w:jc w:val="center"/>
            </w:pPr>
            <w:r>
              <w:t>41</w:t>
            </w:r>
            <w:r w:rsidRPr="00F8243C">
              <w:t>%</w:t>
            </w:r>
          </w:p>
        </w:tc>
      </w:tr>
      <w:tr w:rsidR="003400A3" w:rsidRPr="00F8243C" w:rsidTr="0092119B">
        <w:trPr>
          <w:jc w:val="center"/>
        </w:trPr>
        <w:tc>
          <w:tcPr>
            <w:tcW w:w="1805" w:type="dxa"/>
          </w:tcPr>
          <w:p w:rsidR="003400A3" w:rsidRPr="00F8243C" w:rsidRDefault="003400A3" w:rsidP="0092119B">
            <w:pPr>
              <w:pStyle w:val="NoSpacing"/>
            </w:pPr>
            <w:r w:rsidRPr="00F8243C">
              <w:t>Faculty</w:t>
            </w:r>
          </w:p>
        </w:tc>
        <w:tc>
          <w:tcPr>
            <w:tcW w:w="1131" w:type="dxa"/>
          </w:tcPr>
          <w:p w:rsidR="003400A3" w:rsidRPr="00F8243C" w:rsidRDefault="003400A3" w:rsidP="0092119B">
            <w:pPr>
              <w:pStyle w:val="NoSpacing"/>
              <w:jc w:val="center"/>
            </w:pPr>
            <w:r>
              <w:t>25</w:t>
            </w:r>
            <w:r w:rsidRPr="00F8243C">
              <w:t>%</w:t>
            </w:r>
          </w:p>
        </w:tc>
        <w:tc>
          <w:tcPr>
            <w:tcW w:w="991" w:type="dxa"/>
          </w:tcPr>
          <w:p w:rsidR="003400A3" w:rsidRPr="00F8243C" w:rsidRDefault="003400A3" w:rsidP="0092119B">
            <w:pPr>
              <w:pStyle w:val="NoSpacing"/>
              <w:jc w:val="center"/>
            </w:pPr>
            <w:r>
              <w:t>25</w:t>
            </w:r>
            <w:r w:rsidRPr="00F8243C">
              <w:t>%</w:t>
            </w:r>
          </w:p>
        </w:tc>
      </w:tr>
      <w:tr w:rsidR="003400A3" w:rsidRPr="00F8243C" w:rsidTr="0092119B">
        <w:trPr>
          <w:jc w:val="center"/>
        </w:trPr>
        <w:tc>
          <w:tcPr>
            <w:tcW w:w="1805" w:type="dxa"/>
          </w:tcPr>
          <w:p w:rsidR="003400A3" w:rsidRPr="00F8243C" w:rsidRDefault="003400A3" w:rsidP="0092119B">
            <w:pPr>
              <w:pStyle w:val="NoSpacing"/>
            </w:pPr>
            <w:r w:rsidRPr="00F8243C">
              <w:t>Undergraduate</w:t>
            </w:r>
          </w:p>
        </w:tc>
        <w:tc>
          <w:tcPr>
            <w:tcW w:w="1131" w:type="dxa"/>
          </w:tcPr>
          <w:p w:rsidR="003400A3" w:rsidRPr="00F8243C" w:rsidRDefault="003400A3" w:rsidP="0092119B">
            <w:pPr>
              <w:pStyle w:val="NoSpacing"/>
              <w:jc w:val="center"/>
            </w:pPr>
            <w:r>
              <w:t>19</w:t>
            </w:r>
            <w:r w:rsidRPr="00F8243C">
              <w:t>%</w:t>
            </w:r>
          </w:p>
        </w:tc>
        <w:tc>
          <w:tcPr>
            <w:tcW w:w="991" w:type="dxa"/>
          </w:tcPr>
          <w:p w:rsidR="003400A3" w:rsidRPr="00F8243C" w:rsidRDefault="003400A3" w:rsidP="0092119B">
            <w:pPr>
              <w:pStyle w:val="NoSpacing"/>
              <w:jc w:val="center"/>
            </w:pPr>
            <w:r>
              <w:t>22%</w:t>
            </w:r>
          </w:p>
        </w:tc>
      </w:tr>
      <w:tr w:rsidR="003400A3" w:rsidRPr="00F8243C" w:rsidTr="0092119B">
        <w:trPr>
          <w:jc w:val="center"/>
        </w:trPr>
        <w:tc>
          <w:tcPr>
            <w:tcW w:w="1805" w:type="dxa"/>
          </w:tcPr>
          <w:p w:rsidR="003400A3" w:rsidRPr="00F8243C" w:rsidRDefault="003400A3" w:rsidP="0092119B">
            <w:pPr>
              <w:pStyle w:val="NoSpacing"/>
            </w:pPr>
            <w:r w:rsidRPr="00F8243C">
              <w:t>Staff</w:t>
            </w:r>
          </w:p>
        </w:tc>
        <w:tc>
          <w:tcPr>
            <w:tcW w:w="1131" w:type="dxa"/>
          </w:tcPr>
          <w:p w:rsidR="003400A3" w:rsidRPr="00F8243C" w:rsidRDefault="003400A3" w:rsidP="0092119B">
            <w:pPr>
              <w:pStyle w:val="NoSpacing"/>
              <w:jc w:val="center"/>
            </w:pPr>
            <w:r>
              <w:t>11</w:t>
            </w:r>
            <w:r w:rsidRPr="00F8243C">
              <w:t>%</w:t>
            </w:r>
          </w:p>
        </w:tc>
        <w:tc>
          <w:tcPr>
            <w:tcW w:w="991" w:type="dxa"/>
          </w:tcPr>
          <w:p w:rsidR="003400A3" w:rsidRPr="00F8243C" w:rsidRDefault="003400A3" w:rsidP="0092119B">
            <w:pPr>
              <w:pStyle w:val="NoSpacing"/>
              <w:jc w:val="center"/>
            </w:pPr>
            <w:r>
              <w:t>10%</w:t>
            </w:r>
          </w:p>
        </w:tc>
      </w:tr>
      <w:tr w:rsidR="003400A3" w:rsidRPr="00F8243C" w:rsidTr="0092119B">
        <w:trPr>
          <w:jc w:val="center"/>
        </w:trPr>
        <w:tc>
          <w:tcPr>
            <w:tcW w:w="1805" w:type="dxa"/>
          </w:tcPr>
          <w:p w:rsidR="003400A3" w:rsidRPr="00F8243C" w:rsidRDefault="003400A3" w:rsidP="0092119B">
            <w:pPr>
              <w:pStyle w:val="NoSpacing"/>
            </w:pPr>
            <w:r w:rsidRPr="00F8243C">
              <w:t>Distance Ed</w:t>
            </w:r>
          </w:p>
        </w:tc>
        <w:tc>
          <w:tcPr>
            <w:tcW w:w="1131" w:type="dxa"/>
          </w:tcPr>
          <w:p w:rsidR="003400A3" w:rsidRPr="00F8243C" w:rsidRDefault="003400A3" w:rsidP="0092119B">
            <w:pPr>
              <w:pStyle w:val="NoSpacing"/>
              <w:jc w:val="center"/>
            </w:pPr>
            <w:r>
              <w:t>1</w:t>
            </w:r>
            <w:r w:rsidRPr="00F8243C">
              <w:t>%</w:t>
            </w:r>
          </w:p>
        </w:tc>
        <w:tc>
          <w:tcPr>
            <w:tcW w:w="991" w:type="dxa"/>
          </w:tcPr>
          <w:p w:rsidR="003400A3" w:rsidRPr="00F8243C" w:rsidRDefault="003400A3" w:rsidP="0092119B">
            <w:pPr>
              <w:pStyle w:val="NoSpacing"/>
              <w:jc w:val="center"/>
            </w:pPr>
            <w:r>
              <w:t>2</w:t>
            </w:r>
            <w:r w:rsidRPr="00F8243C">
              <w:t>%</w:t>
            </w:r>
          </w:p>
        </w:tc>
      </w:tr>
      <w:tr w:rsidR="003400A3" w:rsidRPr="00F8243C" w:rsidTr="0092119B">
        <w:trPr>
          <w:jc w:val="center"/>
        </w:trPr>
        <w:tc>
          <w:tcPr>
            <w:tcW w:w="1805" w:type="dxa"/>
          </w:tcPr>
          <w:p w:rsidR="003400A3" w:rsidRPr="00F8243C" w:rsidRDefault="003400A3" w:rsidP="0092119B">
            <w:pPr>
              <w:pStyle w:val="NoSpacing"/>
            </w:pPr>
            <w:r w:rsidRPr="00F8243C">
              <w:t>Other</w:t>
            </w:r>
          </w:p>
        </w:tc>
        <w:tc>
          <w:tcPr>
            <w:tcW w:w="1131" w:type="dxa"/>
          </w:tcPr>
          <w:p w:rsidR="003400A3" w:rsidRPr="00F8243C" w:rsidRDefault="003400A3" w:rsidP="0092119B">
            <w:pPr>
              <w:pStyle w:val="NoSpacing"/>
              <w:jc w:val="center"/>
            </w:pPr>
            <w:r>
              <w:t>&lt; 0</w:t>
            </w:r>
            <w:r w:rsidRPr="00F8243C">
              <w:t>%</w:t>
            </w:r>
          </w:p>
        </w:tc>
        <w:tc>
          <w:tcPr>
            <w:tcW w:w="991" w:type="dxa"/>
          </w:tcPr>
          <w:p w:rsidR="003400A3" w:rsidRPr="00F8243C" w:rsidRDefault="003400A3" w:rsidP="0092119B">
            <w:pPr>
              <w:pStyle w:val="NoSpacing"/>
              <w:jc w:val="center"/>
            </w:pPr>
            <w:r>
              <w:t>&lt; 0</w:t>
            </w:r>
            <w:r w:rsidRPr="00F8243C">
              <w:t>%</w:t>
            </w:r>
          </w:p>
        </w:tc>
      </w:tr>
    </w:tbl>
    <w:p w:rsidR="003400A3" w:rsidRPr="009164FC" w:rsidRDefault="003400A3" w:rsidP="003400A3">
      <w:pPr>
        <w:rPr>
          <w:rFonts w:ascii="Calibri" w:hAnsi="Calibri"/>
        </w:rPr>
      </w:pPr>
    </w:p>
    <w:p w:rsidR="003400A3" w:rsidRPr="009164FC" w:rsidRDefault="00165E59" w:rsidP="003400A3">
      <w:pPr>
        <w:jc w:val="center"/>
        <w:rPr>
          <w:rFonts w:ascii="Calibri" w:hAnsi="Calibri"/>
        </w:rPr>
      </w:pPr>
      <w:r>
        <w:rPr>
          <w:rFonts w:ascii="Calibri" w:hAnsi="Calibri"/>
          <w:noProof/>
        </w:rPr>
        <w:drawing>
          <wp:inline distT="0" distB="0" distL="0" distR="0">
            <wp:extent cx="5940933" cy="2228850"/>
            <wp:effectExtent l="6096" t="0" r="6096" b="0"/>
            <wp:docPr id="2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00A3" w:rsidRPr="009164FC" w:rsidRDefault="003400A3"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rPr>
      </w:pPr>
      <w:r w:rsidRPr="009164FC">
        <w:rPr>
          <w:rFonts w:ascii="Calibri" w:hAnsi="Calibri"/>
          <w:b/>
        </w:rPr>
        <w:t>Instruction</w:t>
      </w:r>
    </w:p>
    <w:p w:rsidR="003400A3" w:rsidRPr="008C20ED" w:rsidRDefault="003400A3" w:rsidP="003400A3">
      <w:pPr>
        <w:rPr>
          <w:rFonts w:ascii="Calibri" w:hAnsi="Calibri"/>
        </w:rPr>
      </w:pPr>
      <w:r w:rsidRPr="008C20ED">
        <w:rPr>
          <w:rFonts w:ascii="Calibri" w:hAnsi="Calibri"/>
        </w:rPr>
        <w:t xml:space="preserve">A total of 431 classes were analyzed by academic level for FY2007, </w:t>
      </w:r>
      <w:r w:rsidRPr="00B23C9B">
        <w:rPr>
          <w:rFonts w:ascii="Calibri" w:hAnsi="Calibri"/>
        </w:rPr>
        <w:t>and 445</w:t>
      </w:r>
      <w:r w:rsidRPr="008C20ED">
        <w:rPr>
          <w:rFonts w:ascii="Calibri" w:hAnsi="Calibri"/>
        </w:rPr>
        <w:t xml:space="preserve"> for FY2008</w:t>
      </w:r>
      <w:r>
        <w:rPr>
          <w:rFonts w:ascii="Calibri" w:hAnsi="Calibri"/>
        </w:rPr>
        <w:t>,</w:t>
      </w:r>
      <w:r w:rsidRPr="008C20ED">
        <w:rPr>
          <w:rFonts w:ascii="Calibri" w:hAnsi="Calibri"/>
        </w:rPr>
        <w:t xml:space="preserve"> with the following results. See Chart 20 for details.</w:t>
      </w:r>
    </w:p>
    <w:p w:rsidR="003400A3" w:rsidRPr="009164FC" w:rsidRDefault="003400A3" w:rsidP="003400A3">
      <w:pPr>
        <w:rPr>
          <w:rFonts w:ascii="Calibri" w:hAnsi="Calibri"/>
          <w:highlight w:val="lightGray"/>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90"/>
        <w:gridCol w:w="1061"/>
        <w:gridCol w:w="1061"/>
      </w:tblGrid>
      <w:tr w:rsidR="003400A3" w:rsidRPr="00D20904" w:rsidTr="0092119B">
        <w:trPr>
          <w:jc w:val="center"/>
        </w:trPr>
        <w:tc>
          <w:tcPr>
            <w:tcW w:w="1890" w:type="dxa"/>
          </w:tcPr>
          <w:p w:rsidR="003400A3" w:rsidRPr="0092119B" w:rsidRDefault="0092119B" w:rsidP="0092119B">
            <w:pPr>
              <w:pStyle w:val="NoSpacing"/>
              <w:rPr>
                <w:b/>
              </w:rPr>
            </w:pPr>
            <w:r>
              <w:rPr>
                <w:b/>
              </w:rPr>
              <w:t xml:space="preserve">Patron </w:t>
            </w:r>
            <w:r w:rsidRPr="0092119B">
              <w:rPr>
                <w:b/>
              </w:rPr>
              <w:t>Status</w:t>
            </w:r>
          </w:p>
        </w:tc>
        <w:tc>
          <w:tcPr>
            <w:tcW w:w="865" w:type="dxa"/>
          </w:tcPr>
          <w:p w:rsidR="003400A3" w:rsidRPr="0092119B" w:rsidRDefault="003400A3" w:rsidP="0092119B">
            <w:pPr>
              <w:pStyle w:val="NoSpacing"/>
              <w:rPr>
                <w:b/>
              </w:rPr>
            </w:pPr>
            <w:r w:rsidRPr="0092119B">
              <w:rPr>
                <w:b/>
              </w:rPr>
              <w:t>FY2007</w:t>
            </w:r>
          </w:p>
        </w:tc>
        <w:tc>
          <w:tcPr>
            <w:tcW w:w="1061" w:type="dxa"/>
          </w:tcPr>
          <w:p w:rsidR="003400A3" w:rsidRPr="0092119B" w:rsidRDefault="003400A3" w:rsidP="0092119B">
            <w:pPr>
              <w:pStyle w:val="NoSpacing"/>
              <w:rPr>
                <w:b/>
              </w:rPr>
            </w:pPr>
            <w:r w:rsidRPr="0092119B">
              <w:rPr>
                <w:b/>
              </w:rPr>
              <w:t>FY2008</w:t>
            </w:r>
          </w:p>
        </w:tc>
      </w:tr>
      <w:tr w:rsidR="003400A3" w:rsidRPr="00D20904" w:rsidTr="0092119B">
        <w:trPr>
          <w:jc w:val="center"/>
        </w:trPr>
        <w:tc>
          <w:tcPr>
            <w:tcW w:w="1890" w:type="dxa"/>
          </w:tcPr>
          <w:p w:rsidR="003400A3" w:rsidRPr="00D20904" w:rsidRDefault="003400A3" w:rsidP="0092119B">
            <w:pPr>
              <w:pStyle w:val="NoSpacing"/>
            </w:pPr>
            <w:r w:rsidRPr="00D20904">
              <w:t>Freshman</w:t>
            </w:r>
          </w:p>
        </w:tc>
        <w:tc>
          <w:tcPr>
            <w:tcW w:w="865" w:type="dxa"/>
          </w:tcPr>
          <w:p w:rsidR="003400A3" w:rsidRPr="00D20904" w:rsidRDefault="003400A3" w:rsidP="0092119B">
            <w:pPr>
              <w:pStyle w:val="NoSpacing"/>
              <w:jc w:val="center"/>
            </w:pPr>
            <w:r>
              <w:t>38</w:t>
            </w:r>
            <w:r w:rsidRPr="00D20904">
              <w:t>%</w:t>
            </w:r>
          </w:p>
        </w:tc>
        <w:tc>
          <w:tcPr>
            <w:tcW w:w="1061" w:type="dxa"/>
          </w:tcPr>
          <w:p w:rsidR="003400A3" w:rsidRPr="00E0789F" w:rsidRDefault="003400A3" w:rsidP="0092119B">
            <w:pPr>
              <w:pStyle w:val="NoSpacing"/>
              <w:jc w:val="center"/>
            </w:pPr>
            <w:r>
              <w:t>46%</w:t>
            </w:r>
          </w:p>
        </w:tc>
      </w:tr>
      <w:tr w:rsidR="003400A3" w:rsidRPr="00D20904" w:rsidTr="0092119B">
        <w:trPr>
          <w:jc w:val="center"/>
        </w:trPr>
        <w:tc>
          <w:tcPr>
            <w:tcW w:w="1890" w:type="dxa"/>
          </w:tcPr>
          <w:p w:rsidR="003400A3" w:rsidRPr="00D20904" w:rsidRDefault="003400A3" w:rsidP="0092119B">
            <w:pPr>
              <w:pStyle w:val="NoSpacing"/>
            </w:pPr>
            <w:r w:rsidRPr="00D20904">
              <w:t>Junior</w:t>
            </w:r>
          </w:p>
        </w:tc>
        <w:tc>
          <w:tcPr>
            <w:tcW w:w="865" w:type="dxa"/>
          </w:tcPr>
          <w:p w:rsidR="003400A3" w:rsidRPr="00D20904" w:rsidRDefault="003400A3" w:rsidP="0092119B">
            <w:pPr>
              <w:pStyle w:val="NoSpacing"/>
              <w:jc w:val="center"/>
            </w:pPr>
            <w:r>
              <w:t>19</w:t>
            </w:r>
            <w:r w:rsidRPr="00D20904">
              <w:t>%</w:t>
            </w:r>
          </w:p>
        </w:tc>
        <w:tc>
          <w:tcPr>
            <w:tcW w:w="1061" w:type="dxa"/>
          </w:tcPr>
          <w:p w:rsidR="003400A3" w:rsidRPr="00E0789F" w:rsidRDefault="003400A3" w:rsidP="0092119B">
            <w:pPr>
              <w:pStyle w:val="NoSpacing"/>
              <w:jc w:val="center"/>
            </w:pPr>
            <w:r>
              <w:t>19%</w:t>
            </w:r>
          </w:p>
        </w:tc>
      </w:tr>
      <w:tr w:rsidR="003400A3" w:rsidRPr="00D20904" w:rsidTr="0092119B">
        <w:trPr>
          <w:jc w:val="center"/>
        </w:trPr>
        <w:tc>
          <w:tcPr>
            <w:tcW w:w="1890" w:type="dxa"/>
          </w:tcPr>
          <w:p w:rsidR="003400A3" w:rsidRPr="00D20904" w:rsidRDefault="003400A3" w:rsidP="0092119B">
            <w:pPr>
              <w:pStyle w:val="NoSpacing"/>
            </w:pPr>
            <w:r w:rsidRPr="00D20904">
              <w:t>Graduate</w:t>
            </w:r>
          </w:p>
        </w:tc>
        <w:tc>
          <w:tcPr>
            <w:tcW w:w="865" w:type="dxa"/>
          </w:tcPr>
          <w:p w:rsidR="003400A3" w:rsidRPr="00D20904" w:rsidRDefault="003400A3" w:rsidP="0092119B">
            <w:pPr>
              <w:pStyle w:val="NoSpacing"/>
              <w:jc w:val="center"/>
            </w:pPr>
            <w:r>
              <w:t>16</w:t>
            </w:r>
            <w:r w:rsidRPr="00D20904">
              <w:t>%</w:t>
            </w:r>
          </w:p>
        </w:tc>
        <w:tc>
          <w:tcPr>
            <w:tcW w:w="1061" w:type="dxa"/>
          </w:tcPr>
          <w:p w:rsidR="003400A3" w:rsidRPr="00E0789F" w:rsidRDefault="003400A3" w:rsidP="0092119B">
            <w:pPr>
              <w:pStyle w:val="NoSpacing"/>
              <w:jc w:val="center"/>
            </w:pPr>
            <w:r>
              <w:t>8%</w:t>
            </w:r>
          </w:p>
        </w:tc>
      </w:tr>
      <w:tr w:rsidR="003400A3" w:rsidRPr="00D20904" w:rsidTr="0092119B">
        <w:trPr>
          <w:jc w:val="center"/>
        </w:trPr>
        <w:tc>
          <w:tcPr>
            <w:tcW w:w="1890" w:type="dxa"/>
          </w:tcPr>
          <w:p w:rsidR="003400A3" w:rsidRPr="00D20904" w:rsidRDefault="003400A3" w:rsidP="0092119B">
            <w:pPr>
              <w:pStyle w:val="NoSpacing"/>
            </w:pPr>
            <w:r w:rsidRPr="00D20904">
              <w:t>Sophomore</w:t>
            </w:r>
          </w:p>
        </w:tc>
        <w:tc>
          <w:tcPr>
            <w:tcW w:w="865" w:type="dxa"/>
          </w:tcPr>
          <w:p w:rsidR="003400A3" w:rsidRPr="00D20904" w:rsidRDefault="003400A3" w:rsidP="0092119B">
            <w:pPr>
              <w:pStyle w:val="NoSpacing"/>
              <w:jc w:val="center"/>
            </w:pPr>
            <w:r>
              <w:t>12</w:t>
            </w:r>
            <w:r w:rsidRPr="00D20904">
              <w:t>%</w:t>
            </w:r>
          </w:p>
        </w:tc>
        <w:tc>
          <w:tcPr>
            <w:tcW w:w="1061" w:type="dxa"/>
          </w:tcPr>
          <w:p w:rsidR="003400A3" w:rsidRPr="00E0789F" w:rsidRDefault="003400A3" w:rsidP="0092119B">
            <w:pPr>
              <w:pStyle w:val="NoSpacing"/>
              <w:jc w:val="center"/>
            </w:pPr>
            <w:r>
              <w:t>12%</w:t>
            </w:r>
          </w:p>
        </w:tc>
      </w:tr>
      <w:tr w:rsidR="003400A3" w:rsidRPr="00D20904" w:rsidTr="0092119B">
        <w:trPr>
          <w:jc w:val="center"/>
        </w:trPr>
        <w:tc>
          <w:tcPr>
            <w:tcW w:w="1890" w:type="dxa"/>
          </w:tcPr>
          <w:p w:rsidR="003400A3" w:rsidRPr="00D20904" w:rsidRDefault="003400A3" w:rsidP="0092119B">
            <w:pPr>
              <w:pStyle w:val="NoSpacing"/>
            </w:pPr>
            <w:r w:rsidRPr="00D20904">
              <w:t>Senior</w:t>
            </w:r>
          </w:p>
        </w:tc>
        <w:tc>
          <w:tcPr>
            <w:tcW w:w="865" w:type="dxa"/>
          </w:tcPr>
          <w:p w:rsidR="003400A3" w:rsidRPr="00D20904" w:rsidRDefault="003400A3" w:rsidP="0092119B">
            <w:pPr>
              <w:pStyle w:val="NoSpacing"/>
              <w:jc w:val="center"/>
            </w:pPr>
            <w:r>
              <w:t>10</w:t>
            </w:r>
            <w:r w:rsidRPr="00D20904">
              <w:t>%</w:t>
            </w:r>
          </w:p>
        </w:tc>
        <w:tc>
          <w:tcPr>
            <w:tcW w:w="1061" w:type="dxa"/>
          </w:tcPr>
          <w:p w:rsidR="003400A3" w:rsidRPr="00E0789F" w:rsidRDefault="003400A3" w:rsidP="0092119B">
            <w:pPr>
              <w:pStyle w:val="NoSpacing"/>
              <w:jc w:val="center"/>
            </w:pPr>
            <w:r>
              <w:t>9%</w:t>
            </w:r>
          </w:p>
        </w:tc>
      </w:tr>
      <w:tr w:rsidR="003400A3" w:rsidRPr="00F66FE5" w:rsidTr="0092119B">
        <w:trPr>
          <w:jc w:val="center"/>
        </w:trPr>
        <w:tc>
          <w:tcPr>
            <w:tcW w:w="1890" w:type="dxa"/>
          </w:tcPr>
          <w:p w:rsidR="003400A3" w:rsidRPr="00F66FE5" w:rsidRDefault="003400A3" w:rsidP="0092119B">
            <w:pPr>
              <w:pStyle w:val="NoSpacing"/>
            </w:pPr>
            <w:r w:rsidRPr="00F66FE5">
              <w:t>High School</w:t>
            </w:r>
          </w:p>
        </w:tc>
        <w:tc>
          <w:tcPr>
            <w:tcW w:w="865" w:type="dxa"/>
          </w:tcPr>
          <w:p w:rsidR="003400A3" w:rsidRPr="00F66FE5" w:rsidRDefault="003400A3" w:rsidP="0092119B">
            <w:pPr>
              <w:pStyle w:val="NoSpacing"/>
              <w:jc w:val="center"/>
            </w:pPr>
            <w:r w:rsidRPr="00F66FE5">
              <w:t>4%</w:t>
            </w:r>
          </w:p>
        </w:tc>
        <w:tc>
          <w:tcPr>
            <w:tcW w:w="1061" w:type="dxa"/>
          </w:tcPr>
          <w:p w:rsidR="003400A3" w:rsidRPr="00E0789F" w:rsidRDefault="003400A3" w:rsidP="0092119B">
            <w:pPr>
              <w:pStyle w:val="NoSpacing"/>
              <w:jc w:val="center"/>
            </w:pPr>
            <w:r>
              <w:t>5%</w:t>
            </w:r>
          </w:p>
        </w:tc>
      </w:tr>
    </w:tbl>
    <w:p w:rsidR="003400A3" w:rsidRPr="009164FC" w:rsidRDefault="003400A3" w:rsidP="003400A3">
      <w:pPr>
        <w:rPr>
          <w:rFonts w:ascii="Calibri" w:hAnsi="Calibri"/>
        </w:rPr>
      </w:pPr>
    </w:p>
    <w:p w:rsidR="003400A3" w:rsidRPr="009164FC" w:rsidRDefault="00165E59" w:rsidP="003400A3">
      <w:pPr>
        <w:jc w:val="center"/>
        <w:rPr>
          <w:rFonts w:ascii="Calibri" w:hAnsi="Calibri"/>
        </w:rPr>
      </w:pPr>
      <w:r>
        <w:rPr>
          <w:rFonts w:ascii="Calibri" w:hAnsi="Calibri"/>
          <w:noProof/>
        </w:rPr>
        <w:lastRenderedPageBreak/>
        <w:drawing>
          <wp:inline distT="0" distB="0" distL="0" distR="0">
            <wp:extent cx="5940933" cy="2017014"/>
            <wp:effectExtent l="6096" t="0" r="6096" b="2286"/>
            <wp:docPr id="2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400A3" w:rsidRDefault="003400A3" w:rsidP="003400A3">
      <w:pPr>
        <w:rPr>
          <w:rFonts w:ascii="Calibri" w:hAnsi="Calibri"/>
          <w:b/>
        </w:rPr>
      </w:pPr>
    </w:p>
    <w:p w:rsidR="003400A3" w:rsidRDefault="003400A3" w:rsidP="003400A3">
      <w:pPr>
        <w:rPr>
          <w:rFonts w:ascii="Calibri" w:hAnsi="Calibri"/>
          <w:b/>
        </w:rPr>
      </w:pPr>
    </w:p>
    <w:p w:rsidR="003400A3" w:rsidRPr="009164FC" w:rsidRDefault="003400A3" w:rsidP="003400A3">
      <w:pPr>
        <w:rPr>
          <w:rFonts w:ascii="Calibri" w:hAnsi="Calibri"/>
        </w:rPr>
      </w:pPr>
    </w:p>
    <w:p w:rsidR="003400A3" w:rsidRPr="009164FC" w:rsidRDefault="003400A3" w:rsidP="003400A3">
      <w:pPr>
        <w:rPr>
          <w:rFonts w:ascii="Calibri" w:hAnsi="Calibri"/>
          <w:b/>
        </w:rPr>
      </w:pPr>
    </w:p>
    <w:p w:rsidR="003400A3" w:rsidRPr="009164FC" w:rsidRDefault="003400A3" w:rsidP="003400A3">
      <w:pPr>
        <w:rPr>
          <w:rFonts w:ascii="Calibri" w:hAnsi="Calibri"/>
          <w:b/>
        </w:rPr>
      </w:pPr>
    </w:p>
    <w:p w:rsidR="003400A3" w:rsidRPr="009164FC" w:rsidRDefault="003400A3" w:rsidP="003400A3">
      <w:pPr>
        <w:rPr>
          <w:rFonts w:ascii="Calibri" w:hAnsi="Calibri"/>
          <w:b/>
          <w:i/>
          <w:szCs w:val="28"/>
        </w:rPr>
      </w:pPr>
      <w:r w:rsidRPr="009164FC">
        <w:rPr>
          <w:rFonts w:ascii="Calibri" w:hAnsi="Calibri"/>
          <w:b/>
          <w:i/>
        </w:rPr>
        <w:br w:type="page"/>
      </w:r>
      <w:r w:rsidRPr="009164FC">
        <w:rPr>
          <w:rFonts w:ascii="Calibri" w:hAnsi="Calibri"/>
          <w:b/>
          <w:i/>
          <w:szCs w:val="28"/>
        </w:rPr>
        <w:lastRenderedPageBreak/>
        <w:t>What are our users’ perceptions of library services?</w:t>
      </w:r>
    </w:p>
    <w:p w:rsidR="000B4E82" w:rsidRDefault="000B4E82" w:rsidP="003400A3">
      <w:pPr>
        <w:rPr>
          <w:rFonts w:ascii="Calibri" w:hAnsi="Calibri"/>
          <w:b/>
        </w:rPr>
      </w:pPr>
    </w:p>
    <w:p w:rsidR="003400A3" w:rsidRPr="009164FC" w:rsidRDefault="003400A3" w:rsidP="003400A3">
      <w:pPr>
        <w:rPr>
          <w:rFonts w:ascii="Calibri" w:hAnsi="Calibri"/>
        </w:rPr>
      </w:pPr>
      <w:r w:rsidRPr="009164FC">
        <w:rPr>
          <w:rFonts w:ascii="Calibri" w:hAnsi="Calibri"/>
          <w:b/>
        </w:rPr>
        <w:t>Most important services</w:t>
      </w:r>
      <w:r w:rsidRPr="009164FC">
        <w:rPr>
          <w:rFonts w:ascii="Calibri" w:hAnsi="Calibri"/>
        </w:rPr>
        <w:t xml:space="preserve"> overall as measured by highest desired service level on LibQUAL+ survey Fall 2006:</w:t>
      </w:r>
    </w:p>
    <w:p w:rsidR="003400A3" w:rsidRPr="009164FC" w:rsidRDefault="003400A3" w:rsidP="00897845">
      <w:pPr>
        <w:numPr>
          <w:ilvl w:val="0"/>
          <w:numId w:val="4"/>
        </w:numPr>
        <w:tabs>
          <w:tab w:val="clear" w:pos="720"/>
        </w:tabs>
        <w:ind w:left="1440"/>
        <w:rPr>
          <w:rFonts w:ascii="Calibri" w:hAnsi="Calibri"/>
        </w:rPr>
      </w:pPr>
      <w:r w:rsidRPr="009164FC">
        <w:rPr>
          <w:rFonts w:ascii="Calibri" w:hAnsi="Calibri"/>
        </w:rPr>
        <w:t>Print and/or electronic journal collections I require for my work</w:t>
      </w:r>
    </w:p>
    <w:p w:rsidR="003400A3" w:rsidRPr="009164FC" w:rsidRDefault="003400A3" w:rsidP="00897845">
      <w:pPr>
        <w:numPr>
          <w:ilvl w:val="0"/>
          <w:numId w:val="4"/>
        </w:numPr>
        <w:tabs>
          <w:tab w:val="clear" w:pos="720"/>
        </w:tabs>
        <w:ind w:left="1440"/>
        <w:rPr>
          <w:rFonts w:ascii="Calibri" w:hAnsi="Calibri"/>
        </w:rPr>
      </w:pPr>
      <w:r w:rsidRPr="009164FC">
        <w:rPr>
          <w:rFonts w:ascii="Calibri" w:hAnsi="Calibri"/>
        </w:rPr>
        <w:t>A library web site enabling me to locate information on my own</w:t>
      </w:r>
    </w:p>
    <w:p w:rsidR="003400A3" w:rsidRPr="009164FC" w:rsidRDefault="003400A3" w:rsidP="00897845">
      <w:pPr>
        <w:numPr>
          <w:ilvl w:val="0"/>
          <w:numId w:val="4"/>
        </w:numPr>
        <w:tabs>
          <w:tab w:val="clear" w:pos="720"/>
        </w:tabs>
        <w:ind w:left="1440"/>
        <w:rPr>
          <w:rFonts w:ascii="Calibri" w:hAnsi="Calibri"/>
        </w:rPr>
      </w:pPr>
      <w:r w:rsidRPr="009164FC">
        <w:rPr>
          <w:rFonts w:ascii="Calibri" w:hAnsi="Calibri"/>
        </w:rPr>
        <w:t>Making electronic resources accessible from my home or office</w:t>
      </w:r>
    </w:p>
    <w:p w:rsidR="000B4E82" w:rsidRDefault="000B4E82" w:rsidP="003400A3">
      <w:pPr>
        <w:rPr>
          <w:rFonts w:ascii="Calibri" w:hAnsi="Calibri"/>
          <w:b/>
        </w:rPr>
      </w:pPr>
    </w:p>
    <w:p w:rsidR="003400A3" w:rsidRPr="009164FC" w:rsidRDefault="003400A3" w:rsidP="003400A3">
      <w:pPr>
        <w:rPr>
          <w:rFonts w:ascii="Calibri" w:hAnsi="Calibri"/>
        </w:rPr>
      </w:pPr>
      <w:r w:rsidRPr="009164FC">
        <w:rPr>
          <w:rFonts w:ascii="Calibri" w:hAnsi="Calibri"/>
          <w:b/>
        </w:rPr>
        <w:t>Areas of greatest concern</w:t>
      </w:r>
      <w:r w:rsidRPr="009164FC">
        <w:rPr>
          <w:rFonts w:ascii="Calibri" w:hAnsi="Calibri"/>
        </w:rPr>
        <w:t xml:space="preserve"> overall as measured by the gap between respondents perceived and desired service levels on the LibQUAL+ survey Fall 2006; areas where UM is furthest from meeting respondents’ </w:t>
      </w:r>
      <w:r>
        <w:rPr>
          <w:rFonts w:ascii="Calibri" w:hAnsi="Calibri"/>
        </w:rPr>
        <w:t>desired service levels (Chart 21</w:t>
      </w:r>
      <w:r w:rsidRPr="009164FC">
        <w:rPr>
          <w:rFonts w:ascii="Calibri" w:hAnsi="Calibri"/>
        </w:rPr>
        <w:t>):</w:t>
      </w:r>
    </w:p>
    <w:p w:rsidR="003400A3" w:rsidRPr="009164FC" w:rsidRDefault="003400A3" w:rsidP="00897845">
      <w:pPr>
        <w:numPr>
          <w:ilvl w:val="1"/>
          <w:numId w:val="7"/>
        </w:numPr>
        <w:rPr>
          <w:rFonts w:ascii="Calibri" w:hAnsi="Calibri"/>
        </w:rPr>
      </w:pPr>
      <w:r w:rsidRPr="009164FC">
        <w:rPr>
          <w:rFonts w:ascii="Calibri" w:hAnsi="Calibri"/>
        </w:rPr>
        <w:t>Print and/or electronic journal collections I require for my work</w:t>
      </w:r>
    </w:p>
    <w:p w:rsidR="003400A3" w:rsidRPr="009164FC" w:rsidRDefault="003400A3" w:rsidP="00897845">
      <w:pPr>
        <w:numPr>
          <w:ilvl w:val="1"/>
          <w:numId w:val="7"/>
        </w:numPr>
        <w:rPr>
          <w:rFonts w:ascii="Calibri" w:hAnsi="Calibri"/>
        </w:rPr>
      </w:pPr>
      <w:r w:rsidRPr="009164FC">
        <w:rPr>
          <w:rFonts w:ascii="Calibri" w:hAnsi="Calibri"/>
        </w:rPr>
        <w:t>A library web site enabling me to locate information on my own</w:t>
      </w:r>
    </w:p>
    <w:p w:rsidR="003400A3" w:rsidRPr="009164FC" w:rsidRDefault="003400A3" w:rsidP="00897845">
      <w:pPr>
        <w:numPr>
          <w:ilvl w:val="1"/>
          <w:numId w:val="7"/>
        </w:numPr>
        <w:rPr>
          <w:rFonts w:ascii="Calibri" w:hAnsi="Calibri"/>
        </w:rPr>
      </w:pPr>
      <w:r w:rsidRPr="009164FC">
        <w:rPr>
          <w:rFonts w:ascii="Calibri" w:hAnsi="Calibri"/>
        </w:rPr>
        <w:t>Easy-to-use access tools that allow me to find things on my own</w:t>
      </w:r>
    </w:p>
    <w:p w:rsidR="000B4E82" w:rsidRDefault="000B4E82" w:rsidP="003400A3">
      <w:pPr>
        <w:rPr>
          <w:rFonts w:ascii="Calibri" w:hAnsi="Calibri"/>
          <w:b/>
        </w:rPr>
      </w:pPr>
    </w:p>
    <w:p w:rsidR="003400A3" w:rsidRPr="009164FC" w:rsidRDefault="003400A3" w:rsidP="003400A3">
      <w:pPr>
        <w:rPr>
          <w:rFonts w:ascii="Calibri" w:hAnsi="Calibri"/>
        </w:rPr>
      </w:pPr>
      <w:r w:rsidRPr="009164FC">
        <w:rPr>
          <w:rFonts w:ascii="Calibri" w:hAnsi="Calibri"/>
          <w:b/>
        </w:rPr>
        <w:t>Least important services</w:t>
      </w:r>
      <w:r w:rsidRPr="009164FC">
        <w:rPr>
          <w:rFonts w:ascii="Calibri" w:hAnsi="Calibri"/>
        </w:rPr>
        <w:t xml:space="preserve"> overall as measured by lowest desired service level on LibQUAL+ survey Fall 2006:</w:t>
      </w:r>
    </w:p>
    <w:p w:rsidR="003400A3" w:rsidRPr="009164FC" w:rsidRDefault="003400A3" w:rsidP="00897845">
      <w:pPr>
        <w:numPr>
          <w:ilvl w:val="0"/>
          <w:numId w:val="5"/>
        </w:numPr>
        <w:tabs>
          <w:tab w:val="clear" w:pos="720"/>
        </w:tabs>
        <w:ind w:left="1440"/>
        <w:rPr>
          <w:rFonts w:ascii="Calibri" w:hAnsi="Calibri"/>
        </w:rPr>
      </w:pPr>
      <w:r w:rsidRPr="009164FC">
        <w:rPr>
          <w:rFonts w:ascii="Calibri" w:hAnsi="Calibri"/>
        </w:rPr>
        <w:t>Community space for group learning and study</w:t>
      </w:r>
    </w:p>
    <w:p w:rsidR="003400A3" w:rsidRPr="009164FC" w:rsidRDefault="003400A3" w:rsidP="00897845">
      <w:pPr>
        <w:numPr>
          <w:ilvl w:val="0"/>
          <w:numId w:val="5"/>
        </w:numPr>
        <w:tabs>
          <w:tab w:val="clear" w:pos="720"/>
        </w:tabs>
        <w:ind w:left="1440"/>
        <w:rPr>
          <w:rFonts w:ascii="Calibri" w:hAnsi="Calibri"/>
        </w:rPr>
      </w:pPr>
      <w:r w:rsidRPr="009164FC">
        <w:rPr>
          <w:rFonts w:ascii="Calibri" w:hAnsi="Calibri"/>
        </w:rPr>
        <w:t>Giving users individual attention</w:t>
      </w:r>
    </w:p>
    <w:p w:rsidR="003400A3" w:rsidRPr="009164FC" w:rsidRDefault="003400A3" w:rsidP="00897845">
      <w:pPr>
        <w:numPr>
          <w:ilvl w:val="0"/>
          <w:numId w:val="5"/>
        </w:numPr>
        <w:tabs>
          <w:tab w:val="clear" w:pos="720"/>
        </w:tabs>
        <w:ind w:left="1440"/>
        <w:rPr>
          <w:rFonts w:ascii="Calibri" w:hAnsi="Calibri"/>
        </w:rPr>
      </w:pPr>
      <w:r w:rsidRPr="009164FC">
        <w:rPr>
          <w:rFonts w:ascii="Calibri" w:hAnsi="Calibri"/>
        </w:rPr>
        <w:t>Quiet space for individual activities</w:t>
      </w:r>
    </w:p>
    <w:p w:rsidR="000B4E82" w:rsidRDefault="000B4E82" w:rsidP="003400A3">
      <w:pPr>
        <w:rPr>
          <w:rFonts w:ascii="Calibri" w:hAnsi="Calibri"/>
          <w:b/>
        </w:rPr>
      </w:pPr>
    </w:p>
    <w:p w:rsidR="003400A3" w:rsidRPr="009164FC" w:rsidRDefault="003400A3" w:rsidP="003400A3">
      <w:pPr>
        <w:rPr>
          <w:rFonts w:ascii="Calibri" w:hAnsi="Calibri"/>
        </w:rPr>
      </w:pPr>
      <w:r w:rsidRPr="009164FC">
        <w:rPr>
          <w:rFonts w:ascii="Calibri" w:hAnsi="Calibri"/>
          <w:b/>
        </w:rPr>
        <w:t>Areas of least concern</w:t>
      </w:r>
      <w:r w:rsidRPr="009164FC">
        <w:rPr>
          <w:rFonts w:ascii="Calibri" w:hAnsi="Calibri"/>
        </w:rPr>
        <w:t xml:space="preserve"> overall as measured by the gap between respondents perceived and desired service levels on the LibQUAL+ survey Fall 2006; areas where UM is closest to meeting respondents’ </w:t>
      </w:r>
      <w:r>
        <w:rPr>
          <w:rFonts w:ascii="Calibri" w:hAnsi="Calibri"/>
        </w:rPr>
        <w:t>desired service levels (Chart 21</w:t>
      </w:r>
      <w:r w:rsidRPr="009164FC">
        <w:rPr>
          <w:rFonts w:ascii="Calibri" w:hAnsi="Calibri"/>
        </w:rPr>
        <w:t>):</w:t>
      </w:r>
    </w:p>
    <w:p w:rsidR="003400A3" w:rsidRPr="009164FC" w:rsidRDefault="003400A3" w:rsidP="00897845">
      <w:pPr>
        <w:numPr>
          <w:ilvl w:val="0"/>
          <w:numId w:val="6"/>
        </w:numPr>
        <w:tabs>
          <w:tab w:val="clear" w:pos="720"/>
          <w:tab w:val="num" w:pos="1440"/>
        </w:tabs>
        <w:ind w:left="1440"/>
        <w:rPr>
          <w:rFonts w:ascii="Calibri" w:hAnsi="Calibri"/>
        </w:rPr>
      </w:pPr>
      <w:r w:rsidRPr="009164FC">
        <w:rPr>
          <w:rFonts w:ascii="Calibri" w:hAnsi="Calibri"/>
        </w:rPr>
        <w:t>Convenient service hours</w:t>
      </w:r>
    </w:p>
    <w:p w:rsidR="003400A3" w:rsidRPr="009164FC" w:rsidRDefault="003400A3" w:rsidP="00897845">
      <w:pPr>
        <w:numPr>
          <w:ilvl w:val="0"/>
          <w:numId w:val="6"/>
        </w:numPr>
        <w:tabs>
          <w:tab w:val="clear" w:pos="720"/>
          <w:tab w:val="num" w:pos="1440"/>
        </w:tabs>
        <w:ind w:left="1440"/>
        <w:rPr>
          <w:rFonts w:ascii="Calibri" w:hAnsi="Calibri"/>
        </w:rPr>
      </w:pPr>
      <w:r w:rsidRPr="009164FC">
        <w:rPr>
          <w:rFonts w:ascii="Calibri" w:hAnsi="Calibri"/>
        </w:rPr>
        <w:t>Community space for group learning and study</w:t>
      </w:r>
    </w:p>
    <w:p w:rsidR="003400A3" w:rsidRPr="009164FC" w:rsidRDefault="003400A3" w:rsidP="00897845">
      <w:pPr>
        <w:numPr>
          <w:ilvl w:val="0"/>
          <w:numId w:val="6"/>
        </w:numPr>
        <w:tabs>
          <w:tab w:val="clear" w:pos="720"/>
          <w:tab w:val="num" w:pos="1440"/>
        </w:tabs>
        <w:ind w:left="1440"/>
        <w:rPr>
          <w:rFonts w:ascii="Calibri" w:hAnsi="Calibri"/>
        </w:rPr>
      </w:pPr>
      <w:r w:rsidRPr="009164FC">
        <w:rPr>
          <w:rFonts w:ascii="Calibri" w:hAnsi="Calibri"/>
        </w:rPr>
        <w:t>Employees who deal with users in a caring fashion</w:t>
      </w:r>
    </w:p>
    <w:p w:rsidR="000B4E82" w:rsidRDefault="000B4E82" w:rsidP="003400A3">
      <w:pPr>
        <w:rPr>
          <w:rFonts w:ascii="Calibri" w:hAnsi="Calibri"/>
        </w:rPr>
      </w:pPr>
    </w:p>
    <w:p w:rsidR="003400A3" w:rsidRPr="009164FC" w:rsidRDefault="003400A3" w:rsidP="003400A3">
      <w:pPr>
        <w:rPr>
          <w:rFonts w:ascii="Calibri" w:hAnsi="Calibri"/>
        </w:rPr>
      </w:pPr>
      <w:r>
        <w:rPr>
          <w:rFonts w:ascii="Calibri" w:hAnsi="Calibri"/>
        </w:rPr>
        <w:t>Chart 21</w:t>
      </w:r>
      <w:r w:rsidRPr="009164FC">
        <w:rPr>
          <w:rFonts w:ascii="Calibri" w:hAnsi="Calibri"/>
        </w:rPr>
        <w:t xml:space="preserve"> shows ‘zones of tolerance’ defined as the distance between ‘minimally-acceptable’ and ‘desired’ service levels on the library service quality survey, LibQUAL+. Library users’ perceptions ideally fall within this zone. Looking at the distance between respondents’ perceptions of service levels and their minimally-acceptable and desired levels reveals areas in which the library is meeting respondents’ expectations and areas that fall short. The closer the perceived service level is to the desired service level, the better the library is doing in the view of respondents.</w:t>
      </w:r>
    </w:p>
    <w:p w:rsidR="003400A3" w:rsidRPr="009164FC" w:rsidRDefault="003400A3" w:rsidP="003400A3">
      <w:pPr>
        <w:rPr>
          <w:rFonts w:ascii="Calibri" w:hAnsi="Calibri"/>
          <w:highlight w:val="yellow"/>
        </w:rPr>
      </w:pPr>
    </w:p>
    <w:p w:rsidR="003400A3" w:rsidRPr="009164FC" w:rsidRDefault="003400A3" w:rsidP="003400A3">
      <w:pPr>
        <w:jc w:val="center"/>
        <w:rPr>
          <w:rFonts w:ascii="Calibri" w:hAnsi="Calibri"/>
          <w:highlight w:val="yellow"/>
        </w:rPr>
      </w:pPr>
      <w:r>
        <w:rPr>
          <w:rFonts w:ascii="Calibri" w:hAnsi="Calibri"/>
          <w:b/>
          <w:bCs/>
        </w:rPr>
        <w:br w:type="page"/>
      </w:r>
      <w:r w:rsidR="00165E59">
        <w:rPr>
          <w:rFonts w:ascii="Calibri" w:hAnsi="Calibri"/>
          <w:b/>
          <w:noProof/>
        </w:rPr>
        <w:lastRenderedPageBreak/>
        <w:drawing>
          <wp:inline distT="0" distB="0" distL="0" distR="0">
            <wp:extent cx="5943600" cy="5019675"/>
            <wp:effectExtent l="0" t="0" r="0" b="0"/>
            <wp:docPr id="22" name="Char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7"/>
                    <pic:cNvPicPr>
                      <a:picLocks noChangeAspect="1" noChangeArrowheads="1"/>
                    </pic:cNvPicPr>
                  </pic:nvPicPr>
                  <pic:blipFill>
                    <a:blip r:embed="rId29"/>
                    <a:srcRect l="-2100" t="-2522" r="-208" b="3761"/>
                    <a:stretch>
                      <a:fillRect/>
                    </a:stretch>
                  </pic:blipFill>
                  <pic:spPr bwMode="auto">
                    <a:xfrm>
                      <a:off x="0" y="0"/>
                      <a:ext cx="5943600" cy="5019675"/>
                    </a:xfrm>
                    <a:prstGeom prst="rect">
                      <a:avLst/>
                    </a:prstGeom>
                    <a:noFill/>
                    <a:ln w="9525">
                      <a:noFill/>
                      <a:miter lim="800000"/>
                      <a:headEnd/>
                      <a:tailEnd/>
                    </a:ln>
                  </pic:spPr>
                </pic:pic>
              </a:graphicData>
            </a:graphic>
          </wp:inline>
        </w:drawing>
      </w:r>
      <w:r w:rsidRPr="009164FC">
        <w:rPr>
          <w:rFonts w:ascii="Calibri" w:hAnsi="Calibri"/>
          <w:highlight w:val="yellow"/>
        </w:rPr>
        <w:t xml:space="preserve"> </w:t>
      </w: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3400A3" w:rsidRDefault="003400A3" w:rsidP="003400A3">
      <w:pPr>
        <w:rPr>
          <w:rFonts w:ascii="Calibri" w:hAnsi="Calibri"/>
          <w:b/>
          <w:i/>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0B4E82" w:rsidRDefault="000B4E82" w:rsidP="003400A3">
      <w:pPr>
        <w:rPr>
          <w:rFonts w:ascii="Calibri" w:hAnsi="Calibri"/>
          <w:b/>
          <w:i/>
          <w:szCs w:val="28"/>
        </w:rPr>
      </w:pPr>
    </w:p>
    <w:p w:rsidR="003400A3" w:rsidRPr="009164FC" w:rsidRDefault="003400A3" w:rsidP="003400A3">
      <w:pPr>
        <w:rPr>
          <w:rFonts w:ascii="Calibri" w:hAnsi="Calibri"/>
          <w:b/>
          <w:i/>
          <w:szCs w:val="28"/>
        </w:rPr>
      </w:pPr>
      <w:r w:rsidRPr="009164FC">
        <w:rPr>
          <w:rFonts w:ascii="Calibri" w:hAnsi="Calibri"/>
          <w:b/>
          <w:i/>
          <w:szCs w:val="28"/>
        </w:rPr>
        <w:lastRenderedPageBreak/>
        <w:t>What kinds of questions and suggestions are we receiving?</w:t>
      </w:r>
    </w:p>
    <w:p w:rsidR="000B4E82" w:rsidRDefault="000B4E82" w:rsidP="003400A3">
      <w:pPr>
        <w:rPr>
          <w:rFonts w:ascii="Calibri" w:hAnsi="Calibri"/>
        </w:rPr>
      </w:pPr>
    </w:p>
    <w:p w:rsidR="000B4E82" w:rsidRDefault="003400A3" w:rsidP="003400A3">
      <w:pPr>
        <w:rPr>
          <w:rFonts w:ascii="Calibri" w:hAnsi="Calibri"/>
        </w:rPr>
      </w:pPr>
      <w:r w:rsidRPr="009164FC">
        <w:rPr>
          <w:rFonts w:ascii="Calibri" w:hAnsi="Calibri"/>
        </w:rPr>
        <w:t xml:space="preserve">Comments received from the online suggestion box, ask-a-librarian service, </w:t>
      </w:r>
      <w:r w:rsidR="00E601B7">
        <w:rPr>
          <w:rFonts w:ascii="Calibri" w:hAnsi="Calibri"/>
        </w:rPr>
        <w:t xml:space="preserve">instant messaging, </w:t>
      </w:r>
      <w:r w:rsidRPr="009164FC">
        <w:rPr>
          <w:rFonts w:ascii="Calibri" w:hAnsi="Calibri"/>
        </w:rPr>
        <w:t xml:space="preserve">and open-ended comments from the 2003 and 2006 LibQUAL+ surveys were consistently categorized (Table </w:t>
      </w:r>
      <w:r w:rsidR="00E601B7">
        <w:rPr>
          <w:rFonts w:ascii="Calibri" w:hAnsi="Calibri"/>
        </w:rPr>
        <w:t>1</w:t>
      </w:r>
      <w:r w:rsidRPr="009164FC">
        <w:rPr>
          <w:rFonts w:ascii="Calibri" w:hAnsi="Calibri"/>
        </w:rPr>
        <w:t xml:space="preserve">). </w:t>
      </w:r>
    </w:p>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Notable findings include:</w:t>
      </w:r>
    </w:p>
    <w:p w:rsidR="003400A3" w:rsidRDefault="003400A3" w:rsidP="00897845">
      <w:pPr>
        <w:numPr>
          <w:ilvl w:val="0"/>
          <w:numId w:val="10"/>
        </w:numPr>
        <w:rPr>
          <w:rFonts w:ascii="Calibri" w:hAnsi="Calibri"/>
        </w:rPr>
      </w:pPr>
      <w:r>
        <w:rPr>
          <w:rFonts w:ascii="Calibri" w:hAnsi="Calibri"/>
        </w:rPr>
        <w:t>Information Center (15.8%) and Web Site (18.3%)</w:t>
      </w:r>
      <w:r w:rsidRPr="001331F5">
        <w:rPr>
          <w:rFonts w:ascii="Calibri" w:hAnsi="Calibri"/>
        </w:rPr>
        <w:t xml:space="preserve"> received the highest number of comments </w:t>
      </w:r>
      <w:r>
        <w:rPr>
          <w:rFonts w:ascii="Calibri" w:hAnsi="Calibri"/>
        </w:rPr>
        <w:t>in FY2008</w:t>
      </w:r>
      <w:r w:rsidRPr="001331F5">
        <w:rPr>
          <w:rFonts w:ascii="Calibri" w:hAnsi="Calibri"/>
        </w:rPr>
        <w:t>.</w:t>
      </w:r>
      <w:r>
        <w:rPr>
          <w:rFonts w:ascii="Calibri" w:hAnsi="Calibri"/>
        </w:rPr>
        <w:t xml:space="preserve"> </w:t>
      </w:r>
    </w:p>
    <w:p w:rsidR="003400A3" w:rsidRPr="001331F5" w:rsidRDefault="003400A3" w:rsidP="00897845">
      <w:pPr>
        <w:numPr>
          <w:ilvl w:val="0"/>
          <w:numId w:val="10"/>
        </w:numPr>
        <w:rPr>
          <w:rFonts w:ascii="Calibri" w:hAnsi="Calibri"/>
        </w:rPr>
      </w:pPr>
      <w:r>
        <w:rPr>
          <w:rFonts w:ascii="Calibri" w:hAnsi="Calibri"/>
        </w:rPr>
        <w:t>Although Web Site (16.2%) received the highest number of comments as well in FY2007, Physical Collection (10.6%) and Resources (14.2%) received a higher number of comments in FY2007 tha</w:t>
      </w:r>
      <w:r w:rsidR="00E601B7">
        <w:rPr>
          <w:rFonts w:ascii="Calibri" w:hAnsi="Calibri"/>
        </w:rPr>
        <w:t>n</w:t>
      </w:r>
      <w:r>
        <w:rPr>
          <w:rFonts w:ascii="Calibri" w:hAnsi="Calibri"/>
        </w:rPr>
        <w:t xml:space="preserve"> in FY2008.  </w:t>
      </w:r>
    </w:p>
    <w:p w:rsidR="003400A3" w:rsidRPr="001331F5" w:rsidRDefault="003400A3" w:rsidP="00897845">
      <w:pPr>
        <w:numPr>
          <w:ilvl w:val="0"/>
          <w:numId w:val="10"/>
        </w:numPr>
        <w:rPr>
          <w:rFonts w:ascii="Calibri" w:hAnsi="Calibri"/>
        </w:rPr>
      </w:pPr>
      <w:r w:rsidRPr="001331F5">
        <w:rPr>
          <w:rFonts w:ascii="Calibri" w:hAnsi="Calibri"/>
        </w:rPr>
        <w:t>Information center (11.7%; 14.6%) and general/overall (11.3%; 12.1%) received the highest number of comments from the 2003 and 2006 LibQUAL+ surveys.</w:t>
      </w:r>
    </w:p>
    <w:p w:rsidR="000B4E82" w:rsidRDefault="000B4E82" w:rsidP="003400A3"/>
    <w:p w:rsidR="003400A3" w:rsidRPr="003400A3" w:rsidRDefault="003400A3" w:rsidP="003400A3">
      <w:r w:rsidRPr="004B6D50">
        <w:t xml:space="preserve">Table 1. Comment analysis and LibQUAL+ 2003 and 2006 submissions categorized using LibQUAL categories. Comments include Suggestion Box, Ask-A-Librarian, and </w:t>
      </w:r>
      <w:r w:rsidR="00E601B7">
        <w:t>instant messaging</w:t>
      </w:r>
      <w:r w:rsidRPr="004B6D50">
        <w:t xml:space="preserve"> submissions during FY2007 to FY2009; LibQUAL+ comments were gathered in 2003, 2006, and 2009.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1"/>
        <w:gridCol w:w="627"/>
        <w:gridCol w:w="749"/>
        <w:gridCol w:w="696"/>
        <w:gridCol w:w="749"/>
        <w:gridCol w:w="627"/>
        <w:gridCol w:w="526"/>
        <w:gridCol w:w="1084"/>
        <w:gridCol w:w="1054"/>
        <w:gridCol w:w="1039"/>
      </w:tblGrid>
      <w:tr w:rsidR="003400A3" w:rsidRPr="001E2300" w:rsidTr="00897845">
        <w:tc>
          <w:tcPr>
            <w:tcW w:w="3209" w:type="dxa"/>
            <w:vMerge w:val="restart"/>
          </w:tcPr>
          <w:p w:rsidR="003400A3" w:rsidRPr="001E2300" w:rsidRDefault="003400A3" w:rsidP="0092119B">
            <w:pPr>
              <w:pStyle w:val="NoSpacing"/>
            </w:pPr>
          </w:p>
          <w:p w:rsidR="003400A3" w:rsidRPr="001E2300" w:rsidRDefault="003400A3" w:rsidP="0092119B">
            <w:pPr>
              <w:pStyle w:val="NoSpacing"/>
            </w:pPr>
          </w:p>
          <w:p w:rsidR="003400A3" w:rsidRPr="001E2300" w:rsidRDefault="003400A3" w:rsidP="0092119B">
            <w:pPr>
              <w:pStyle w:val="NoSpacing"/>
              <w:rPr>
                <w:b/>
              </w:rPr>
            </w:pPr>
            <w:r w:rsidRPr="001E2300">
              <w:rPr>
                <w:b/>
              </w:rPr>
              <w:t>CATEGORIES</w:t>
            </w:r>
          </w:p>
        </w:tc>
        <w:tc>
          <w:tcPr>
            <w:tcW w:w="3787" w:type="dxa"/>
            <w:gridSpan w:val="6"/>
          </w:tcPr>
          <w:p w:rsidR="003400A3" w:rsidRPr="001E2300" w:rsidRDefault="003400A3" w:rsidP="0092119B">
            <w:pPr>
              <w:pStyle w:val="NoSpacing"/>
              <w:jc w:val="center"/>
              <w:rPr>
                <w:b/>
              </w:rPr>
            </w:pPr>
            <w:r w:rsidRPr="001E2300">
              <w:rPr>
                <w:b/>
              </w:rPr>
              <w:t>COMMENTS</w:t>
            </w:r>
          </w:p>
        </w:tc>
        <w:tc>
          <w:tcPr>
            <w:tcW w:w="3300" w:type="dxa"/>
            <w:gridSpan w:val="3"/>
          </w:tcPr>
          <w:p w:rsidR="003400A3" w:rsidRPr="001E2300" w:rsidRDefault="003400A3" w:rsidP="0092119B">
            <w:pPr>
              <w:pStyle w:val="NoSpacing"/>
              <w:jc w:val="center"/>
              <w:rPr>
                <w:b/>
              </w:rPr>
            </w:pPr>
            <w:r w:rsidRPr="001E2300">
              <w:rPr>
                <w:b/>
              </w:rPr>
              <w:t>LibQUAL+</w:t>
            </w:r>
          </w:p>
        </w:tc>
      </w:tr>
      <w:tr w:rsidR="003400A3" w:rsidRPr="001E2300" w:rsidTr="00897845">
        <w:tc>
          <w:tcPr>
            <w:tcW w:w="3209" w:type="dxa"/>
            <w:vMerge/>
          </w:tcPr>
          <w:p w:rsidR="003400A3" w:rsidRPr="001E2300" w:rsidRDefault="003400A3" w:rsidP="0092119B">
            <w:pPr>
              <w:pStyle w:val="NoSpacing"/>
            </w:pPr>
          </w:p>
        </w:tc>
        <w:tc>
          <w:tcPr>
            <w:tcW w:w="1288" w:type="dxa"/>
            <w:gridSpan w:val="2"/>
          </w:tcPr>
          <w:p w:rsidR="003400A3" w:rsidRPr="0092119B" w:rsidRDefault="003400A3" w:rsidP="0092119B">
            <w:pPr>
              <w:pStyle w:val="NoSpacing"/>
              <w:jc w:val="center"/>
              <w:rPr>
                <w:b/>
              </w:rPr>
            </w:pPr>
            <w:r w:rsidRPr="0092119B">
              <w:rPr>
                <w:b/>
              </w:rPr>
              <w:t>2007</w:t>
            </w:r>
          </w:p>
        </w:tc>
        <w:tc>
          <w:tcPr>
            <w:tcW w:w="1381" w:type="dxa"/>
            <w:gridSpan w:val="2"/>
          </w:tcPr>
          <w:p w:rsidR="003400A3" w:rsidRPr="0092119B" w:rsidRDefault="003400A3" w:rsidP="0092119B">
            <w:pPr>
              <w:pStyle w:val="NoSpacing"/>
              <w:jc w:val="center"/>
              <w:rPr>
                <w:b/>
              </w:rPr>
            </w:pPr>
            <w:r w:rsidRPr="0092119B">
              <w:rPr>
                <w:b/>
              </w:rPr>
              <w:t>2008</w:t>
            </w:r>
          </w:p>
        </w:tc>
        <w:tc>
          <w:tcPr>
            <w:tcW w:w="1118" w:type="dxa"/>
            <w:gridSpan w:val="2"/>
          </w:tcPr>
          <w:p w:rsidR="003400A3" w:rsidRPr="0092119B" w:rsidRDefault="003400A3" w:rsidP="0092119B">
            <w:pPr>
              <w:pStyle w:val="NoSpacing"/>
              <w:jc w:val="center"/>
              <w:rPr>
                <w:b/>
              </w:rPr>
            </w:pPr>
            <w:r w:rsidRPr="0092119B">
              <w:rPr>
                <w:b/>
              </w:rPr>
              <w:t>2009</w:t>
            </w:r>
          </w:p>
        </w:tc>
        <w:tc>
          <w:tcPr>
            <w:tcW w:w="1110" w:type="dxa"/>
          </w:tcPr>
          <w:p w:rsidR="003400A3" w:rsidRPr="0092119B" w:rsidRDefault="003400A3" w:rsidP="0092119B">
            <w:pPr>
              <w:pStyle w:val="NoSpacing"/>
              <w:jc w:val="center"/>
              <w:rPr>
                <w:b/>
              </w:rPr>
            </w:pPr>
            <w:r w:rsidRPr="0092119B">
              <w:rPr>
                <w:b/>
              </w:rPr>
              <w:t>2003</w:t>
            </w:r>
          </w:p>
        </w:tc>
        <w:tc>
          <w:tcPr>
            <w:tcW w:w="1098" w:type="dxa"/>
          </w:tcPr>
          <w:p w:rsidR="003400A3" w:rsidRPr="0092119B" w:rsidRDefault="003400A3" w:rsidP="0092119B">
            <w:pPr>
              <w:pStyle w:val="NoSpacing"/>
              <w:jc w:val="center"/>
              <w:rPr>
                <w:b/>
              </w:rPr>
            </w:pPr>
            <w:r w:rsidRPr="0092119B">
              <w:rPr>
                <w:b/>
              </w:rPr>
              <w:t>2006</w:t>
            </w:r>
          </w:p>
        </w:tc>
        <w:tc>
          <w:tcPr>
            <w:tcW w:w="1092" w:type="dxa"/>
          </w:tcPr>
          <w:p w:rsidR="003400A3" w:rsidRPr="0092119B" w:rsidRDefault="003400A3" w:rsidP="0092119B">
            <w:pPr>
              <w:pStyle w:val="NoSpacing"/>
              <w:jc w:val="center"/>
              <w:rPr>
                <w:b/>
              </w:rPr>
            </w:pPr>
            <w:r w:rsidRPr="0092119B">
              <w:rPr>
                <w:b/>
              </w:rPr>
              <w:t>2009</w:t>
            </w:r>
          </w:p>
        </w:tc>
      </w:tr>
      <w:tr w:rsidR="003400A3" w:rsidRPr="001E2300" w:rsidTr="00897845">
        <w:tc>
          <w:tcPr>
            <w:tcW w:w="3209" w:type="dxa"/>
            <w:vMerge/>
          </w:tcPr>
          <w:p w:rsidR="003400A3" w:rsidRPr="001E2300" w:rsidRDefault="003400A3" w:rsidP="0092119B">
            <w:pPr>
              <w:pStyle w:val="NoSpacing"/>
            </w:pPr>
          </w:p>
        </w:tc>
        <w:tc>
          <w:tcPr>
            <w:tcW w:w="570" w:type="dxa"/>
          </w:tcPr>
          <w:p w:rsidR="003400A3" w:rsidRPr="0092119B" w:rsidRDefault="003400A3" w:rsidP="0092119B">
            <w:pPr>
              <w:pStyle w:val="NoSpacing"/>
              <w:jc w:val="center"/>
              <w:rPr>
                <w:b/>
              </w:rPr>
            </w:pPr>
            <w:r w:rsidRPr="0092119B">
              <w:rPr>
                <w:b/>
              </w:rPr>
              <w:t>No.</w:t>
            </w:r>
          </w:p>
        </w:tc>
        <w:tc>
          <w:tcPr>
            <w:tcW w:w="718" w:type="dxa"/>
          </w:tcPr>
          <w:p w:rsidR="003400A3" w:rsidRPr="0092119B" w:rsidRDefault="003400A3" w:rsidP="0092119B">
            <w:pPr>
              <w:pStyle w:val="NoSpacing"/>
              <w:jc w:val="center"/>
              <w:rPr>
                <w:b/>
              </w:rPr>
            </w:pPr>
            <w:r w:rsidRPr="0092119B">
              <w:rPr>
                <w:b/>
              </w:rPr>
              <w:t>%</w:t>
            </w:r>
          </w:p>
        </w:tc>
        <w:tc>
          <w:tcPr>
            <w:tcW w:w="663" w:type="dxa"/>
          </w:tcPr>
          <w:p w:rsidR="003400A3" w:rsidRPr="0092119B" w:rsidRDefault="003400A3" w:rsidP="0092119B">
            <w:pPr>
              <w:pStyle w:val="NoSpacing"/>
              <w:jc w:val="center"/>
              <w:rPr>
                <w:b/>
              </w:rPr>
            </w:pPr>
            <w:r w:rsidRPr="0092119B">
              <w:rPr>
                <w:b/>
              </w:rPr>
              <w:t>No.</w:t>
            </w:r>
          </w:p>
        </w:tc>
        <w:tc>
          <w:tcPr>
            <w:tcW w:w="718" w:type="dxa"/>
          </w:tcPr>
          <w:p w:rsidR="003400A3" w:rsidRPr="0092119B" w:rsidRDefault="003400A3" w:rsidP="0092119B">
            <w:pPr>
              <w:pStyle w:val="NoSpacing"/>
              <w:jc w:val="center"/>
              <w:rPr>
                <w:b/>
              </w:rPr>
            </w:pPr>
            <w:r w:rsidRPr="0092119B">
              <w:rPr>
                <w:b/>
              </w:rPr>
              <w:t>%</w:t>
            </w:r>
          </w:p>
        </w:tc>
        <w:tc>
          <w:tcPr>
            <w:tcW w:w="567" w:type="dxa"/>
          </w:tcPr>
          <w:p w:rsidR="003400A3" w:rsidRPr="0092119B" w:rsidRDefault="003400A3" w:rsidP="0092119B">
            <w:pPr>
              <w:pStyle w:val="NoSpacing"/>
              <w:jc w:val="center"/>
              <w:rPr>
                <w:b/>
              </w:rPr>
            </w:pPr>
            <w:r w:rsidRPr="0092119B">
              <w:rPr>
                <w:b/>
              </w:rPr>
              <w:t>No.</w:t>
            </w:r>
          </w:p>
        </w:tc>
        <w:tc>
          <w:tcPr>
            <w:tcW w:w="551" w:type="dxa"/>
          </w:tcPr>
          <w:p w:rsidR="003400A3" w:rsidRPr="0092119B" w:rsidRDefault="003400A3" w:rsidP="0092119B">
            <w:pPr>
              <w:pStyle w:val="NoSpacing"/>
              <w:jc w:val="center"/>
              <w:rPr>
                <w:b/>
              </w:rPr>
            </w:pPr>
            <w:r w:rsidRPr="0092119B">
              <w:rPr>
                <w:b/>
              </w:rPr>
              <w:t>%</w:t>
            </w:r>
          </w:p>
        </w:tc>
        <w:tc>
          <w:tcPr>
            <w:tcW w:w="1110" w:type="dxa"/>
          </w:tcPr>
          <w:p w:rsidR="003400A3" w:rsidRPr="0092119B" w:rsidRDefault="003400A3" w:rsidP="0092119B">
            <w:pPr>
              <w:pStyle w:val="NoSpacing"/>
              <w:jc w:val="center"/>
              <w:rPr>
                <w:b/>
              </w:rPr>
            </w:pPr>
            <w:r w:rsidRPr="0092119B">
              <w:rPr>
                <w:b/>
              </w:rPr>
              <w:t>%</w:t>
            </w:r>
          </w:p>
        </w:tc>
        <w:tc>
          <w:tcPr>
            <w:tcW w:w="1098" w:type="dxa"/>
          </w:tcPr>
          <w:p w:rsidR="003400A3" w:rsidRPr="0092119B" w:rsidRDefault="003400A3" w:rsidP="0092119B">
            <w:pPr>
              <w:pStyle w:val="NoSpacing"/>
              <w:jc w:val="center"/>
              <w:rPr>
                <w:b/>
              </w:rPr>
            </w:pPr>
            <w:r w:rsidRPr="0092119B">
              <w:rPr>
                <w:b/>
              </w:rPr>
              <w:t>%</w:t>
            </w:r>
          </w:p>
        </w:tc>
        <w:tc>
          <w:tcPr>
            <w:tcW w:w="1092" w:type="dxa"/>
          </w:tcPr>
          <w:p w:rsidR="003400A3" w:rsidRPr="0092119B" w:rsidRDefault="003400A3" w:rsidP="0092119B">
            <w:pPr>
              <w:pStyle w:val="NoSpacing"/>
              <w:jc w:val="center"/>
              <w:rPr>
                <w:b/>
              </w:rPr>
            </w:pPr>
            <w:r w:rsidRPr="0092119B">
              <w:rPr>
                <w:b/>
              </w:rPr>
              <w:t>%</w:t>
            </w:r>
          </w:p>
        </w:tc>
      </w:tr>
      <w:tr w:rsidR="003400A3" w:rsidRPr="001E2300" w:rsidTr="00897845">
        <w:tc>
          <w:tcPr>
            <w:tcW w:w="3209" w:type="dxa"/>
          </w:tcPr>
          <w:p w:rsidR="003400A3" w:rsidRPr="001E2300" w:rsidRDefault="003400A3" w:rsidP="0092119B">
            <w:pPr>
              <w:pStyle w:val="NoSpacing"/>
            </w:pPr>
            <w:r w:rsidRPr="001E2300">
              <w:t>Access to Physical Collection</w:t>
            </w:r>
          </w:p>
        </w:tc>
        <w:tc>
          <w:tcPr>
            <w:tcW w:w="570" w:type="dxa"/>
          </w:tcPr>
          <w:p w:rsidR="003400A3" w:rsidRPr="001E2300" w:rsidRDefault="003400A3" w:rsidP="0092119B">
            <w:pPr>
              <w:pStyle w:val="NoSpacing"/>
              <w:jc w:val="right"/>
            </w:pPr>
            <w:r w:rsidRPr="001E2300">
              <w:t>8</w:t>
            </w:r>
          </w:p>
        </w:tc>
        <w:tc>
          <w:tcPr>
            <w:tcW w:w="718" w:type="dxa"/>
          </w:tcPr>
          <w:p w:rsidR="003400A3" w:rsidRPr="001E2300" w:rsidRDefault="003400A3" w:rsidP="0092119B">
            <w:pPr>
              <w:pStyle w:val="NoSpacing"/>
              <w:jc w:val="right"/>
            </w:pPr>
            <w:r w:rsidRPr="001E2300">
              <w:t>3.3</w:t>
            </w:r>
          </w:p>
        </w:tc>
        <w:tc>
          <w:tcPr>
            <w:tcW w:w="663" w:type="dxa"/>
          </w:tcPr>
          <w:p w:rsidR="003400A3" w:rsidRPr="001E2300" w:rsidRDefault="003400A3" w:rsidP="0092119B">
            <w:pPr>
              <w:pStyle w:val="NoSpacing"/>
              <w:jc w:val="right"/>
            </w:pPr>
            <w:r w:rsidRPr="001E2300">
              <w:t>70</w:t>
            </w:r>
          </w:p>
        </w:tc>
        <w:tc>
          <w:tcPr>
            <w:tcW w:w="718" w:type="dxa"/>
          </w:tcPr>
          <w:p w:rsidR="003400A3" w:rsidRPr="001E2300" w:rsidRDefault="003400A3" w:rsidP="0092119B">
            <w:pPr>
              <w:pStyle w:val="NoSpacing"/>
              <w:jc w:val="right"/>
            </w:pPr>
            <w:r w:rsidRPr="001E2300">
              <w:t>4.2</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7.3</w:t>
            </w:r>
          </w:p>
        </w:tc>
        <w:tc>
          <w:tcPr>
            <w:tcW w:w="1098" w:type="dxa"/>
          </w:tcPr>
          <w:p w:rsidR="003400A3" w:rsidRPr="001E2300" w:rsidRDefault="003400A3" w:rsidP="0092119B">
            <w:pPr>
              <w:pStyle w:val="NoSpacing"/>
              <w:jc w:val="right"/>
            </w:pPr>
            <w:r w:rsidRPr="001E2300">
              <w:t>9.3</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Budget</w:t>
            </w:r>
          </w:p>
        </w:tc>
        <w:tc>
          <w:tcPr>
            <w:tcW w:w="570" w:type="dxa"/>
          </w:tcPr>
          <w:p w:rsidR="003400A3" w:rsidRPr="001E2300" w:rsidRDefault="003400A3" w:rsidP="0092119B">
            <w:pPr>
              <w:pStyle w:val="NoSpacing"/>
              <w:jc w:val="right"/>
            </w:pPr>
            <w:r w:rsidRPr="001E2300">
              <w:t>0</w:t>
            </w:r>
          </w:p>
        </w:tc>
        <w:tc>
          <w:tcPr>
            <w:tcW w:w="718" w:type="dxa"/>
          </w:tcPr>
          <w:p w:rsidR="003400A3" w:rsidRPr="001E2300" w:rsidRDefault="003400A3" w:rsidP="0092119B">
            <w:pPr>
              <w:pStyle w:val="NoSpacing"/>
              <w:jc w:val="right"/>
            </w:pPr>
            <w:r w:rsidRPr="001E2300">
              <w:t>0.0</w:t>
            </w:r>
          </w:p>
        </w:tc>
        <w:tc>
          <w:tcPr>
            <w:tcW w:w="663" w:type="dxa"/>
          </w:tcPr>
          <w:p w:rsidR="003400A3" w:rsidRPr="001E2300" w:rsidRDefault="003400A3" w:rsidP="0092119B">
            <w:pPr>
              <w:pStyle w:val="NoSpacing"/>
              <w:jc w:val="right"/>
            </w:pPr>
            <w:r w:rsidRPr="001E2300">
              <w:t>2</w:t>
            </w:r>
          </w:p>
        </w:tc>
        <w:tc>
          <w:tcPr>
            <w:tcW w:w="718" w:type="dxa"/>
          </w:tcPr>
          <w:p w:rsidR="003400A3" w:rsidRPr="001E2300" w:rsidRDefault="003400A3" w:rsidP="0092119B">
            <w:pPr>
              <w:pStyle w:val="NoSpacing"/>
              <w:jc w:val="right"/>
            </w:pPr>
            <w:r w:rsidRPr="001E2300">
              <w:t>0.1</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1.9</w:t>
            </w:r>
          </w:p>
        </w:tc>
        <w:tc>
          <w:tcPr>
            <w:tcW w:w="1098" w:type="dxa"/>
          </w:tcPr>
          <w:p w:rsidR="003400A3" w:rsidRPr="001E2300" w:rsidRDefault="003400A3" w:rsidP="0092119B">
            <w:pPr>
              <w:pStyle w:val="NoSpacing"/>
              <w:jc w:val="right"/>
            </w:pPr>
            <w:r w:rsidRPr="001E2300">
              <w:t>1.9</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Circulation</w:t>
            </w:r>
          </w:p>
        </w:tc>
        <w:tc>
          <w:tcPr>
            <w:tcW w:w="570" w:type="dxa"/>
          </w:tcPr>
          <w:p w:rsidR="003400A3" w:rsidRPr="001E2300" w:rsidRDefault="003400A3" w:rsidP="0092119B">
            <w:pPr>
              <w:pStyle w:val="NoSpacing"/>
              <w:jc w:val="right"/>
            </w:pPr>
            <w:r w:rsidRPr="001E2300">
              <w:t>3</w:t>
            </w:r>
          </w:p>
        </w:tc>
        <w:tc>
          <w:tcPr>
            <w:tcW w:w="718" w:type="dxa"/>
          </w:tcPr>
          <w:p w:rsidR="003400A3" w:rsidRPr="001E2300" w:rsidRDefault="003400A3" w:rsidP="0092119B">
            <w:pPr>
              <w:pStyle w:val="NoSpacing"/>
              <w:jc w:val="right"/>
            </w:pPr>
            <w:r w:rsidRPr="001E2300">
              <w:t>1.2</w:t>
            </w:r>
          </w:p>
        </w:tc>
        <w:tc>
          <w:tcPr>
            <w:tcW w:w="663" w:type="dxa"/>
          </w:tcPr>
          <w:p w:rsidR="003400A3" w:rsidRPr="001E2300" w:rsidRDefault="003400A3" w:rsidP="0092119B">
            <w:pPr>
              <w:pStyle w:val="NoSpacing"/>
              <w:jc w:val="right"/>
            </w:pPr>
            <w:r w:rsidRPr="001E2300">
              <w:t>105</w:t>
            </w:r>
          </w:p>
        </w:tc>
        <w:tc>
          <w:tcPr>
            <w:tcW w:w="718" w:type="dxa"/>
          </w:tcPr>
          <w:p w:rsidR="003400A3" w:rsidRPr="001E2300" w:rsidRDefault="003400A3" w:rsidP="0092119B">
            <w:pPr>
              <w:pStyle w:val="NoSpacing"/>
              <w:jc w:val="right"/>
            </w:pPr>
            <w:r w:rsidRPr="001E2300">
              <w:t>6.4</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2.8</w:t>
            </w:r>
          </w:p>
        </w:tc>
        <w:tc>
          <w:tcPr>
            <w:tcW w:w="1098" w:type="dxa"/>
          </w:tcPr>
          <w:p w:rsidR="003400A3" w:rsidRPr="001E2300" w:rsidRDefault="003400A3" w:rsidP="0092119B">
            <w:pPr>
              <w:pStyle w:val="NoSpacing"/>
              <w:jc w:val="right"/>
            </w:pPr>
            <w:r w:rsidRPr="001E2300">
              <w:t>1.6</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Computer Use</w:t>
            </w:r>
          </w:p>
        </w:tc>
        <w:tc>
          <w:tcPr>
            <w:tcW w:w="570" w:type="dxa"/>
          </w:tcPr>
          <w:p w:rsidR="003400A3" w:rsidRPr="001E2300" w:rsidRDefault="003400A3" w:rsidP="0092119B">
            <w:pPr>
              <w:pStyle w:val="NoSpacing"/>
              <w:jc w:val="right"/>
            </w:pPr>
            <w:r w:rsidRPr="001E2300">
              <w:t>1</w:t>
            </w:r>
          </w:p>
        </w:tc>
        <w:tc>
          <w:tcPr>
            <w:tcW w:w="718" w:type="dxa"/>
          </w:tcPr>
          <w:p w:rsidR="003400A3" w:rsidRPr="001E2300" w:rsidRDefault="003400A3" w:rsidP="0092119B">
            <w:pPr>
              <w:pStyle w:val="NoSpacing"/>
              <w:jc w:val="right"/>
            </w:pPr>
            <w:r w:rsidRPr="001E2300">
              <w:t>0.4</w:t>
            </w:r>
          </w:p>
        </w:tc>
        <w:tc>
          <w:tcPr>
            <w:tcW w:w="663" w:type="dxa"/>
          </w:tcPr>
          <w:p w:rsidR="003400A3" w:rsidRPr="001E2300" w:rsidRDefault="003400A3" w:rsidP="0092119B">
            <w:pPr>
              <w:pStyle w:val="NoSpacing"/>
              <w:jc w:val="right"/>
            </w:pPr>
            <w:r w:rsidRPr="001E2300">
              <w:t>49</w:t>
            </w:r>
          </w:p>
        </w:tc>
        <w:tc>
          <w:tcPr>
            <w:tcW w:w="718" w:type="dxa"/>
          </w:tcPr>
          <w:p w:rsidR="003400A3" w:rsidRPr="001E2300" w:rsidRDefault="003400A3" w:rsidP="0092119B">
            <w:pPr>
              <w:pStyle w:val="NoSpacing"/>
              <w:jc w:val="right"/>
            </w:pPr>
            <w:r w:rsidRPr="001E2300">
              <w:t>3.0</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1.1</w:t>
            </w:r>
          </w:p>
        </w:tc>
        <w:tc>
          <w:tcPr>
            <w:tcW w:w="1098" w:type="dxa"/>
          </w:tcPr>
          <w:p w:rsidR="003400A3" w:rsidRPr="001E2300" w:rsidRDefault="003400A3" w:rsidP="0092119B">
            <w:pPr>
              <w:pStyle w:val="NoSpacing"/>
              <w:jc w:val="right"/>
            </w:pPr>
            <w:r w:rsidRPr="001E2300">
              <w:t>0.3</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Databases</w:t>
            </w:r>
          </w:p>
        </w:tc>
        <w:tc>
          <w:tcPr>
            <w:tcW w:w="570" w:type="dxa"/>
          </w:tcPr>
          <w:p w:rsidR="003400A3" w:rsidRPr="001E2300" w:rsidRDefault="003400A3" w:rsidP="0092119B">
            <w:pPr>
              <w:pStyle w:val="NoSpacing"/>
              <w:jc w:val="right"/>
            </w:pPr>
            <w:r w:rsidRPr="001E2300">
              <w:t>22</w:t>
            </w:r>
          </w:p>
        </w:tc>
        <w:tc>
          <w:tcPr>
            <w:tcW w:w="718" w:type="dxa"/>
          </w:tcPr>
          <w:p w:rsidR="003400A3" w:rsidRPr="001E2300" w:rsidRDefault="003400A3" w:rsidP="0092119B">
            <w:pPr>
              <w:pStyle w:val="NoSpacing"/>
              <w:jc w:val="right"/>
            </w:pPr>
            <w:r w:rsidRPr="001E2300">
              <w:t>8.9</w:t>
            </w:r>
          </w:p>
        </w:tc>
        <w:tc>
          <w:tcPr>
            <w:tcW w:w="663" w:type="dxa"/>
          </w:tcPr>
          <w:p w:rsidR="003400A3" w:rsidRPr="001E2300" w:rsidRDefault="003400A3" w:rsidP="0092119B">
            <w:pPr>
              <w:pStyle w:val="NoSpacing"/>
              <w:jc w:val="right"/>
            </w:pPr>
            <w:r w:rsidRPr="001E2300">
              <w:t>133</w:t>
            </w:r>
          </w:p>
        </w:tc>
        <w:tc>
          <w:tcPr>
            <w:tcW w:w="718" w:type="dxa"/>
          </w:tcPr>
          <w:p w:rsidR="003400A3" w:rsidRPr="001E2300" w:rsidRDefault="003400A3" w:rsidP="0092119B">
            <w:pPr>
              <w:pStyle w:val="NoSpacing"/>
              <w:jc w:val="right"/>
            </w:pPr>
            <w:r w:rsidRPr="001E2300">
              <w:t>8.1</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4.0</w:t>
            </w:r>
          </w:p>
        </w:tc>
        <w:tc>
          <w:tcPr>
            <w:tcW w:w="1098" w:type="dxa"/>
          </w:tcPr>
          <w:p w:rsidR="003400A3" w:rsidRPr="001E2300" w:rsidRDefault="003400A3" w:rsidP="0092119B">
            <w:pPr>
              <w:pStyle w:val="NoSpacing"/>
              <w:jc w:val="right"/>
            </w:pPr>
            <w:r w:rsidRPr="001E2300">
              <w:t>5.3</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e-Journals</w:t>
            </w:r>
          </w:p>
        </w:tc>
        <w:tc>
          <w:tcPr>
            <w:tcW w:w="570" w:type="dxa"/>
          </w:tcPr>
          <w:p w:rsidR="003400A3" w:rsidRPr="001E2300" w:rsidRDefault="003400A3" w:rsidP="0092119B">
            <w:pPr>
              <w:pStyle w:val="NoSpacing"/>
              <w:jc w:val="right"/>
            </w:pPr>
            <w:r w:rsidRPr="001E2300">
              <w:t>4</w:t>
            </w:r>
          </w:p>
        </w:tc>
        <w:tc>
          <w:tcPr>
            <w:tcW w:w="718" w:type="dxa"/>
          </w:tcPr>
          <w:p w:rsidR="003400A3" w:rsidRPr="001E2300" w:rsidRDefault="003400A3" w:rsidP="0092119B">
            <w:pPr>
              <w:pStyle w:val="NoSpacing"/>
              <w:jc w:val="right"/>
            </w:pPr>
            <w:r w:rsidRPr="001E2300">
              <w:t>1.6</w:t>
            </w:r>
          </w:p>
        </w:tc>
        <w:tc>
          <w:tcPr>
            <w:tcW w:w="663" w:type="dxa"/>
          </w:tcPr>
          <w:p w:rsidR="003400A3" w:rsidRPr="001E2300" w:rsidRDefault="003400A3" w:rsidP="0092119B">
            <w:pPr>
              <w:pStyle w:val="NoSpacing"/>
              <w:jc w:val="right"/>
            </w:pPr>
            <w:r w:rsidRPr="001E2300">
              <w:t>22</w:t>
            </w:r>
          </w:p>
        </w:tc>
        <w:tc>
          <w:tcPr>
            <w:tcW w:w="718" w:type="dxa"/>
          </w:tcPr>
          <w:p w:rsidR="003400A3" w:rsidRPr="001E2300" w:rsidRDefault="003400A3" w:rsidP="0092119B">
            <w:pPr>
              <w:pStyle w:val="NoSpacing"/>
              <w:jc w:val="right"/>
            </w:pPr>
            <w:r w:rsidRPr="001E2300">
              <w:t>1.3</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6.2</w:t>
            </w:r>
          </w:p>
        </w:tc>
        <w:tc>
          <w:tcPr>
            <w:tcW w:w="1098" w:type="dxa"/>
          </w:tcPr>
          <w:p w:rsidR="003400A3" w:rsidRPr="001E2300" w:rsidRDefault="003400A3" w:rsidP="0092119B">
            <w:pPr>
              <w:pStyle w:val="NoSpacing"/>
              <w:jc w:val="right"/>
            </w:pPr>
            <w:r w:rsidRPr="001E2300">
              <w:t>6.2</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Electronic Collections</w:t>
            </w:r>
          </w:p>
        </w:tc>
        <w:tc>
          <w:tcPr>
            <w:tcW w:w="570" w:type="dxa"/>
          </w:tcPr>
          <w:p w:rsidR="003400A3" w:rsidRPr="001E2300" w:rsidRDefault="003400A3" w:rsidP="0092119B">
            <w:pPr>
              <w:pStyle w:val="NoSpacing"/>
              <w:jc w:val="right"/>
            </w:pPr>
            <w:r w:rsidRPr="001E2300">
              <w:t>21</w:t>
            </w:r>
          </w:p>
        </w:tc>
        <w:tc>
          <w:tcPr>
            <w:tcW w:w="718" w:type="dxa"/>
          </w:tcPr>
          <w:p w:rsidR="003400A3" w:rsidRPr="001E2300" w:rsidRDefault="003400A3" w:rsidP="0092119B">
            <w:pPr>
              <w:pStyle w:val="NoSpacing"/>
              <w:jc w:val="right"/>
            </w:pPr>
            <w:r w:rsidRPr="001E2300">
              <w:t>8.5</w:t>
            </w:r>
          </w:p>
        </w:tc>
        <w:tc>
          <w:tcPr>
            <w:tcW w:w="663" w:type="dxa"/>
          </w:tcPr>
          <w:p w:rsidR="003400A3" w:rsidRPr="001E2300" w:rsidRDefault="003400A3" w:rsidP="0092119B">
            <w:pPr>
              <w:pStyle w:val="NoSpacing"/>
              <w:jc w:val="right"/>
            </w:pPr>
            <w:r w:rsidRPr="001E2300">
              <w:t>113</w:t>
            </w:r>
          </w:p>
        </w:tc>
        <w:tc>
          <w:tcPr>
            <w:tcW w:w="718" w:type="dxa"/>
          </w:tcPr>
          <w:p w:rsidR="003400A3" w:rsidRPr="001E2300" w:rsidRDefault="003400A3" w:rsidP="0092119B">
            <w:pPr>
              <w:pStyle w:val="NoSpacing"/>
              <w:jc w:val="right"/>
            </w:pPr>
            <w:r w:rsidRPr="001E2300">
              <w:t>6.9</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4.3</w:t>
            </w:r>
          </w:p>
        </w:tc>
        <w:tc>
          <w:tcPr>
            <w:tcW w:w="1098" w:type="dxa"/>
          </w:tcPr>
          <w:p w:rsidR="003400A3" w:rsidRPr="001E2300" w:rsidRDefault="003400A3" w:rsidP="0092119B">
            <w:pPr>
              <w:pStyle w:val="NoSpacing"/>
              <w:jc w:val="right"/>
            </w:pPr>
            <w:r w:rsidRPr="001E2300">
              <w:t>5.0</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Environment</w:t>
            </w:r>
          </w:p>
        </w:tc>
        <w:tc>
          <w:tcPr>
            <w:tcW w:w="570" w:type="dxa"/>
          </w:tcPr>
          <w:p w:rsidR="003400A3" w:rsidRPr="001E2300" w:rsidRDefault="003400A3" w:rsidP="0092119B">
            <w:pPr>
              <w:pStyle w:val="NoSpacing"/>
              <w:jc w:val="right"/>
            </w:pPr>
            <w:r w:rsidRPr="001E2300">
              <w:t>5</w:t>
            </w:r>
          </w:p>
        </w:tc>
        <w:tc>
          <w:tcPr>
            <w:tcW w:w="718" w:type="dxa"/>
          </w:tcPr>
          <w:p w:rsidR="003400A3" w:rsidRPr="001E2300" w:rsidRDefault="003400A3" w:rsidP="0092119B">
            <w:pPr>
              <w:pStyle w:val="NoSpacing"/>
              <w:jc w:val="right"/>
            </w:pPr>
            <w:r w:rsidRPr="001E2300">
              <w:t>2.0</w:t>
            </w:r>
          </w:p>
        </w:tc>
        <w:tc>
          <w:tcPr>
            <w:tcW w:w="663" w:type="dxa"/>
          </w:tcPr>
          <w:p w:rsidR="003400A3" w:rsidRPr="001E2300" w:rsidRDefault="003400A3" w:rsidP="0092119B">
            <w:pPr>
              <w:pStyle w:val="NoSpacing"/>
              <w:jc w:val="right"/>
            </w:pPr>
            <w:r w:rsidRPr="001E2300">
              <w:t>1</w:t>
            </w:r>
          </w:p>
        </w:tc>
        <w:tc>
          <w:tcPr>
            <w:tcW w:w="718" w:type="dxa"/>
          </w:tcPr>
          <w:p w:rsidR="003400A3" w:rsidRPr="001E2300" w:rsidRDefault="003400A3" w:rsidP="0092119B">
            <w:pPr>
              <w:pStyle w:val="NoSpacing"/>
              <w:jc w:val="right"/>
            </w:pPr>
            <w:r w:rsidRPr="001E2300">
              <w:t>0.1</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6.3</w:t>
            </w:r>
          </w:p>
        </w:tc>
        <w:tc>
          <w:tcPr>
            <w:tcW w:w="1098" w:type="dxa"/>
          </w:tcPr>
          <w:p w:rsidR="003400A3" w:rsidRPr="001E2300" w:rsidRDefault="003400A3" w:rsidP="0092119B">
            <w:pPr>
              <w:pStyle w:val="NoSpacing"/>
              <w:jc w:val="right"/>
            </w:pPr>
            <w:r w:rsidRPr="001E2300">
              <w:t>4.7</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Equipment</w:t>
            </w:r>
          </w:p>
        </w:tc>
        <w:tc>
          <w:tcPr>
            <w:tcW w:w="570" w:type="dxa"/>
          </w:tcPr>
          <w:p w:rsidR="003400A3" w:rsidRPr="001E2300" w:rsidRDefault="003400A3" w:rsidP="0092119B">
            <w:pPr>
              <w:pStyle w:val="NoSpacing"/>
              <w:jc w:val="right"/>
            </w:pPr>
            <w:r w:rsidRPr="001E2300">
              <w:t>4</w:t>
            </w:r>
          </w:p>
        </w:tc>
        <w:tc>
          <w:tcPr>
            <w:tcW w:w="718" w:type="dxa"/>
          </w:tcPr>
          <w:p w:rsidR="003400A3" w:rsidRPr="001E2300" w:rsidRDefault="003400A3" w:rsidP="0092119B">
            <w:pPr>
              <w:pStyle w:val="NoSpacing"/>
              <w:jc w:val="right"/>
            </w:pPr>
            <w:r w:rsidRPr="001E2300">
              <w:t>1.6</w:t>
            </w:r>
          </w:p>
        </w:tc>
        <w:tc>
          <w:tcPr>
            <w:tcW w:w="663" w:type="dxa"/>
          </w:tcPr>
          <w:p w:rsidR="003400A3" w:rsidRPr="001E2300" w:rsidRDefault="003400A3" w:rsidP="0092119B">
            <w:pPr>
              <w:pStyle w:val="NoSpacing"/>
              <w:jc w:val="right"/>
            </w:pPr>
            <w:r w:rsidRPr="001E2300">
              <w:t>59</w:t>
            </w:r>
          </w:p>
        </w:tc>
        <w:tc>
          <w:tcPr>
            <w:tcW w:w="718" w:type="dxa"/>
          </w:tcPr>
          <w:p w:rsidR="003400A3" w:rsidRPr="001E2300" w:rsidRDefault="003400A3" w:rsidP="0092119B">
            <w:pPr>
              <w:pStyle w:val="NoSpacing"/>
              <w:jc w:val="right"/>
            </w:pPr>
            <w:r w:rsidRPr="001E2300">
              <w:t>3.6</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4.1</w:t>
            </w:r>
          </w:p>
        </w:tc>
        <w:tc>
          <w:tcPr>
            <w:tcW w:w="1098" w:type="dxa"/>
          </w:tcPr>
          <w:p w:rsidR="003400A3" w:rsidRPr="001E2300" w:rsidRDefault="003400A3" w:rsidP="0092119B">
            <w:pPr>
              <w:pStyle w:val="NoSpacing"/>
              <w:jc w:val="right"/>
            </w:pPr>
            <w:r w:rsidRPr="001E2300">
              <w:t>3.7</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Facilities</w:t>
            </w:r>
          </w:p>
        </w:tc>
        <w:tc>
          <w:tcPr>
            <w:tcW w:w="570" w:type="dxa"/>
          </w:tcPr>
          <w:p w:rsidR="003400A3" w:rsidRPr="001E2300" w:rsidRDefault="003400A3" w:rsidP="0092119B">
            <w:pPr>
              <w:pStyle w:val="NoSpacing"/>
              <w:jc w:val="right"/>
            </w:pPr>
            <w:r w:rsidRPr="001E2300">
              <w:t>1</w:t>
            </w:r>
          </w:p>
        </w:tc>
        <w:tc>
          <w:tcPr>
            <w:tcW w:w="718" w:type="dxa"/>
          </w:tcPr>
          <w:p w:rsidR="003400A3" w:rsidRPr="001E2300" w:rsidRDefault="003400A3" w:rsidP="0092119B">
            <w:pPr>
              <w:pStyle w:val="NoSpacing"/>
              <w:jc w:val="right"/>
            </w:pPr>
            <w:r w:rsidRPr="001E2300">
              <w:t>0.4</w:t>
            </w:r>
          </w:p>
        </w:tc>
        <w:tc>
          <w:tcPr>
            <w:tcW w:w="663" w:type="dxa"/>
          </w:tcPr>
          <w:p w:rsidR="003400A3" w:rsidRPr="001E2300" w:rsidRDefault="003400A3" w:rsidP="0092119B">
            <w:pPr>
              <w:pStyle w:val="NoSpacing"/>
              <w:jc w:val="right"/>
            </w:pPr>
            <w:r w:rsidRPr="001E2300">
              <w:t>6</w:t>
            </w:r>
          </w:p>
        </w:tc>
        <w:tc>
          <w:tcPr>
            <w:tcW w:w="718" w:type="dxa"/>
          </w:tcPr>
          <w:p w:rsidR="003400A3" w:rsidRPr="001E2300" w:rsidRDefault="003400A3" w:rsidP="0092119B">
            <w:pPr>
              <w:pStyle w:val="NoSpacing"/>
              <w:jc w:val="right"/>
            </w:pPr>
            <w:r w:rsidRPr="001E2300">
              <w:t>0.4</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2.2</w:t>
            </w:r>
          </w:p>
        </w:tc>
        <w:tc>
          <w:tcPr>
            <w:tcW w:w="1098" w:type="dxa"/>
          </w:tcPr>
          <w:p w:rsidR="003400A3" w:rsidRPr="001E2300" w:rsidRDefault="003400A3" w:rsidP="0092119B">
            <w:pPr>
              <w:pStyle w:val="NoSpacing"/>
              <w:jc w:val="right"/>
            </w:pPr>
            <w:r w:rsidRPr="001E2300">
              <w:t>1.6</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Furniture</w:t>
            </w:r>
          </w:p>
        </w:tc>
        <w:tc>
          <w:tcPr>
            <w:tcW w:w="570" w:type="dxa"/>
          </w:tcPr>
          <w:p w:rsidR="003400A3" w:rsidRPr="001E2300" w:rsidRDefault="003400A3" w:rsidP="0092119B">
            <w:pPr>
              <w:pStyle w:val="NoSpacing"/>
              <w:jc w:val="right"/>
            </w:pPr>
            <w:r w:rsidRPr="001E2300">
              <w:t>0</w:t>
            </w:r>
          </w:p>
        </w:tc>
        <w:tc>
          <w:tcPr>
            <w:tcW w:w="718" w:type="dxa"/>
          </w:tcPr>
          <w:p w:rsidR="003400A3" w:rsidRPr="001E2300" w:rsidRDefault="003400A3" w:rsidP="0092119B">
            <w:pPr>
              <w:pStyle w:val="NoSpacing"/>
              <w:jc w:val="right"/>
            </w:pPr>
            <w:r w:rsidRPr="001E2300">
              <w:t>0.0</w:t>
            </w:r>
          </w:p>
        </w:tc>
        <w:tc>
          <w:tcPr>
            <w:tcW w:w="663" w:type="dxa"/>
          </w:tcPr>
          <w:p w:rsidR="003400A3" w:rsidRPr="001E2300" w:rsidRDefault="003400A3" w:rsidP="0092119B">
            <w:pPr>
              <w:pStyle w:val="NoSpacing"/>
              <w:jc w:val="right"/>
            </w:pPr>
            <w:r w:rsidRPr="001E2300">
              <w:t>0</w:t>
            </w:r>
          </w:p>
        </w:tc>
        <w:tc>
          <w:tcPr>
            <w:tcW w:w="718" w:type="dxa"/>
          </w:tcPr>
          <w:p w:rsidR="003400A3" w:rsidRPr="001E2300" w:rsidRDefault="003400A3" w:rsidP="0092119B">
            <w:pPr>
              <w:pStyle w:val="NoSpacing"/>
              <w:jc w:val="right"/>
            </w:pPr>
            <w:r w:rsidRPr="001E2300">
              <w:t>0.0</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Borders>
              <w:bottom w:val="single" w:sz="4" w:space="0" w:color="000000"/>
            </w:tcBorders>
          </w:tcPr>
          <w:p w:rsidR="003400A3" w:rsidRPr="001E2300" w:rsidRDefault="003400A3" w:rsidP="0092119B">
            <w:pPr>
              <w:pStyle w:val="NoSpacing"/>
              <w:jc w:val="right"/>
            </w:pPr>
            <w:r w:rsidRPr="001E2300">
              <w:t>1.8</w:t>
            </w:r>
          </w:p>
        </w:tc>
        <w:tc>
          <w:tcPr>
            <w:tcW w:w="1098" w:type="dxa"/>
            <w:tcBorders>
              <w:bottom w:val="single" w:sz="4" w:space="0" w:color="000000"/>
            </w:tcBorders>
          </w:tcPr>
          <w:p w:rsidR="003400A3" w:rsidRPr="001E2300" w:rsidRDefault="003400A3" w:rsidP="0092119B">
            <w:pPr>
              <w:pStyle w:val="NoSpacing"/>
              <w:jc w:val="right"/>
            </w:pPr>
            <w:r w:rsidRPr="001E2300">
              <w:t>2.2</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General / Overall</w:t>
            </w:r>
          </w:p>
        </w:tc>
        <w:tc>
          <w:tcPr>
            <w:tcW w:w="570" w:type="dxa"/>
          </w:tcPr>
          <w:p w:rsidR="003400A3" w:rsidRPr="001E2300" w:rsidRDefault="003400A3" w:rsidP="0092119B">
            <w:pPr>
              <w:pStyle w:val="NoSpacing"/>
              <w:jc w:val="right"/>
            </w:pPr>
            <w:r w:rsidRPr="001E2300">
              <w:t>0</w:t>
            </w:r>
          </w:p>
        </w:tc>
        <w:tc>
          <w:tcPr>
            <w:tcW w:w="718" w:type="dxa"/>
          </w:tcPr>
          <w:p w:rsidR="003400A3" w:rsidRPr="001E2300" w:rsidRDefault="003400A3" w:rsidP="0092119B">
            <w:pPr>
              <w:pStyle w:val="NoSpacing"/>
              <w:jc w:val="right"/>
            </w:pPr>
            <w:r w:rsidRPr="001E2300">
              <w:t>0.0</w:t>
            </w:r>
          </w:p>
        </w:tc>
        <w:tc>
          <w:tcPr>
            <w:tcW w:w="663" w:type="dxa"/>
          </w:tcPr>
          <w:p w:rsidR="003400A3" w:rsidRPr="001E2300" w:rsidRDefault="003400A3" w:rsidP="0092119B">
            <w:pPr>
              <w:pStyle w:val="NoSpacing"/>
              <w:jc w:val="right"/>
            </w:pPr>
            <w:r w:rsidRPr="001E2300">
              <w:t>5</w:t>
            </w:r>
          </w:p>
        </w:tc>
        <w:tc>
          <w:tcPr>
            <w:tcW w:w="718" w:type="dxa"/>
          </w:tcPr>
          <w:p w:rsidR="003400A3" w:rsidRPr="001E2300" w:rsidRDefault="003400A3" w:rsidP="0092119B">
            <w:pPr>
              <w:pStyle w:val="NoSpacing"/>
              <w:jc w:val="right"/>
            </w:pPr>
            <w:r w:rsidRPr="001E2300">
              <w:t>0.3</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shd w:val="clear" w:color="auto" w:fill="FFFF00"/>
          </w:tcPr>
          <w:p w:rsidR="003400A3" w:rsidRPr="001E2300" w:rsidRDefault="003400A3" w:rsidP="0092119B">
            <w:pPr>
              <w:pStyle w:val="NoSpacing"/>
              <w:jc w:val="right"/>
            </w:pPr>
            <w:r w:rsidRPr="001E2300">
              <w:t>11.3</w:t>
            </w:r>
          </w:p>
        </w:tc>
        <w:tc>
          <w:tcPr>
            <w:tcW w:w="1098" w:type="dxa"/>
            <w:shd w:val="clear" w:color="auto" w:fill="FFFF00"/>
          </w:tcPr>
          <w:p w:rsidR="003400A3" w:rsidRPr="001E2300" w:rsidRDefault="003400A3" w:rsidP="0092119B">
            <w:pPr>
              <w:pStyle w:val="NoSpacing"/>
              <w:jc w:val="right"/>
            </w:pPr>
            <w:r w:rsidRPr="001E2300">
              <w:t>12.1</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Hours</w:t>
            </w:r>
          </w:p>
        </w:tc>
        <w:tc>
          <w:tcPr>
            <w:tcW w:w="570" w:type="dxa"/>
          </w:tcPr>
          <w:p w:rsidR="003400A3" w:rsidRPr="001E2300" w:rsidRDefault="003400A3" w:rsidP="0092119B">
            <w:pPr>
              <w:pStyle w:val="NoSpacing"/>
              <w:jc w:val="right"/>
            </w:pPr>
            <w:r w:rsidRPr="001E2300">
              <w:t>0</w:t>
            </w:r>
          </w:p>
        </w:tc>
        <w:tc>
          <w:tcPr>
            <w:tcW w:w="718" w:type="dxa"/>
          </w:tcPr>
          <w:p w:rsidR="003400A3" w:rsidRPr="001E2300" w:rsidRDefault="003400A3" w:rsidP="0092119B">
            <w:pPr>
              <w:pStyle w:val="NoSpacing"/>
              <w:jc w:val="right"/>
            </w:pPr>
            <w:r w:rsidRPr="001E2300">
              <w:t>0.0</w:t>
            </w:r>
          </w:p>
        </w:tc>
        <w:tc>
          <w:tcPr>
            <w:tcW w:w="663" w:type="dxa"/>
            <w:tcBorders>
              <w:bottom w:val="single" w:sz="4" w:space="0" w:color="000000"/>
            </w:tcBorders>
          </w:tcPr>
          <w:p w:rsidR="003400A3" w:rsidRPr="001E2300" w:rsidRDefault="003400A3" w:rsidP="0092119B">
            <w:pPr>
              <w:pStyle w:val="NoSpacing"/>
              <w:jc w:val="right"/>
            </w:pPr>
            <w:r w:rsidRPr="001E2300">
              <w:t>29</w:t>
            </w:r>
          </w:p>
        </w:tc>
        <w:tc>
          <w:tcPr>
            <w:tcW w:w="718" w:type="dxa"/>
            <w:tcBorders>
              <w:bottom w:val="single" w:sz="4" w:space="0" w:color="000000"/>
            </w:tcBorders>
          </w:tcPr>
          <w:p w:rsidR="003400A3" w:rsidRPr="001E2300" w:rsidRDefault="003400A3" w:rsidP="0092119B">
            <w:pPr>
              <w:pStyle w:val="NoSpacing"/>
              <w:jc w:val="right"/>
            </w:pPr>
            <w:r w:rsidRPr="001E2300">
              <w:t>1.8</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Borders>
              <w:bottom w:val="single" w:sz="4" w:space="0" w:color="000000"/>
            </w:tcBorders>
          </w:tcPr>
          <w:p w:rsidR="003400A3" w:rsidRPr="001E2300" w:rsidRDefault="003400A3" w:rsidP="0092119B">
            <w:pPr>
              <w:pStyle w:val="NoSpacing"/>
              <w:jc w:val="right"/>
            </w:pPr>
            <w:r w:rsidRPr="001E2300">
              <w:t>3.4</w:t>
            </w:r>
          </w:p>
        </w:tc>
        <w:tc>
          <w:tcPr>
            <w:tcW w:w="1098" w:type="dxa"/>
            <w:tcBorders>
              <w:bottom w:val="single" w:sz="4" w:space="0" w:color="000000"/>
            </w:tcBorders>
          </w:tcPr>
          <w:p w:rsidR="003400A3" w:rsidRPr="001E2300" w:rsidRDefault="003400A3" w:rsidP="0092119B">
            <w:pPr>
              <w:pStyle w:val="NoSpacing"/>
              <w:jc w:val="right"/>
            </w:pPr>
            <w:r w:rsidRPr="001E2300">
              <w:t>2.2</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Information Center</w:t>
            </w:r>
          </w:p>
        </w:tc>
        <w:tc>
          <w:tcPr>
            <w:tcW w:w="570" w:type="dxa"/>
          </w:tcPr>
          <w:p w:rsidR="003400A3" w:rsidRPr="001E2300" w:rsidRDefault="003400A3" w:rsidP="0092119B">
            <w:pPr>
              <w:pStyle w:val="NoSpacing"/>
              <w:jc w:val="right"/>
            </w:pPr>
            <w:r w:rsidRPr="001E2300">
              <w:t>0</w:t>
            </w:r>
          </w:p>
        </w:tc>
        <w:tc>
          <w:tcPr>
            <w:tcW w:w="718" w:type="dxa"/>
          </w:tcPr>
          <w:p w:rsidR="003400A3" w:rsidRPr="001E2300" w:rsidRDefault="003400A3" w:rsidP="0092119B">
            <w:pPr>
              <w:pStyle w:val="NoSpacing"/>
              <w:jc w:val="right"/>
            </w:pPr>
            <w:r w:rsidRPr="001E2300">
              <w:t>0.0</w:t>
            </w:r>
          </w:p>
        </w:tc>
        <w:tc>
          <w:tcPr>
            <w:tcW w:w="663" w:type="dxa"/>
            <w:shd w:val="clear" w:color="auto" w:fill="FFFF00"/>
          </w:tcPr>
          <w:p w:rsidR="003400A3" w:rsidRPr="001E2300" w:rsidRDefault="003400A3" w:rsidP="0092119B">
            <w:pPr>
              <w:pStyle w:val="NoSpacing"/>
              <w:jc w:val="right"/>
            </w:pPr>
            <w:r w:rsidRPr="001E2300">
              <w:t>260</w:t>
            </w:r>
          </w:p>
        </w:tc>
        <w:tc>
          <w:tcPr>
            <w:tcW w:w="718" w:type="dxa"/>
            <w:shd w:val="clear" w:color="auto" w:fill="FFFF00"/>
          </w:tcPr>
          <w:p w:rsidR="003400A3" w:rsidRPr="001E2300" w:rsidRDefault="003400A3" w:rsidP="0092119B">
            <w:pPr>
              <w:pStyle w:val="NoSpacing"/>
              <w:jc w:val="right"/>
            </w:pPr>
            <w:r w:rsidRPr="001E2300">
              <w:t>15.8</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shd w:val="clear" w:color="auto" w:fill="FFFF00"/>
          </w:tcPr>
          <w:p w:rsidR="003400A3" w:rsidRPr="001E2300" w:rsidRDefault="003400A3" w:rsidP="0092119B">
            <w:pPr>
              <w:pStyle w:val="NoSpacing"/>
              <w:jc w:val="right"/>
            </w:pPr>
            <w:r w:rsidRPr="001E2300">
              <w:t>11.7</w:t>
            </w:r>
          </w:p>
        </w:tc>
        <w:tc>
          <w:tcPr>
            <w:tcW w:w="1098" w:type="dxa"/>
            <w:shd w:val="clear" w:color="auto" w:fill="FFFF00"/>
          </w:tcPr>
          <w:p w:rsidR="003400A3" w:rsidRPr="001E2300" w:rsidRDefault="003400A3" w:rsidP="0092119B">
            <w:pPr>
              <w:pStyle w:val="NoSpacing"/>
              <w:jc w:val="right"/>
            </w:pPr>
            <w:r w:rsidRPr="001E2300">
              <w:t>14.6</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Interlibrary Loan</w:t>
            </w:r>
          </w:p>
        </w:tc>
        <w:tc>
          <w:tcPr>
            <w:tcW w:w="570" w:type="dxa"/>
          </w:tcPr>
          <w:p w:rsidR="003400A3" w:rsidRPr="001E2300" w:rsidRDefault="003400A3" w:rsidP="0092119B">
            <w:pPr>
              <w:pStyle w:val="NoSpacing"/>
              <w:jc w:val="right"/>
            </w:pPr>
            <w:r w:rsidRPr="001E2300">
              <w:t>2</w:t>
            </w:r>
          </w:p>
        </w:tc>
        <w:tc>
          <w:tcPr>
            <w:tcW w:w="718" w:type="dxa"/>
          </w:tcPr>
          <w:p w:rsidR="003400A3" w:rsidRPr="001E2300" w:rsidRDefault="003400A3" w:rsidP="0092119B">
            <w:pPr>
              <w:pStyle w:val="NoSpacing"/>
              <w:jc w:val="right"/>
            </w:pPr>
            <w:r w:rsidRPr="001E2300">
              <w:t>0.8</w:t>
            </w:r>
          </w:p>
        </w:tc>
        <w:tc>
          <w:tcPr>
            <w:tcW w:w="663" w:type="dxa"/>
          </w:tcPr>
          <w:p w:rsidR="003400A3" w:rsidRPr="001E2300" w:rsidRDefault="003400A3" w:rsidP="0092119B">
            <w:pPr>
              <w:pStyle w:val="NoSpacing"/>
              <w:jc w:val="right"/>
            </w:pPr>
            <w:r w:rsidRPr="001E2300">
              <w:t>110</w:t>
            </w:r>
          </w:p>
        </w:tc>
        <w:tc>
          <w:tcPr>
            <w:tcW w:w="718" w:type="dxa"/>
          </w:tcPr>
          <w:p w:rsidR="003400A3" w:rsidRPr="001E2300" w:rsidRDefault="003400A3" w:rsidP="0092119B">
            <w:pPr>
              <w:pStyle w:val="NoSpacing"/>
              <w:jc w:val="right"/>
            </w:pPr>
            <w:r w:rsidRPr="001E2300">
              <w:t>6.7</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4.7</w:t>
            </w:r>
          </w:p>
        </w:tc>
        <w:tc>
          <w:tcPr>
            <w:tcW w:w="1098" w:type="dxa"/>
          </w:tcPr>
          <w:p w:rsidR="003400A3" w:rsidRPr="001E2300" w:rsidRDefault="003400A3" w:rsidP="0092119B">
            <w:pPr>
              <w:pStyle w:val="NoSpacing"/>
              <w:jc w:val="right"/>
            </w:pPr>
            <w:r w:rsidRPr="001E2300">
              <w:t>4.7</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Other</w:t>
            </w:r>
          </w:p>
        </w:tc>
        <w:tc>
          <w:tcPr>
            <w:tcW w:w="570" w:type="dxa"/>
          </w:tcPr>
          <w:p w:rsidR="003400A3" w:rsidRPr="001E2300" w:rsidRDefault="003400A3" w:rsidP="0092119B">
            <w:pPr>
              <w:pStyle w:val="NoSpacing"/>
              <w:jc w:val="right"/>
            </w:pPr>
            <w:r w:rsidRPr="001E2300">
              <w:t>57</w:t>
            </w:r>
          </w:p>
        </w:tc>
        <w:tc>
          <w:tcPr>
            <w:tcW w:w="718" w:type="dxa"/>
          </w:tcPr>
          <w:p w:rsidR="003400A3" w:rsidRPr="001E2300" w:rsidRDefault="003400A3" w:rsidP="0092119B">
            <w:pPr>
              <w:pStyle w:val="NoSpacing"/>
              <w:jc w:val="right"/>
            </w:pPr>
            <w:r w:rsidRPr="001E2300">
              <w:t>23.2</w:t>
            </w:r>
          </w:p>
        </w:tc>
        <w:tc>
          <w:tcPr>
            <w:tcW w:w="663" w:type="dxa"/>
          </w:tcPr>
          <w:p w:rsidR="003400A3" w:rsidRPr="001E2300" w:rsidRDefault="003400A3" w:rsidP="0092119B">
            <w:pPr>
              <w:pStyle w:val="NoSpacing"/>
              <w:jc w:val="right"/>
            </w:pPr>
            <w:r w:rsidRPr="001E2300">
              <w:t>191</w:t>
            </w:r>
          </w:p>
        </w:tc>
        <w:tc>
          <w:tcPr>
            <w:tcW w:w="718" w:type="dxa"/>
          </w:tcPr>
          <w:p w:rsidR="003400A3" w:rsidRPr="001E2300" w:rsidRDefault="003400A3" w:rsidP="0092119B">
            <w:pPr>
              <w:pStyle w:val="NoSpacing"/>
              <w:jc w:val="right"/>
            </w:pPr>
            <w:r w:rsidRPr="001E2300">
              <w:t>11.6</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1.7</w:t>
            </w:r>
          </w:p>
        </w:tc>
        <w:tc>
          <w:tcPr>
            <w:tcW w:w="1098" w:type="dxa"/>
          </w:tcPr>
          <w:p w:rsidR="003400A3" w:rsidRPr="001E2300" w:rsidRDefault="003400A3" w:rsidP="0092119B">
            <w:pPr>
              <w:pStyle w:val="NoSpacing"/>
              <w:jc w:val="right"/>
            </w:pPr>
            <w:r w:rsidRPr="001E2300">
              <w:t>2.8</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Personnel</w:t>
            </w:r>
          </w:p>
        </w:tc>
        <w:tc>
          <w:tcPr>
            <w:tcW w:w="570" w:type="dxa"/>
            <w:tcBorders>
              <w:bottom w:val="single" w:sz="4" w:space="0" w:color="000000"/>
            </w:tcBorders>
          </w:tcPr>
          <w:p w:rsidR="003400A3" w:rsidRPr="001E2300" w:rsidRDefault="003400A3" w:rsidP="0092119B">
            <w:pPr>
              <w:pStyle w:val="NoSpacing"/>
              <w:jc w:val="right"/>
            </w:pPr>
            <w:r w:rsidRPr="001E2300">
              <w:t>0</w:t>
            </w:r>
          </w:p>
        </w:tc>
        <w:tc>
          <w:tcPr>
            <w:tcW w:w="718" w:type="dxa"/>
            <w:tcBorders>
              <w:bottom w:val="single" w:sz="4" w:space="0" w:color="000000"/>
            </w:tcBorders>
          </w:tcPr>
          <w:p w:rsidR="003400A3" w:rsidRPr="001E2300" w:rsidRDefault="003400A3" w:rsidP="0092119B">
            <w:pPr>
              <w:pStyle w:val="NoSpacing"/>
              <w:jc w:val="right"/>
            </w:pPr>
            <w:r w:rsidRPr="001E2300">
              <w:t>0.0</w:t>
            </w:r>
          </w:p>
        </w:tc>
        <w:tc>
          <w:tcPr>
            <w:tcW w:w="663" w:type="dxa"/>
          </w:tcPr>
          <w:p w:rsidR="003400A3" w:rsidRPr="001E2300" w:rsidRDefault="003400A3" w:rsidP="0092119B">
            <w:pPr>
              <w:pStyle w:val="NoSpacing"/>
              <w:jc w:val="right"/>
            </w:pPr>
            <w:r w:rsidRPr="001E2300">
              <w:t>9</w:t>
            </w:r>
          </w:p>
        </w:tc>
        <w:tc>
          <w:tcPr>
            <w:tcW w:w="718" w:type="dxa"/>
          </w:tcPr>
          <w:p w:rsidR="003400A3" w:rsidRPr="001E2300" w:rsidRDefault="003400A3" w:rsidP="0092119B">
            <w:pPr>
              <w:pStyle w:val="NoSpacing"/>
              <w:jc w:val="right"/>
            </w:pPr>
            <w:r w:rsidRPr="001E2300">
              <w:t>0.5</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5.6</w:t>
            </w:r>
          </w:p>
        </w:tc>
        <w:tc>
          <w:tcPr>
            <w:tcW w:w="1098" w:type="dxa"/>
          </w:tcPr>
          <w:p w:rsidR="003400A3" w:rsidRPr="001E2300" w:rsidRDefault="003400A3" w:rsidP="0092119B">
            <w:pPr>
              <w:pStyle w:val="NoSpacing"/>
              <w:jc w:val="right"/>
            </w:pPr>
            <w:r w:rsidRPr="001E2300">
              <w:t>2.5</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Physical Collection</w:t>
            </w:r>
          </w:p>
        </w:tc>
        <w:tc>
          <w:tcPr>
            <w:tcW w:w="570" w:type="dxa"/>
            <w:shd w:val="clear" w:color="auto" w:fill="FFFF00"/>
          </w:tcPr>
          <w:p w:rsidR="003400A3" w:rsidRPr="001E2300" w:rsidRDefault="003400A3" w:rsidP="0092119B">
            <w:pPr>
              <w:pStyle w:val="NoSpacing"/>
              <w:jc w:val="right"/>
            </w:pPr>
            <w:r w:rsidRPr="001E2300">
              <w:t>26</w:t>
            </w:r>
          </w:p>
        </w:tc>
        <w:tc>
          <w:tcPr>
            <w:tcW w:w="718" w:type="dxa"/>
            <w:shd w:val="clear" w:color="auto" w:fill="FFFF00"/>
          </w:tcPr>
          <w:p w:rsidR="003400A3" w:rsidRPr="001E2300" w:rsidRDefault="003400A3" w:rsidP="0092119B">
            <w:pPr>
              <w:pStyle w:val="NoSpacing"/>
              <w:jc w:val="right"/>
            </w:pPr>
            <w:r w:rsidRPr="001E2300">
              <w:t>10.6</w:t>
            </w:r>
          </w:p>
        </w:tc>
        <w:tc>
          <w:tcPr>
            <w:tcW w:w="663" w:type="dxa"/>
          </w:tcPr>
          <w:p w:rsidR="003400A3" w:rsidRPr="001E2300" w:rsidRDefault="003400A3" w:rsidP="0092119B">
            <w:pPr>
              <w:pStyle w:val="NoSpacing"/>
              <w:jc w:val="right"/>
            </w:pPr>
            <w:r w:rsidRPr="001E2300">
              <w:t>75</w:t>
            </w:r>
          </w:p>
        </w:tc>
        <w:tc>
          <w:tcPr>
            <w:tcW w:w="718" w:type="dxa"/>
          </w:tcPr>
          <w:p w:rsidR="003400A3" w:rsidRPr="001E2300" w:rsidRDefault="003400A3" w:rsidP="0092119B">
            <w:pPr>
              <w:pStyle w:val="NoSpacing"/>
              <w:jc w:val="right"/>
            </w:pPr>
            <w:r w:rsidRPr="001E2300">
              <w:t>4.5</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5.4</w:t>
            </w:r>
          </w:p>
        </w:tc>
        <w:tc>
          <w:tcPr>
            <w:tcW w:w="1098" w:type="dxa"/>
          </w:tcPr>
          <w:p w:rsidR="003400A3" w:rsidRPr="001E2300" w:rsidRDefault="003400A3" w:rsidP="0092119B">
            <w:pPr>
              <w:pStyle w:val="NoSpacing"/>
              <w:jc w:val="right"/>
            </w:pPr>
            <w:r w:rsidRPr="001E2300">
              <w:t>3.1</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Policies</w:t>
            </w:r>
          </w:p>
        </w:tc>
        <w:tc>
          <w:tcPr>
            <w:tcW w:w="570" w:type="dxa"/>
          </w:tcPr>
          <w:p w:rsidR="003400A3" w:rsidRPr="001E2300" w:rsidRDefault="003400A3" w:rsidP="0092119B">
            <w:pPr>
              <w:pStyle w:val="NoSpacing"/>
              <w:jc w:val="right"/>
            </w:pPr>
            <w:r w:rsidRPr="001E2300">
              <w:t>13</w:t>
            </w:r>
          </w:p>
        </w:tc>
        <w:tc>
          <w:tcPr>
            <w:tcW w:w="718" w:type="dxa"/>
          </w:tcPr>
          <w:p w:rsidR="003400A3" w:rsidRPr="001E2300" w:rsidRDefault="003400A3" w:rsidP="0092119B">
            <w:pPr>
              <w:pStyle w:val="NoSpacing"/>
              <w:jc w:val="right"/>
            </w:pPr>
            <w:r w:rsidRPr="001E2300">
              <w:t>5.3</w:t>
            </w:r>
          </w:p>
        </w:tc>
        <w:tc>
          <w:tcPr>
            <w:tcW w:w="663" w:type="dxa"/>
          </w:tcPr>
          <w:p w:rsidR="003400A3" w:rsidRPr="001E2300" w:rsidRDefault="003400A3" w:rsidP="0092119B">
            <w:pPr>
              <w:pStyle w:val="NoSpacing"/>
              <w:jc w:val="right"/>
            </w:pPr>
            <w:r w:rsidRPr="001E2300">
              <w:t>36</w:t>
            </w:r>
          </w:p>
        </w:tc>
        <w:tc>
          <w:tcPr>
            <w:tcW w:w="718" w:type="dxa"/>
          </w:tcPr>
          <w:p w:rsidR="003400A3" w:rsidRPr="001E2300" w:rsidRDefault="003400A3" w:rsidP="0092119B">
            <w:pPr>
              <w:pStyle w:val="NoSpacing"/>
              <w:jc w:val="right"/>
            </w:pPr>
            <w:r w:rsidRPr="001E2300">
              <w:t>2.2</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1.5</w:t>
            </w:r>
          </w:p>
        </w:tc>
        <w:tc>
          <w:tcPr>
            <w:tcW w:w="1098" w:type="dxa"/>
          </w:tcPr>
          <w:p w:rsidR="003400A3" w:rsidRPr="001E2300" w:rsidRDefault="003400A3" w:rsidP="0092119B">
            <w:pPr>
              <w:pStyle w:val="NoSpacing"/>
              <w:jc w:val="right"/>
            </w:pPr>
            <w:r w:rsidRPr="001E2300">
              <w:t>2.2</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Referral</w:t>
            </w:r>
          </w:p>
        </w:tc>
        <w:tc>
          <w:tcPr>
            <w:tcW w:w="570" w:type="dxa"/>
            <w:tcBorders>
              <w:bottom w:val="single" w:sz="4" w:space="0" w:color="000000"/>
            </w:tcBorders>
          </w:tcPr>
          <w:p w:rsidR="003400A3" w:rsidRPr="001E2300" w:rsidRDefault="003400A3" w:rsidP="0092119B">
            <w:pPr>
              <w:pStyle w:val="NoSpacing"/>
              <w:jc w:val="right"/>
            </w:pPr>
            <w:r w:rsidRPr="001E2300">
              <w:t>0</w:t>
            </w:r>
          </w:p>
        </w:tc>
        <w:tc>
          <w:tcPr>
            <w:tcW w:w="718" w:type="dxa"/>
            <w:tcBorders>
              <w:bottom w:val="single" w:sz="4" w:space="0" w:color="000000"/>
            </w:tcBorders>
          </w:tcPr>
          <w:p w:rsidR="003400A3" w:rsidRPr="001E2300" w:rsidRDefault="003400A3" w:rsidP="0092119B">
            <w:pPr>
              <w:pStyle w:val="NoSpacing"/>
              <w:jc w:val="right"/>
            </w:pPr>
            <w:r w:rsidRPr="001E2300">
              <w:t>0.0</w:t>
            </w:r>
          </w:p>
        </w:tc>
        <w:tc>
          <w:tcPr>
            <w:tcW w:w="663" w:type="dxa"/>
          </w:tcPr>
          <w:p w:rsidR="003400A3" w:rsidRPr="001E2300" w:rsidRDefault="003400A3" w:rsidP="0092119B">
            <w:pPr>
              <w:pStyle w:val="NoSpacing"/>
              <w:jc w:val="right"/>
            </w:pPr>
            <w:r w:rsidRPr="001E2300">
              <w:t>6</w:t>
            </w:r>
          </w:p>
        </w:tc>
        <w:tc>
          <w:tcPr>
            <w:tcW w:w="718" w:type="dxa"/>
          </w:tcPr>
          <w:p w:rsidR="003400A3" w:rsidRPr="001E2300" w:rsidRDefault="003400A3" w:rsidP="0092119B">
            <w:pPr>
              <w:pStyle w:val="NoSpacing"/>
              <w:jc w:val="right"/>
            </w:pPr>
            <w:r w:rsidRPr="001E2300">
              <w:t>0.4</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0.0</w:t>
            </w:r>
          </w:p>
        </w:tc>
        <w:tc>
          <w:tcPr>
            <w:tcW w:w="1098" w:type="dxa"/>
          </w:tcPr>
          <w:p w:rsidR="003400A3" w:rsidRPr="001E2300" w:rsidRDefault="003400A3" w:rsidP="0092119B">
            <w:pPr>
              <w:pStyle w:val="NoSpacing"/>
              <w:jc w:val="right"/>
            </w:pPr>
            <w:r w:rsidRPr="001E2300">
              <w:t>0.0</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Resources</w:t>
            </w:r>
          </w:p>
        </w:tc>
        <w:tc>
          <w:tcPr>
            <w:tcW w:w="570" w:type="dxa"/>
            <w:shd w:val="clear" w:color="auto" w:fill="FFFF00"/>
          </w:tcPr>
          <w:p w:rsidR="003400A3" w:rsidRPr="001E2300" w:rsidRDefault="003400A3" w:rsidP="0092119B">
            <w:pPr>
              <w:pStyle w:val="NoSpacing"/>
              <w:jc w:val="right"/>
            </w:pPr>
            <w:r w:rsidRPr="001E2300">
              <w:t>35</w:t>
            </w:r>
          </w:p>
        </w:tc>
        <w:tc>
          <w:tcPr>
            <w:tcW w:w="718" w:type="dxa"/>
            <w:shd w:val="clear" w:color="auto" w:fill="FFFF00"/>
          </w:tcPr>
          <w:p w:rsidR="003400A3" w:rsidRPr="001E2300" w:rsidRDefault="003400A3" w:rsidP="0092119B">
            <w:pPr>
              <w:pStyle w:val="NoSpacing"/>
              <w:jc w:val="right"/>
            </w:pPr>
            <w:r w:rsidRPr="001E2300">
              <w:t>14.2</w:t>
            </w:r>
          </w:p>
        </w:tc>
        <w:tc>
          <w:tcPr>
            <w:tcW w:w="663" w:type="dxa"/>
          </w:tcPr>
          <w:p w:rsidR="003400A3" w:rsidRPr="001E2300" w:rsidRDefault="003400A3" w:rsidP="0092119B">
            <w:pPr>
              <w:pStyle w:val="NoSpacing"/>
              <w:jc w:val="right"/>
            </w:pPr>
            <w:r w:rsidRPr="001E2300">
              <w:t>56</w:t>
            </w:r>
          </w:p>
        </w:tc>
        <w:tc>
          <w:tcPr>
            <w:tcW w:w="718" w:type="dxa"/>
          </w:tcPr>
          <w:p w:rsidR="003400A3" w:rsidRPr="001E2300" w:rsidRDefault="003400A3" w:rsidP="0092119B">
            <w:pPr>
              <w:pStyle w:val="NoSpacing"/>
              <w:jc w:val="right"/>
            </w:pPr>
            <w:r w:rsidRPr="001E2300">
              <w:t>3.4</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7.7</w:t>
            </w:r>
          </w:p>
        </w:tc>
        <w:tc>
          <w:tcPr>
            <w:tcW w:w="1098" w:type="dxa"/>
          </w:tcPr>
          <w:p w:rsidR="003400A3" w:rsidRPr="001E2300" w:rsidRDefault="003400A3" w:rsidP="0092119B">
            <w:pPr>
              <w:pStyle w:val="NoSpacing"/>
              <w:jc w:val="right"/>
            </w:pPr>
            <w:r w:rsidRPr="001E2300">
              <w:t>4.7</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Study Space</w:t>
            </w:r>
          </w:p>
        </w:tc>
        <w:tc>
          <w:tcPr>
            <w:tcW w:w="570" w:type="dxa"/>
            <w:tcBorders>
              <w:bottom w:val="single" w:sz="4" w:space="0" w:color="000000"/>
            </w:tcBorders>
          </w:tcPr>
          <w:p w:rsidR="003400A3" w:rsidRPr="001E2300" w:rsidRDefault="003400A3" w:rsidP="0092119B">
            <w:pPr>
              <w:pStyle w:val="NoSpacing"/>
              <w:jc w:val="right"/>
            </w:pPr>
            <w:r w:rsidRPr="001E2300">
              <w:t>4</w:t>
            </w:r>
          </w:p>
        </w:tc>
        <w:tc>
          <w:tcPr>
            <w:tcW w:w="718" w:type="dxa"/>
            <w:tcBorders>
              <w:bottom w:val="single" w:sz="4" w:space="0" w:color="000000"/>
            </w:tcBorders>
          </w:tcPr>
          <w:p w:rsidR="003400A3" w:rsidRPr="001E2300" w:rsidRDefault="003400A3" w:rsidP="0092119B">
            <w:pPr>
              <w:pStyle w:val="NoSpacing"/>
              <w:jc w:val="right"/>
            </w:pPr>
            <w:r w:rsidRPr="001E2300">
              <w:t>1.6</w:t>
            </w:r>
          </w:p>
        </w:tc>
        <w:tc>
          <w:tcPr>
            <w:tcW w:w="663" w:type="dxa"/>
            <w:tcBorders>
              <w:bottom w:val="single" w:sz="4" w:space="0" w:color="000000"/>
            </w:tcBorders>
          </w:tcPr>
          <w:p w:rsidR="003400A3" w:rsidRPr="001E2300" w:rsidRDefault="003400A3" w:rsidP="0092119B">
            <w:pPr>
              <w:pStyle w:val="NoSpacing"/>
              <w:jc w:val="right"/>
            </w:pPr>
            <w:r w:rsidRPr="001E2300">
              <w:t>11</w:t>
            </w:r>
          </w:p>
        </w:tc>
        <w:tc>
          <w:tcPr>
            <w:tcW w:w="718" w:type="dxa"/>
            <w:tcBorders>
              <w:bottom w:val="single" w:sz="4" w:space="0" w:color="000000"/>
            </w:tcBorders>
          </w:tcPr>
          <w:p w:rsidR="003400A3" w:rsidRPr="001E2300" w:rsidRDefault="003400A3" w:rsidP="0092119B">
            <w:pPr>
              <w:pStyle w:val="NoSpacing"/>
              <w:jc w:val="right"/>
            </w:pPr>
            <w:r w:rsidRPr="001E2300">
              <w:t>0.7</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3.4</w:t>
            </w:r>
          </w:p>
        </w:tc>
        <w:tc>
          <w:tcPr>
            <w:tcW w:w="1098" w:type="dxa"/>
          </w:tcPr>
          <w:p w:rsidR="003400A3" w:rsidRPr="001E2300" w:rsidRDefault="003400A3" w:rsidP="0092119B">
            <w:pPr>
              <w:pStyle w:val="NoSpacing"/>
              <w:jc w:val="right"/>
            </w:pPr>
            <w:r w:rsidRPr="001E2300">
              <w:t>6.9</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Web Site</w:t>
            </w:r>
          </w:p>
        </w:tc>
        <w:tc>
          <w:tcPr>
            <w:tcW w:w="570" w:type="dxa"/>
            <w:shd w:val="clear" w:color="auto" w:fill="FFFF00"/>
          </w:tcPr>
          <w:p w:rsidR="003400A3" w:rsidRPr="001E2300" w:rsidRDefault="003400A3" w:rsidP="0092119B">
            <w:pPr>
              <w:pStyle w:val="NoSpacing"/>
              <w:jc w:val="right"/>
            </w:pPr>
            <w:r w:rsidRPr="001E2300">
              <w:t>40</w:t>
            </w:r>
          </w:p>
        </w:tc>
        <w:tc>
          <w:tcPr>
            <w:tcW w:w="718" w:type="dxa"/>
            <w:shd w:val="clear" w:color="auto" w:fill="FFFF00"/>
          </w:tcPr>
          <w:p w:rsidR="003400A3" w:rsidRPr="001E2300" w:rsidRDefault="003400A3" w:rsidP="0092119B">
            <w:pPr>
              <w:pStyle w:val="NoSpacing"/>
              <w:jc w:val="right"/>
            </w:pPr>
            <w:r w:rsidRPr="001E2300">
              <w:t>16.3</w:t>
            </w:r>
          </w:p>
        </w:tc>
        <w:tc>
          <w:tcPr>
            <w:tcW w:w="663" w:type="dxa"/>
            <w:shd w:val="clear" w:color="auto" w:fill="FFFF00"/>
          </w:tcPr>
          <w:p w:rsidR="003400A3" w:rsidRPr="001E2300" w:rsidRDefault="003400A3" w:rsidP="0092119B">
            <w:pPr>
              <w:pStyle w:val="NoSpacing"/>
              <w:jc w:val="right"/>
            </w:pPr>
            <w:r w:rsidRPr="001E2300">
              <w:t>301</w:t>
            </w:r>
          </w:p>
        </w:tc>
        <w:tc>
          <w:tcPr>
            <w:tcW w:w="718" w:type="dxa"/>
            <w:shd w:val="clear" w:color="auto" w:fill="FFFF00"/>
          </w:tcPr>
          <w:p w:rsidR="003400A3" w:rsidRPr="001E2300" w:rsidRDefault="003400A3" w:rsidP="0092119B">
            <w:pPr>
              <w:pStyle w:val="NoSpacing"/>
              <w:jc w:val="right"/>
            </w:pPr>
            <w:r w:rsidRPr="001E2300">
              <w:t>18.3</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pPr>
            <w:r w:rsidRPr="001E2300">
              <w:t>1.7</w:t>
            </w:r>
          </w:p>
        </w:tc>
        <w:tc>
          <w:tcPr>
            <w:tcW w:w="1098" w:type="dxa"/>
          </w:tcPr>
          <w:p w:rsidR="003400A3" w:rsidRPr="001E2300" w:rsidRDefault="003400A3" w:rsidP="0092119B">
            <w:pPr>
              <w:pStyle w:val="NoSpacing"/>
              <w:jc w:val="right"/>
            </w:pPr>
            <w:r w:rsidRPr="001E2300">
              <w:t>2.5</w:t>
            </w:r>
          </w:p>
        </w:tc>
        <w:tc>
          <w:tcPr>
            <w:tcW w:w="1092" w:type="dxa"/>
          </w:tcPr>
          <w:p w:rsidR="003400A3" w:rsidRPr="001E2300" w:rsidRDefault="003400A3" w:rsidP="0092119B">
            <w:pPr>
              <w:pStyle w:val="NoSpacing"/>
              <w:jc w:val="right"/>
            </w:pPr>
          </w:p>
        </w:tc>
      </w:tr>
      <w:tr w:rsidR="003400A3" w:rsidRPr="001E2300" w:rsidTr="00897845">
        <w:tc>
          <w:tcPr>
            <w:tcW w:w="3209" w:type="dxa"/>
          </w:tcPr>
          <w:p w:rsidR="003400A3" w:rsidRPr="001E2300" w:rsidRDefault="003400A3" w:rsidP="0092119B">
            <w:pPr>
              <w:pStyle w:val="NoSpacing"/>
            </w:pPr>
            <w:r w:rsidRPr="001E2300">
              <w:t>TOTAL</w:t>
            </w:r>
          </w:p>
        </w:tc>
        <w:tc>
          <w:tcPr>
            <w:tcW w:w="570" w:type="dxa"/>
          </w:tcPr>
          <w:p w:rsidR="003400A3" w:rsidRPr="001E2300" w:rsidRDefault="003400A3" w:rsidP="0092119B">
            <w:pPr>
              <w:pStyle w:val="NoSpacing"/>
              <w:jc w:val="right"/>
            </w:pPr>
            <w:r w:rsidRPr="001E2300">
              <w:t>246</w:t>
            </w:r>
          </w:p>
        </w:tc>
        <w:tc>
          <w:tcPr>
            <w:tcW w:w="718" w:type="dxa"/>
          </w:tcPr>
          <w:p w:rsidR="003400A3" w:rsidRPr="001E2300" w:rsidRDefault="003400A3" w:rsidP="0092119B">
            <w:pPr>
              <w:pStyle w:val="NoSpacing"/>
              <w:jc w:val="right"/>
            </w:pPr>
            <w:r w:rsidRPr="001E2300">
              <w:t>100.0</w:t>
            </w:r>
          </w:p>
        </w:tc>
        <w:tc>
          <w:tcPr>
            <w:tcW w:w="663" w:type="dxa"/>
          </w:tcPr>
          <w:p w:rsidR="003400A3" w:rsidRPr="001E2300" w:rsidRDefault="003400A3" w:rsidP="0092119B">
            <w:pPr>
              <w:pStyle w:val="NoSpacing"/>
              <w:jc w:val="right"/>
            </w:pPr>
            <w:r w:rsidRPr="001E2300">
              <w:t>1649</w:t>
            </w:r>
          </w:p>
        </w:tc>
        <w:tc>
          <w:tcPr>
            <w:tcW w:w="718" w:type="dxa"/>
          </w:tcPr>
          <w:p w:rsidR="003400A3" w:rsidRPr="001E2300" w:rsidRDefault="003400A3" w:rsidP="0092119B">
            <w:pPr>
              <w:pStyle w:val="NoSpacing"/>
              <w:jc w:val="right"/>
            </w:pPr>
            <w:r w:rsidRPr="001E2300">
              <w:t>100.0</w:t>
            </w:r>
          </w:p>
        </w:tc>
        <w:tc>
          <w:tcPr>
            <w:tcW w:w="567" w:type="dxa"/>
          </w:tcPr>
          <w:p w:rsidR="003400A3" w:rsidRPr="001E2300" w:rsidRDefault="003400A3" w:rsidP="0092119B">
            <w:pPr>
              <w:pStyle w:val="NoSpacing"/>
              <w:jc w:val="right"/>
            </w:pPr>
          </w:p>
        </w:tc>
        <w:tc>
          <w:tcPr>
            <w:tcW w:w="551" w:type="dxa"/>
          </w:tcPr>
          <w:p w:rsidR="003400A3" w:rsidRPr="001E2300" w:rsidRDefault="003400A3" w:rsidP="0092119B">
            <w:pPr>
              <w:pStyle w:val="NoSpacing"/>
              <w:jc w:val="right"/>
            </w:pPr>
          </w:p>
        </w:tc>
        <w:tc>
          <w:tcPr>
            <w:tcW w:w="1110" w:type="dxa"/>
          </w:tcPr>
          <w:p w:rsidR="003400A3" w:rsidRPr="001E2300" w:rsidRDefault="003400A3" w:rsidP="0092119B">
            <w:pPr>
              <w:pStyle w:val="NoSpacing"/>
              <w:jc w:val="right"/>
              <w:rPr>
                <w:b/>
              </w:rPr>
            </w:pPr>
            <w:r w:rsidRPr="001E2300">
              <w:rPr>
                <w:b/>
              </w:rPr>
              <w:t>100.00</w:t>
            </w:r>
          </w:p>
        </w:tc>
        <w:tc>
          <w:tcPr>
            <w:tcW w:w="1098" w:type="dxa"/>
          </w:tcPr>
          <w:p w:rsidR="003400A3" w:rsidRPr="001E2300" w:rsidRDefault="003400A3" w:rsidP="0092119B">
            <w:pPr>
              <w:pStyle w:val="NoSpacing"/>
              <w:jc w:val="right"/>
              <w:rPr>
                <w:b/>
              </w:rPr>
            </w:pPr>
            <w:r w:rsidRPr="001E2300">
              <w:rPr>
                <w:b/>
              </w:rPr>
              <w:t>100.0</w:t>
            </w:r>
          </w:p>
        </w:tc>
        <w:tc>
          <w:tcPr>
            <w:tcW w:w="1092" w:type="dxa"/>
          </w:tcPr>
          <w:p w:rsidR="003400A3" w:rsidRPr="001E2300" w:rsidRDefault="003400A3" w:rsidP="0092119B">
            <w:pPr>
              <w:pStyle w:val="NoSpacing"/>
              <w:jc w:val="right"/>
            </w:pPr>
          </w:p>
        </w:tc>
      </w:tr>
    </w:tbl>
    <w:p w:rsidR="003400A3" w:rsidRPr="00F70B74" w:rsidRDefault="003400A3" w:rsidP="003400A3">
      <w:pPr>
        <w:rPr>
          <w:rFonts w:ascii="Calibri" w:hAnsi="Calibri"/>
          <w:b/>
          <w:i/>
          <w:szCs w:val="28"/>
        </w:rPr>
      </w:pPr>
      <w:r w:rsidRPr="00F70B74">
        <w:rPr>
          <w:rFonts w:ascii="Calibri" w:hAnsi="Calibri"/>
          <w:b/>
          <w:i/>
          <w:szCs w:val="28"/>
        </w:rPr>
        <w:lastRenderedPageBreak/>
        <w:t>What collections are most/least heavily used and requested?</w:t>
      </w:r>
    </w:p>
    <w:p w:rsidR="000B4E82" w:rsidRDefault="000B4E82" w:rsidP="003400A3">
      <w:pPr>
        <w:rPr>
          <w:rFonts w:ascii="Calibri" w:hAnsi="Calibri"/>
          <w:b/>
          <w:i/>
        </w:rPr>
      </w:pPr>
    </w:p>
    <w:p w:rsidR="003400A3" w:rsidRPr="00E601B7" w:rsidRDefault="003400A3" w:rsidP="003400A3">
      <w:pPr>
        <w:rPr>
          <w:rFonts w:ascii="Calibri" w:hAnsi="Calibri"/>
          <w:b/>
        </w:rPr>
      </w:pPr>
      <w:r w:rsidRPr="00E601B7">
        <w:rPr>
          <w:rFonts w:ascii="Calibri" w:hAnsi="Calibri"/>
          <w:b/>
        </w:rPr>
        <w:t>Circulation</w:t>
      </w:r>
    </w:p>
    <w:p w:rsidR="003400A3" w:rsidRPr="00E601B7" w:rsidRDefault="003400A3" w:rsidP="003400A3">
      <w:pPr>
        <w:rPr>
          <w:rFonts w:ascii="Calibri" w:hAnsi="Calibri"/>
        </w:rPr>
      </w:pPr>
      <w:r w:rsidRPr="00E601B7">
        <w:rPr>
          <w:rFonts w:ascii="Calibri" w:hAnsi="Calibri"/>
        </w:rPr>
        <w:t>The 5 subjects measured by Dewey Decimal Classification number with the highest circulation from FY06-FY08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0"/>
        <w:gridCol w:w="4812"/>
        <w:gridCol w:w="2538"/>
        <w:gridCol w:w="2538"/>
      </w:tblGrid>
      <w:tr w:rsidR="003400A3" w:rsidRPr="00F70B74" w:rsidTr="00897845">
        <w:tc>
          <w:tcPr>
            <w:tcW w:w="500" w:type="dxa"/>
          </w:tcPr>
          <w:p w:rsidR="003400A3" w:rsidRPr="0092119B" w:rsidRDefault="003400A3" w:rsidP="0092119B">
            <w:pPr>
              <w:pStyle w:val="NoSpacing"/>
              <w:rPr>
                <w:b/>
              </w:rPr>
            </w:pPr>
          </w:p>
        </w:tc>
        <w:tc>
          <w:tcPr>
            <w:tcW w:w="4812" w:type="dxa"/>
          </w:tcPr>
          <w:p w:rsidR="003400A3" w:rsidRPr="0092119B" w:rsidRDefault="003400A3" w:rsidP="0092119B">
            <w:pPr>
              <w:pStyle w:val="NoSpacing"/>
              <w:jc w:val="center"/>
              <w:rPr>
                <w:b/>
              </w:rPr>
            </w:pPr>
            <w:r w:rsidRPr="0092119B">
              <w:rPr>
                <w:b/>
              </w:rPr>
              <w:t>FY2006</w:t>
            </w:r>
          </w:p>
        </w:tc>
        <w:tc>
          <w:tcPr>
            <w:tcW w:w="2538" w:type="dxa"/>
          </w:tcPr>
          <w:p w:rsidR="003400A3" w:rsidRPr="0092119B" w:rsidRDefault="003400A3" w:rsidP="0092119B">
            <w:pPr>
              <w:pStyle w:val="NoSpacing"/>
              <w:jc w:val="center"/>
              <w:rPr>
                <w:b/>
                <w:highlight w:val="lightGray"/>
              </w:rPr>
            </w:pPr>
            <w:r w:rsidRPr="0092119B">
              <w:rPr>
                <w:b/>
              </w:rPr>
              <w:t>FY2007</w:t>
            </w:r>
          </w:p>
        </w:tc>
        <w:tc>
          <w:tcPr>
            <w:tcW w:w="2538" w:type="dxa"/>
          </w:tcPr>
          <w:p w:rsidR="003400A3" w:rsidRPr="0092119B" w:rsidRDefault="003400A3" w:rsidP="0092119B">
            <w:pPr>
              <w:pStyle w:val="NoSpacing"/>
              <w:jc w:val="center"/>
              <w:rPr>
                <w:b/>
                <w:highlight w:val="lightGray"/>
              </w:rPr>
            </w:pPr>
            <w:r w:rsidRPr="0092119B">
              <w:rPr>
                <w:b/>
              </w:rPr>
              <w:t>FY2008</w:t>
            </w:r>
          </w:p>
        </w:tc>
      </w:tr>
      <w:tr w:rsidR="003400A3" w:rsidRPr="00F70B74" w:rsidTr="00897845">
        <w:tc>
          <w:tcPr>
            <w:tcW w:w="500" w:type="dxa"/>
          </w:tcPr>
          <w:p w:rsidR="003400A3" w:rsidRPr="00F70B74" w:rsidRDefault="003400A3" w:rsidP="0092119B">
            <w:pPr>
              <w:pStyle w:val="NoSpacing"/>
            </w:pPr>
            <w:r w:rsidRPr="00F70B74">
              <w:t>1</w:t>
            </w:r>
          </w:p>
        </w:tc>
        <w:tc>
          <w:tcPr>
            <w:tcW w:w="4812" w:type="dxa"/>
          </w:tcPr>
          <w:p w:rsidR="003400A3" w:rsidRPr="00F70B74" w:rsidRDefault="003400A3" w:rsidP="0092119B">
            <w:pPr>
              <w:pStyle w:val="NoSpacing"/>
            </w:pPr>
            <w:r w:rsidRPr="00F70B74">
              <w:rPr>
                <w:rFonts w:eastAsia="Times New Roman"/>
                <w:szCs w:val="20"/>
              </w:rPr>
              <w:t>810 - 819 American Literature in English (8,129)</w:t>
            </w:r>
          </w:p>
        </w:tc>
        <w:tc>
          <w:tcPr>
            <w:tcW w:w="2538" w:type="dxa"/>
          </w:tcPr>
          <w:p w:rsidR="003400A3" w:rsidRPr="00F70B74" w:rsidRDefault="003400A3" w:rsidP="0092119B">
            <w:pPr>
              <w:pStyle w:val="NoSpacing"/>
              <w:rPr>
                <w:highlight w:val="lightGray"/>
              </w:rPr>
            </w:pPr>
            <w:r w:rsidRPr="00F70B74">
              <w:rPr>
                <w:rFonts w:eastAsia="Times New Roman"/>
                <w:szCs w:val="20"/>
              </w:rPr>
              <w:t>810 - 819 (5,958)</w:t>
            </w:r>
          </w:p>
        </w:tc>
        <w:tc>
          <w:tcPr>
            <w:tcW w:w="2538" w:type="dxa"/>
          </w:tcPr>
          <w:p w:rsidR="003400A3" w:rsidRPr="00F70B74" w:rsidRDefault="003400A3" w:rsidP="0092119B">
            <w:pPr>
              <w:pStyle w:val="NoSpacing"/>
              <w:rPr>
                <w:highlight w:val="lightGray"/>
              </w:rPr>
            </w:pPr>
            <w:r w:rsidRPr="00F70B74">
              <w:rPr>
                <w:rFonts w:eastAsia="Times New Roman"/>
                <w:szCs w:val="20"/>
              </w:rPr>
              <w:t>810 - 819 (6,429)</w:t>
            </w:r>
          </w:p>
        </w:tc>
      </w:tr>
      <w:tr w:rsidR="003400A3" w:rsidRPr="00F70B74" w:rsidTr="00897845">
        <w:tc>
          <w:tcPr>
            <w:tcW w:w="500" w:type="dxa"/>
          </w:tcPr>
          <w:p w:rsidR="003400A3" w:rsidRPr="00F70B74" w:rsidRDefault="003400A3" w:rsidP="0092119B">
            <w:pPr>
              <w:pStyle w:val="NoSpacing"/>
            </w:pPr>
            <w:r w:rsidRPr="00F70B74">
              <w:t>2</w:t>
            </w:r>
          </w:p>
        </w:tc>
        <w:tc>
          <w:tcPr>
            <w:tcW w:w="4812" w:type="dxa"/>
          </w:tcPr>
          <w:p w:rsidR="003400A3" w:rsidRPr="00F70B74" w:rsidRDefault="003400A3" w:rsidP="0092119B">
            <w:pPr>
              <w:pStyle w:val="NoSpacing"/>
              <w:rPr>
                <w:rFonts w:eastAsia="Times New Roman"/>
                <w:szCs w:val="20"/>
              </w:rPr>
            </w:pPr>
            <w:r w:rsidRPr="00F70B74">
              <w:rPr>
                <w:rFonts w:eastAsia="Times New Roman"/>
                <w:szCs w:val="20"/>
              </w:rPr>
              <w:t>970 - 979 History of North America (5,836)</w:t>
            </w:r>
          </w:p>
        </w:tc>
        <w:tc>
          <w:tcPr>
            <w:tcW w:w="2538" w:type="dxa"/>
          </w:tcPr>
          <w:p w:rsidR="003400A3" w:rsidRPr="00F70B74" w:rsidRDefault="003400A3" w:rsidP="0092119B">
            <w:pPr>
              <w:pStyle w:val="NoSpacing"/>
              <w:rPr>
                <w:highlight w:val="lightGray"/>
              </w:rPr>
            </w:pPr>
            <w:r w:rsidRPr="00F70B74">
              <w:rPr>
                <w:rFonts w:eastAsia="Times New Roman"/>
                <w:szCs w:val="20"/>
              </w:rPr>
              <w:t>970 - 979 (4,294)</w:t>
            </w:r>
          </w:p>
        </w:tc>
        <w:tc>
          <w:tcPr>
            <w:tcW w:w="2538" w:type="dxa"/>
          </w:tcPr>
          <w:p w:rsidR="003400A3" w:rsidRPr="00F70B74" w:rsidRDefault="003400A3" w:rsidP="0092119B">
            <w:pPr>
              <w:pStyle w:val="NoSpacing"/>
              <w:rPr>
                <w:highlight w:val="lightGray"/>
              </w:rPr>
            </w:pPr>
            <w:r w:rsidRPr="00F70B74">
              <w:rPr>
                <w:rFonts w:eastAsia="Times New Roman"/>
                <w:szCs w:val="20"/>
              </w:rPr>
              <w:t>300 - 309 (3,915)</w:t>
            </w:r>
          </w:p>
        </w:tc>
      </w:tr>
      <w:tr w:rsidR="003400A3" w:rsidRPr="00F70B74" w:rsidTr="00897845">
        <w:tc>
          <w:tcPr>
            <w:tcW w:w="500" w:type="dxa"/>
          </w:tcPr>
          <w:p w:rsidR="003400A3" w:rsidRPr="00F70B74" w:rsidRDefault="003400A3" w:rsidP="0092119B">
            <w:pPr>
              <w:pStyle w:val="NoSpacing"/>
            </w:pPr>
            <w:r w:rsidRPr="00F70B74">
              <w:t>3</w:t>
            </w:r>
          </w:p>
        </w:tc>
        <w:tc>
          <w:tcPr>
            <w:tcW w:w="4812" w:type="dxa"/>
          </w:tcPr>
          <w:p w:rsidR="003400A3" w:rsidRPr="00F70B74" w:rsidRDefault="003400A3" w:rsidP="0092119B">
            <w:pPr>
              <w:pStyle w:val="NoSpacing"/>
              <w:rPr>
                <w:rFonts w:eastAsia="Times New Roman"/>
                <w:szCs w:val="20"/>
              </w:rPr>
            </w:pPr>
            <w:r w:rsidRPr="00F70B74">
              <w:rPr>
                <w:rFonts w:eastAsia="Times New Roman"/>
                <w:szCs w:val="20"/>
              </w:rPr>
              <w:t>300 - 309 Social Sciences, Sociology and Anthropology (4,850)</w:t>
            </w:r>
          </w:p>
        </w:tc>
        <w:tc>
          <w:tcPr>
            <w:tcW w:w="2538" w:type="dxa"/>
          </w:tcPr>
          <w:p w:rsidR="003400A3" w:rsidRPr="00F70B74" w:rsidRDefault="003400A3" w:rsidP="0092119B">
            <w:pPr>
              <w:pStyle w:val="NoSpacing"/>
              <w:rPr>
                <w:highlight w:val="lightGray"/>
              </w:rPr>
            </w:pPr>
            <w:r w:rsidRPr="00F70B74">
              <w:rPr>
                <w:rFonts w:eastAsia="Times New Roman"/>
                <w:szCs w:val="20"/>
              </w:rPr>
              <w:t>300 - 309 (4,131)</w:t>
            </w:r>
          </w:p>
        </w:tc>
        <w:tc>
          <w:tcPr>
            <w:tcW w:w="2538" w:type="dxa"/>
          </w:tcPr>
          <w:p w:rsidR="003400A3" w:rsidRPr="00F70B74" w:rsidRDefault="003400A3" w:rsidP="0092119B">
            <w:pPr>
              <w:pStyle w:val="NoSpacing"/>
              <w:rPr>
                <w:highlight w:val="lightGray"/>
              </w:rPr>
            </w:pPr>
            <w:r w:rsidRPr="00F70B74">
              <w:rPr>
                <w:rFonts w:eastAsia="Times New Roman"/>
                <w:szCs w:val="20"/>
              </w:rPr>
              <w:t>970 - 979 (3,864)</w:t>
            </w:r>
          </w:p>
        </w:tc>
      </w:tr>
      <w:tr w:rsidR="003400A3" w:rsidRPr="00F70B74" w:rsidTr="00897845">
        <w:tc>
          <w:tcPr>
            <w:tcW w:w="500" w:type="dxa"/>
          </w:tcPr>
          <w:p w:rsidR="003400A3" w:rsidRPr="00F70B74" w:rsidRDefault="003400A3" w:rsidP="0092119B">
            <w:pPr>
              <w:pStyle w:val="NoSpacing"/>
            </w:pPr>
            <w:r w:rsidRPr="00F70B74">
              <w:t>4</w:t>
            </w:r>
          </w:p>
        </w:tc>
        <w:tc>
          <w:tcPr>
            <w:tcW w:w="4812" w:type="dxa"/>
          </w:tcPr>
          <w:p w:rsidR="003400A3" w:rsidRPr="00F70B74" w:rsidRDefault="003400A3" w:rsidP="0092119B">
            <w:pPr>
              <w:pStyle w:val="NoSpacing"/>
              <w:rPr>
                <w:rFonts w:eastAsia="Times New Roman"/>
                <w:szCs w:val="20"/>
              </w:rPr>
            </w:pPr>
            <w:r w:rsidRPr="00F70B74">
              <w:rPr>
                <w:rFonts w:eastAsia="Times New Roman"/>
                <w:szCs w:val="20"/>
              </w:rPr>
              <w:t>820 - 829 English and Old English Literatures (3,832)</w:t>
            </w:r>
          </w:p>
        </w:tc>
        <w:tc>
          <w:tcPr>
            <w:tcW w:w="2538" w:type="dxa"/>
          </w:tcPr>
          <w:p w:rsidR="003400A3" w:rsidRPr="00F70B74" w:rsidRDefault="003400A3" w:rsidP="0092119B">
            <w:pPr>
              <w:pStyle w:val="NoSpacing"/>
              <w:rPr>
                <w:highlight w:val="lightGray"/>
              </w:rPr>
            </w:pPr>
            <w:r w:rsidRPr="00F70B74">
              <w:rPr>
                <w:rFonts w:eastAsia="Times New Roman"/>
                <w:szCs w:val="20"/>
              </w:rPr>
              <w:t>610 - 619 (3,391)</w:t>
            </w:r>
          </w:p>
        </w:tc>
        <w:tc>
          <w:tcPr>
            <w:tcW w:w="2538" w:type="dxa"/>
          </w:tcPr>
          <w:p w:rsidR="003400A3" w:rsidRPr="00F70B74" w:rsidRDefault="003400A3" w:rsidP="0092119B">
            <w:pPr>
              <w:pStyle w:val="NoSpacing"/>
              <w:rPr>
                <w:highlight w:val="lightGray"/>
              </w:rPr>
            </w:pPr>
            <w:r w:rsidRPr="00F70B74">
              <w:rPr>
                <w:rFonts w:eastAsia="Times New Roman"/>
                <w:szCs w:val="20"/>
              </w:rPr>
              <w:t>610 - 619 (3,018)</w:t>
            </w:r>
          </w:p>
        </w:tc>
      </w:tr>
      <w:tr w:rsidR="003400A3" w:rsidRPr="00F70B74" w:rsidTr="00897845">
        <w:tc>
          <w:tcPr>
            <w:tcW w:w="500" w:type="dxa"/>
          </w:tcPr>
          <w:p w:rsidR="003400A3" w:rsidRPr="00F70B74" w:rsidRDefault="003400A3" w:rsidP="0092119B">
            <w:pPr>
              <w:pStyle w:val="NoSpacing"/>
            </w:pPr>
            <w:r w:rsidRPr="00F70B74">
              <w:t>5</w:t>
            </w:r>
          </w:p>
        </w:tc>
        <w:tc>
          <w:tcPr>
            <w:tcW w:w="4812" w:type="dxa"/>
          </w:tcPr>
          <w:p w:rsidR="003400A3" w:rsidRPr="00F70B74" w:rsidRDefault="003400A3" w:rsidP="0092119B">
            <w:pPr>
              <w:pStyle w:val="NoSpacing"/>
            </w:pPr>
            <w:r w:rsidRPr="00F70B74">
              <w:rPr>
                <w:rFonts w:eastAsia="Times New Roman"/>
                <w:szCs w:val="20"/>
              </w:rPr>
              <w:t>610 - 619 Medicine (3,035)</w:t>
            </w:r>
          </w:p>
        </w:tc>
        <w:tc>
          <w:tcPr>
            <w:tcW w:w="2538" w:type="dxa"/>
          </w:tcPr>
          <w:p w:rsidR="003400A3" w:rsidRPr="00F70B74" w:rsidRDefault="003400A3" w:rsidP="0092119B">
            <w:pPr>
              <w:pStyle w:val="NoSpacing"/>
              <w:rPr>
                <w:highlight w:val="lightGray"/>
              </w:rPr>
            </w:pPr>
            <w:r w:rsidRPr="00F70B74">
              <w:rPr>
                <w:rFonts w:eastAsia="Times New Roman"/>
                <w:szCs w:val="20"/>
              </w:rPr>
              <w:t>820 - 829 (2,707)</w:t>
            </w:r>
          </w:p>
        </w:tc>
        <w:tc>
          <w:tcPr>
            <w:tcW w:w="2538" w:type="dxa"/>
          </w:tcPr>
          <w:p w:rsidR="003400A3" w:rsidRPr="00F70B74" w:rsidRDefault="003400A3" w:rsidP="0092119B">
            <w:pPr>
              <w:pStyle w:val="NoSpacing"/>
              <w:rPr>
                <w:highlight w:val="lightGray"/>
              </w:rPr>
            </w:pPr>
            <w:r w:rsidRPr="00F70B74">
              <w:rPr>
                <w:rFonts w:eastAsia="Times New Roman"/>
                <w:szCs w:val="20"/>
              </w:rPr>
              <w:t>820 - 829 (2,597)</w:t>
            </w:r>
          </w:p>
        </w:tc>
      </w:tr>
    </w:tbl>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The 5 subjects measured by Dewey Decimal Classification number with the lowest circulation from FY06-FY08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0"/>
        <w:gridCol w:w="4812"/>
        <w:gridCol w:w="2538"/>
        <w:gridCol w:w="2538"/>
      </w:tblGrid>
      <w:tr w:rsidR="003400A3" w:rsidRPr="009164FC" w:rsidTr="00897845">
        <w:tc>
          <w:tcPr>
            <w:tcW w:w="500" w:type="dxa"/>
          </w:tcPr>
          <w:p w:rsidR="003400A3" w:rsidRPr="0092119B" w:rsidRDefault="003400A3" w:rsidP="0092119B">
            <w:pPr>
              <w:pStyle w:val="NoSpacing"/>
              <w:rPr>
                <w:b/>
              </w:rPr>
            </w:pPr>
          </w:p>
        </w:tc>
        <w:tc>
          <w:tcPr>
            <w:tcW w:w="4812" w:type="dxa"/>
          </w:tcPr>
          <w:p w:rsidR="003400A3" w:rsidRPr="0092119B" w:rsidRDefault="003400A3" w:rsidP="0092119B">
            <w:pPr>
              <w:pStyle w:val="NoSpacing"/>
              <w:jc w:val="center"/>
              <w:rPr>
                <w:b/>
              </w:rPr>
            </w:pPr>
            <w:r w:rsidRPr="0092119B">
              <w:rPr>
                <w:b/>
              </w:rPr>
              <w:t>FY2006</w:t>
            </w:r>
          </w:p>
        </w:tc>
        <w:tc>
          <w:tcPr>
            <w:tcW w:w="2538" w:type="dxa"/>
          </w:tcPr>
          <w:p w:rsidR="003400A3" w:rsidRPr="0092119B" w:rsidRDefault="003400A3" w:rsidP="0092119B">
            <w:pPr>
              <w:pStyle w:val="NoSpacing"/>
              <w:jc w:val="center"/>
              <w:rPr>
                <w:b/>
              </w:rPr>
            </w:pPr>
            <w:r w:rsidRPr="0092119B">
              <w:rPr>
                <w:b/>
              </w:rPr>
              <w:t>FY2007</w:t>
            </w:r>
          </w:p>
        </w:tc>
        <w:tc>
          <w:tcPr>
            <w:tcW w:w="2538" w:type="dxa"/>
          </w:tcPr>
          <w:p w:rsidR="003400A3" w:rsidRPr="0092119B" w:rsidRDefault="003400A3" w:rsidP="0092119B">
            <w:pPr>
              <w:pStyle w:val="NoSpacing"/>
              <w:jc w:val="center"/>
              <w:rPr>
                <w:b/>
                <w:highlight w:val="lightGray"/>
              </w:rPr>
            </w:pPr>
            <w:r w:rsidRPr="0092119B">
              <w:rPr>
                <w:b/>
              </w:rPr>
              <w:t>FY2008</w:t>
            </w:r>
          </w:p>
        </w:tc>
      </w:tr>
      <w:tr w:rsidR="003400A3" w:rsidRPr="009164FC" w:rsidTr="00897845">
        <w:tc>
          <w:tcPr>
            <w:tcW w:w="500" w:type="dxa"/>
          </w:tcPr>
          <w:p w:rsidR="003400A3" w:rsidRPr="009164FC" w:rsidRDefault="003400A3" w:rsidP="0092119B">
            <w:pPr>
              <w:pStyle w:val="NoSpacing"/>
            </w:pPr>
            <w:r w:rsidRPr="009164FC">
              <w:t>1</w:t>
            </w:r>
          </w:p>
        </w:tc>
        <w:tc>
          <w:tcPr>
            <w:tcW w:w="4812" w:type="dxa"/>
          </w:tcPr>
          <w:p w:rsidR="003400A3" w:rsidRPr="009164FC" w:rsidRDefault="003400A3" w:rsidP="0092119B">
            <w:pPr>
              <w:pStyle w:val="NoSpacing"/>
              <w:rPr>
                <w:rFonts w:eastAsia="Times New Roman"/>
                <w:szCs w:val="20"/>
              </w:rPr>
            </w:pPr>
            <w:r w:rsidRPr="009164FC">
              <w:rPr>
                <w:rFonts w:eastAsia="Times New Roman"/>
                <w:szCs w:val="20"/>
              </w:rPr>
              <w:t>010 - 019 Bibliography (4)</w:t>
            </w:r>
          </w:p>
        </w:tc>
        <w:tc>
          <w:tcPr>
            <w:tcW w:w="2538" w:type="dxa"/>
          </w:tcPr>
          <w:p w:rsidR="003400A3" w:rsidRPr="009164FC" w:rsidRDefault="003400A3" w:rsidP="0092119B">
            <w:pPr>
              <w:pStyle w:val="NoSpacing"/>
              <w:rPr>
                <w:highlight w:val="lightGray"/>
              </w:rPr>
            </w:pPr>
            <w:r w:rsidRPr="009164FC">
              <w:rPr>
                <w:rFonts w:eastAsia="Times New Roman"/>
                <w:szCs w:val="20"/>
              </w:rPr>
              <w:t xml:space="preserve">090 </w:t>
            </w:r>
            <w:r>
              <w:rPr>
                <w:rFonts w:eastAsia="Times New Roman"/>
                <w:szCs w:val="20"/>
              </w:rPr>
              <w:t>-</w:t>
            </w:r>
            <w:r w:rsidRPr="009164FC">
              <w:rPr>
                <w:rFonts w:eastAsia="Times New Roman"/>
                <w:szCs w:val="20"/>
              </w:rPr>
              <w:t xml:space="preserve"> 099</w:t>
            </w:r>
            <w:r>
              <w:rPr>
                <w:rFonts w:eastAsia="Times New Roman"/>
                <w:szCs w:val="20"/>
              </w:rPr>
              <w:t xml:space="preserve"> (3)</w:t>
            </w:r>
          </w:p>
        </w:tc>
        <w:tc>
          <w:tcPr>
            <w:tcW w:w="2538" w:type="dxa"/>
          </w:tcPr>
          <w:p w:rsidR="003400A3" w:rsidRPr="009164FC" w:rsidRDefault="003400A3" w:rsidP="0092119B">
            <w:pPr>
              <w:pStyle w:val="NoSpacing"/>
              <w:rPr>
                <w:highlight w:val="lightGray"/>
              </w:rPr>
            </w:pPr>
            <w:r>
              <w:rPr>
                <w:rFonts w:eastAsia="Times New Roman"/>
                <w:szCs w:val="20"/>
              </w:rPr>
              <w:t xml:space="preserve">080 </w:t>
            </w:r>
            <w:r>
              <w:t>-</w:t>
            </w:r>
            <w:r>
              <w:rPr>
                <w:rFonts w:eastAsia="Times New Roman"/>
                <w:szCs w:val="20"/>
              </w:rPr>
              <w:t xml:space="preserve"> 089 (3)</w:t>
            </w:r>
          </w:p>
        </w:tc>
      </w:tr>
      <w:tr w:rsidR="003400A3" w:rsidRPr="009164FC" w:rsidTr="00897845">
        <w:tc>
          <w:tcPr>
            <w:tcW w:w="500" w:type="dxa"/>
          </w:tcPr>
          <w:p w:rsidR="003400A3" w:rsidRPr="009164FC" w:rsidRDefault="003400A3" w:rsidP="0092119B">
            <w:pPr>
              <w:pStyle w:val="NoSpacing"/>
            </w:pPr>
            <w:r w:rsidRPr="009164FC">
              <w:t>2</w:t>
            </w:r>
          </w:p>
        </w:tc>
        <w:tc>
          <w:tcPr>
            <w:tcW w:w="4812" w:type="dxa"/>
          </w:tcPr>
          <w:p w:rsidR="003400A3" w:rsidRPr="009164FC" w:rsidRDefault="003400A3" w:rsidP="0092119B">
            <w:pPr>
              <w:pStyle w:val="NoSpacing"/>
              <w:rPr>
                <w:rFonts w:eastAsia="Times New Roman"/>
                <w:szCs w:val="20"/>
              </w:rPr>
            </w:pPr>
            <w:r w:rsidRPr="009164FC">
              <w:rPr>
                <w:rFonts w:eastAsia="Times New Roman"/>
                <w:szCs w:val="20"/>
              </w:rPr>
              <w:t>090 - 099 Manuscripts and Rare Books (8)</w:t>
            </w:r>
          </w:p>
        </w:tc>
        <w:tc>
          <w:tcPr>
            <w:tcW w:w="2538" w:type="dxa"/>
          </w:tcPr>
          <w:p w:rsidR="003400A3" w:rsidRPr="009164FC" w:rsidRDefault="003400A3" w:rsidP="0092119B">
            <w:pPr>
              <w:pStyle w:val="NoSpacing"/>
              <w:rPr>
                <w:highlight w:val="lightGray"/>
              </w:rPr>
            </w:pPr>
            <w:r w:rsidRPr="009164FC">
              <w:rPr>
                <w:rFonts w:eastAsia="Times New Roman"/>
                <w:szCs w:val="20"/>
              </w:rPr>
              <w:t xml:space="preserve">080 </w:t>
            </w:r>
            <w:r>
              <w:rPr>
                <w:rFonts w:eastAsia="Times New Roman"/>
                <w:szCs w:val="20"/>
              </w:rPr>
              <w:t>-</w:t>
            </w:r>
            <w:r w:rsidRPr="009164FC">
              <w:rPr>
                <w:rFonts w:eastAsia="Times New Roman"/>
                <w:szCs w:val="20"/>
              </w:rPr>
              <w:t xml:space="preserve"> 089</w:t>
            </w:r>
            <w:r>
              <w:rPr>
                <w:rFonts w:eastAsia="Times New Roman"/>
                <w:szCs w:val="20"/>
              </w:rPr>
              <w:t xml:space="preserve"> (4)</w:t>
            </w:r>
          </w:p>
        </w:tc>
        <w:tc>
          <w:tcPr>
            <w:tcW w:w="2538" w:type="dxa"/>
          </w:tcPr>
          <w:p w:rsidR="003400A3" w:rsidRPr="009164FC" w:rsidRDefault="003400A3" w:rsidP="0092119B">
            <w:pPr>
              <w:pStyle w:val="NoSpacing"/>
              <w:rPr>
                <w:highlight w:val="lightGray"/>
              </w:rPr>
            </w:pPr>
            <w:r w:rsidRPr="009164FC">
              <w:rPr>
                <w:rFonts w:eastAsia="Times New Roman"/>
                <w:szCs w:val="20"/>
              </w:rPr>
              <w:t xml:space="preserve">030 </w:t>
            </w:r>
            <w:r>
              <w:rPr>
                <w:rFonts w:eastAsia="Times New Roman"/>
                <w:szCs w:val="20"/>
              </w:rPr>
              <w:t>-</w:t>
            </w:r>
            <w:r w:rsidRPr="009164FC">
              <w:rPr>
                <w:rFonts w:eastAsia="Times New Roman"/>
                <w:szCs w:val="20"/>
              </w:rPr>
              <w:t xml:space="preserve"> 039</w:t>
            </w:r>
            <w:r>
              <w:rPr>
                <w:rFonts w:eastAsia="Times New Roman"/>
                <w:szCs w:val="20"/>
              </w:rPr>
              <w:t xml:space="preserve"> (6)</w:t>
            </w:r>
          </w:p>
        </w:tc>
      </w:tr>
      <w:tr w:rsidR="003400A3" w:rsidRPr="009164FC" w:rsidTr="00897845">
        <w:tc>
          <w:tcPr>
            <w:tcW w:w="500" w:type="dxa"/>
          </w:tcPr>
          <w:p w:rsidR="003400A3" w:rsidRPr="009164FC" w:rsidRDefault="003400A3" w:rsidP="0092119B">
            <w:pPr>
              <w:pStyle w:val="NoSpacing"/>
            </w:pPr>
            <w:r w:rsidRPr="009164FC">
              <w:t>3</w:t>
            </w:r>
          </w:p>
        </w:tc>
        <w:tc>
          <w:tcPr>
            <w:tcW w:w="4812" w:type="dxa"/>
          </w:tcPr>
          <w:p w:rsidR="003400A3" w:rsidRPr="009164FC" w:rsidRDefault="003400A3" w:rsidP="0092119B">
            <w:pPr>
              <w:pStyle w:val="NoSpacing"/>
              <w:rPr>
                <w:rFonts w:eastAsia="Times New Roman"/>
                <w:szCs w:val="20"/>
              </w:rPr>
            </w:pPr>
            <w:r w:rsidRPr="009164FC">
              <w:rPr>
                <w:rFonts w:eastAsia="Times New Roman"/>
                <w:szCs w:val="20"/>
              </w:rPr>
              <w:t>450 - 459 Italian, Romanian, and Related Languages (8)</w:t>
            </w:r>
          </w:p>
        </w:tc>
        <w:tc>
          <w:tcPr>
            <w:tcW w:w="2538" w:type="dxa"/>
          </w:tcPr>
          <w:p w:rsidR="003400A3" w:rsidRPr="009164FC" w:rsidRDefault="003400A3" w:rsidP="0092119B">
            <w:pPr>
              <w:pStyle w:val="NoSpacing"/>
              <w:rPr>
                <w:highlight w:val="lightGray"/>
              </w:rPr>
            </w:pPr>
            <w:r w:rsidRPr="00D172D4">
              <w:t>250 - 259 Christian Pastoral Practice and Religious Orders (7)</w:t>
            </w:r>
          </w:p>
        </w:tc>
        <w:tc>
          <w:tcPr>
            <w:tcW w:w="2538" w:type="dxa"/>
          </w:tcPr>
          <w:p w:rsidR="003400A3" w:rsidRPr="009164FC" w:rsidRDefault="003400A3" w:rsidP="0092119B">
            <w:pPr>
              <w:pStyle w:val="NoSpacing"/>
              <w:rPr>
                <w:highlight w:val="lightGray"/>
              </w:rPr>
            </w:pPr>
            <w:r w:rsidRPr="009164FC">
              <w:rPr>
                <w:rFonts w:eastAsia="Times New Roman"/>
                <w:szCs w:val="20"/>
              </w:rPr>
              <w:t xml:space="preserve">090 </w:t>
            </w:r>
            <w:r>
              <w:rPr>
                <w:rFonts w:eastAsia="Times New Roman"/>
                <w:szCs w:val="20"/>
              </w:rPr>
              <w:t>-</w:t>
            </w:r>
            <w:r w:rsidRPr="009164FC">
              <w:rPr>
                <w:rFonts w:eastAsia="Times New Roman"/>
                <w:szCs w:val="20"/>
              </w:rPr>
              <w:t xml:space="preserve"> 099</w:t>
            </w:r>
            <w:r>
              <w:rPr>
                <w:rFonts w:eastAsia="Times New Roman"/>
                <w:szCs w:val="20"/>
              </w:rPr>
              <w:t xml:space="preserve"> (8)</w:t>
            </w:r>
          </w:p>
        </w:tc>
      </w:tr>
      <w:tr w:rsidR="003400A3" w:rsidRPr="009164FC" w:rsidTr="00897845">
        <w:tc>
          <w:tcPr>
            <w:tcW w:w="500" w:type="dxa"/>
          </w:tcPr>
          <w:p w:rsidR="003400A3" w:rsidRPr="009164FC" w:rsidRDefault="003400A3" w:rsidP="0092119B">
            <w:pPr>
              <w:pStyle w:val="NoSpacing"/>
            </w:pPr>
            <w:r w:rsidRPr="009164FC">
              <w:t>4</w:t>
            </w:r>
          </w:p>
        </w:tc>
        <w:tc>
          <w:tcPr>
            <w:tcW w:w="4812" w:type="dxa"/>
          </w:tcPr>
          <w:p w:rsidR="003400A3" w:rsidRPr="009164FC" w:rsidRDefault="003400A3" w:rsidP="0092119B">
            <w:pPr>
              <w:pStyle w:val="NoSpacing"/>
              <w:rPr>
                <w:rFonts w:eastAsia="Times New Roman"/>
                <w:szCs w:val="20"/>
              </w:rPr>
            </w:pPr>
            <w:r w:rsidRPr="009164FC">
              <w:rPr>
                <w:rFonts w:eastAsia="Times New Roman"/>
                <w:szCs w:val="20"/>
              </w:rPr>
              <w:t>030 - 039 Encyclopedia and Books of Facts (11)</w:t>
            </w:r>
          </w:p>
        </w:tc>
        <w:tc>
          <w:tcPr>
            <w:tcW w:w="2538" w:type="dxa"/>
          </w:tcPr>
          <w:p w:rsidR="003400A3" w:rsidRPr="009164FC" w:rsidRDefault="003400A3" w:rsidP="0092119B">
            <w:pPr>
              <w:pStyle w:val="NoSpacing"/>
              <w:rPr>
                <w:highlight w:val="lightGray"/>
              </w:rPr>
            </w:pPr>
            <w:r w:rsidRPr="009164FC">
              <w:rPr>
                <w:rFonts w:eastAsia="Times New Roman"/>
                <w:szCs w:val="20"/>
              </w:rPr>
              <w:t xml:space="preserve">030 </w:t>
            </w:r>
            <w:r>
              <w:rPr>
                <w:rFonts w:eastAsia="Times New Roman"/>
                <w:szCs w:val="20"/>
              </w:rPr>
              <w:t>-</w:t>
            </w:r>
            <w:r w:rsidRPr="009164FC">
              <w:rPr>
                <w:rFonts w:eastAsia="Times New Roman"/>
                <w:szCs w:val="20"/>
              </w:rPr>
              <w:t xml:space="preserve"> 039</w:t>
            </w:r>
            <w:r>
              <w:rPr>
                <w:rFonts w:eastAsia="Times New Roman"/>
                <w:szCs w:val="20"/>
              </w:rPr>
              <w:t xml:space="preserve"> (10)</w:t>
            </w:r>
          </w:p>
        </w:tc>
        <w:tc>
          <w:tcPr>
            <w:tcW w:w="2538" w:type="dxa"/>
          </w:tcPr>
          <w:p w:rsidR="003400A3" w:rsidRPr="009164FC" w:rsidRDefault="003400A3" w:rsidP="0092119B">
            <w:pPr>
              <w:pStyle w:val="NoSpacing"/>
              <w:rPr>
                <w:highlight w:val="lightGray"/>
              </w:rPr>
            </w:pPr>
            <w:r>
              <w:rPr>
                <w:rFonts w:eastAsia="Times New Roman"/>
                <w:szCs w:val="20"/>
              </w:rPr>
              <w:t>010 - 019 (12)</w:t>
            </w:r>
          </w:p>
        </w:tc>
      </w:tr>
      <w:tr w:rsidR="003400A3" w:rsidRPr="009164FC" w:rsidTr="00897845">
        <w:tc>
          <w:tcPr>
            <w:tcW w:w="500" w:type="dxa"/>
          </w:tcPr>
          <w:p w:rsidR="003400A3" w:rsidRPr="009164FC" w:rsidRDefault="003400A3" w:rsidP="0092119B">
            <w:pPr>
              <w:pStyle w:val="NoSpacing"/>
            </w:pPr>
            <w:r w:rsidRPr="009164FC">
              <w:t>5</w:t>
            </w:r>
          </w:p>
        </w:tc>
        <w:tc>
          <w:tcPr>
            <w:tcW w:w="4812" w:type="dxa"/>
          </w:tcPr>
          <w:p w:rsidR="003400A3" w:rsidRPr="009164FC" w:rsidRDefault="003400A3" w:rsidP="0092119B">
            <w:pPr>
              <w:pStyle w:val="NoSpacing"/>
              <w:rPr>
                <w:rFonts w:eastAsia="Times New Roman"/>
                <w:szCs w:val="20"/>
              </w:rPr>
            </w:pPr>
            <w:r w:rsidRPr="009164FC">
              <w:rPr>
                <w:rFonts w:eastAsia="Times New Roman"/>
                <w:szCs w:val="20"/>
              </w:rPr>
              <w:t>080 - 089 Quotations (15)</w:t>
            </w:r>
          </w:p>
        </w:tc>
        <w:tc>
          <w:tcPr>
            <w:tcW w:w="2538" w:type="dxa"/>
          </w:tcPr>
          <w:p w:rsidR="003400A3" w:rsidRPr="009164FC" w:rsidRDefault="003400A3" w:rsidP="0092119B">
            <w:pPr>
              <w:pStyle w:val="NoSpacing"/>
              <w:rPr>
                <w:highlight w:val="lightGray"/>
              </w:rPr>
            </w:pPr>
            <w:r>
              <w:rPr>
                <w:rFonts w:eastAsia="Times New Roman"/>
                <w:szCs w:val="20"/>
              </w:rPr>
              <w:t xml:space="preserve">010 </w:t>
            </w:r>
            <w:r>
              <w:t>-</w:t>
            </w:r>
            <w:r>
              <w:rPr>
                <w:rFonts w:eastAsia="Times New Roman"/>
                <w:szCs w:val="20"/>
              </w:rPr>
              <w:t xml:space="preserve"> 019 (11)</w:t>
            </w:r>
          </w:p>
        </w:tc>
        <w:tc>
          <w:tcPr>
            <w:tcW w:w="2538" w:type="dxa"/>
          </w:tcPr>
          <w:p w:rsidR="003400A3" w:rsidRPr="009164FC" w:rsidRDefault="003400A3" w:rsidP="0092119B">
            <w:pPr>
              <w:pStyle w:val="NoSpacing"/>
              <w:rPr>
                <w:highlight w:val="lightGray"/>
              </w:rPr>
            </w:pPr>
            <w:r>
              <w:t>250 - 259</w:t>
            </w:r>
            <w:r w:rsidRPr="00AC5FD8">
              <w:t xml:space="preserve"> (12)</w:t>
            </w:r>
          </w:p>
        </w:tc>
      </w:tr>
    </w:tbl>
    <w:p w:rsidR="0092119B" w:rsidRDefault="0092119B"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Databases</w:t>
      </w:r>
    </w:p>
    <w:p w:rsidR="003400A3" w:rsidRPr="009164FC" w:rsidRDefault="003400A3" w:rsidP="003400A3">
      <w:pPr>
        <w:rPr>
          <w:rFonts w:ascii="Calibri" w:hAnsi="Calibri"/>
        </w:rPr>
      </w:pPr>
      <w:r w:rsidRPr="009164FC">
        <w:rPr>
          <w:rFonts w:ascii="Calibri" w:hAnsi="Calibri"/>
        </w:rPr>
        <w:t>The 5 most accessed databases as measured by search queries from FY07-FY08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0"/>
        <w:gridCol w:w="4704"/>
        <w:gridCol w:w="5184"/>
      </w:tblGrid>
      <w:tr w:rsidR="003400A3" w:rsidRPr="009164FC" w:rsidTr="00897845">
        <w:tc>
          <w:tcPr>
            <w:tcW w:w="500" w:type="dxa"/>
          </w:tcPr>
          <w:p w:rsidR="003400A3" w:rsidRPr="0092119B" w:rsidRDefault="003400A3" w:rsidP="0092119B">
            <w:pPr>
              <w:pStyle w:val="NoSpacing"/>
              <w:jc w:val="center"/>
              <w:rPr>
                <w:b/>
              </w:rPr>
            </w:pPr>
          </w:p>
        </w:tc>
        <w:tc>
          <w:tcPr>
            <w:tcW w:w="4704" w:type="dxa"/>
          </w:tcPr>
          <w:p w:rsidR="003400A3" w:rsidRPr="0092119B" w:rsidRDefault="003400A3" w:rsidP="0092119B">
            <w:pPr>
              <w:pStyle w:val="NoSpacing"/>
              <w:jc w:val="center"/>
              <w:rPr>
                <w:b/>
              </w:rPr>
            </w:pPr>
            <w:r w:rsidRPr="0092119B">
              <w:rPr>
                <w:b/>
              </w:rPr>
              <w:t>FY2007</w:t>
            </w:r>
          </w:p>
        </w:tc>
        <w:tc>
          <w:tcPr>
            <w:tcW w:w="5184" w:type="dxa"/>
          </w:tcPr>
          <w:p w:rsidR="003400A3" w:rsidRPr="0092119B" w:rsidRDefault="003400A3" w:rsidP="0092119B">
            <w:pPr>
              <w:pStyle w:val="NoSpacing"/>
              <w:jc w:val="center"/>
              <w:rPr>
                <w:b/>
              </w:rPr>
            </w:pPr>
            <w:r w:rsidRPr="0092119B">
              <w:rPr>
                <w:b/>
              </w:rPr>
              <w:t>FY2008</w:t>
            </w:r>
          </w:p>
        </w:tc>
      </w:tr>
      <w:tr w:rsidR="003400A3" w:rsidRPr="009164FC" w:rsidTr="00897845">
        <w:tc>
          <w:tcPr>
            <w:tcW w:w="500" w:type="dxa"/>
          </w:tcPr>
          <w:p w:rsidR="003400A3" w:rsidRPr="009164FC" w:rsidRDefault="003400A3" w:rsidP="0092119B">
            <w:pPr>
              <w:pStyle w:val="NoSpacing"/>
            </w:pPr>
            <w:r w:rsidRPr="009164FC">
              <w:t>1</w:t>
            </w:r>
          </w:p>
        </w:tc>
        <w:tc>
          <w:tcPr>
            <w:tcW w:w="4704" w:type="dxa"/>
          </w:tcPr>
          <w:p w:rsidR="003400A3" w:rsidRPr="009164FC" w:rsidRDefault="003400A3" w:rsidP="0092119B">
            <w:pPr>
              <w:pStyle w:val="NoSpacing"/>
              <w:rPr>
                <w:rFonts w:eastAsia="Times New Roman"/>
                <w:szCs w:val="20"/>
              </w:rPr>
            </w:pPr>
            <w:r w:rsidRPr="009164FC">
              <w:rPr>
                <w:rFonts w:eastAsia="Times New Roman"/>
                <w:szCs w:val="20"/>
              </w:rPr>
              <w:t>EBSCO Databases (includes Academic Search Premier, American Humanities Index, Business Source Premier and Communication and Mass Media Complete) (43,204)</w:t>
            </w:r>
          </w:p>
        </w:tc>
        <w:tc>
          <w:tcPr>
            <w:tcW w:w="5184" w:type="dxa"/>
          </w:tcPr>
          <w:p w:rsidR="003400A3" w:rsidRPr="00093E44" w:rsidRDefault="003400A3" w:rsidP="0092119B">
            <w:pPr>
              <w:pStyle w:val="NoSpacing"/>
            </w:pPr>
            <w:r w:rsidRPr="00093E44">
              <w:t>CQ Electronic Library (354,919)</w:t>
            </w:r>
          </w:p>
        </w:tc>
      </w:tr>
      <w:tr w:rsidR="003400A3" w:rsidRPr="009164FC" w:rsidTr="00897845">
        <w:tc>
          <w:tcPr>
            <w:tcW w:w="500" w:type="dxa"/>
          </w:tcPr>
          <w:p w:rsidR="003400A3" w:rsidRPr="009164FC" w:rsidRDefault="003400A3" w:rsidP="0092119B">
            <w:pPr>
              <w:pStyle w:val="NoSpacing"/>
            </w:pPr>
            <w:r w:rsidRPr="009164FC">
              <w:t>2</w:t>
            </w:r>
          </w:p>
        </w:tc>
        <w:tc>
          <w:tcPr>
            <w:tcW w:w="4704" w:type="dxa"/>
          </w:tcPr>
          <w:p w:rsidR="003400A3" w:rsidRPr="009164FC" w:rsidRDefault="003400A3" w:rsidP="0092119B">
            <w:pPr>
              <w:pStyle w:val="NoSpacing"/>
              <w:rPr>
                <w:rFonts w:eastAsia="Times New Roman"/>
                <w:szCs w:val="20"/>
              </w:rPr>
            </w:pPr>
            <w:r w:rsidRPr="009164FC">
              <w:rPr>
                <w:rFonts w:eastAsia="Times New Roman"/>
                <w:szCs w:val="20"/>
              </w:rPr>
              <w:t>Academic Search Premier (EBSCO) (38,434)</w:t>
            </w:r>
          </w:p>
        </w:tc>
        <w:tc>
          <w:tcPr>
            <w:tcW w:w="5184" w:type="dxa"/>
          </w:tcPr>
          <w:p w:rsidR="003400A3" w:rsidRPr="00093E44" w:rsidRDefault="003400A3" w:rsidP="0092119B">
            <w:pPr>
              <w:pStyle w:val="NoSpacing"/>
            </w:pPr>
            <w:r w:rsidRPr="00093E44">
              <w:t>Lexis Nexis Academic (173,755)</w:t>
            </w:r>
          </w:p>
        </w:tc>
      </w:tr>
      <w:tr w:rsidR="003400A3" w:rsidRPr="009164FC" w:rsidTr="00897845">
        <w:tc>
          <w:tcPr>
            <w:tcW w:w="500" w:type="dxa"/>
          </w:tcPr>
          <w:p w:rsidR="003400A3" w:rsidRPr="009164FC" w:rsidRDefault="003400A3" w:rsidP="0092119B">
            <w:pPr>
              <w:pStyle w:val="NoSpacing"/>
            </w:pPr>
            <w:r w:rsidRPr="009164FC">
              <w:t>3</w:t>
            </w:r>
          </w:p>
        </w:tc>
        <w:tc>
          <w:tcPr>
            <w:tcW w:w="4704" w:type="dxa"/>
          </w:tcPr>
          <w:p w:rsidR="003400A3" w:rsidRPr="009164FC" w:rsidRDefault="003400A3" w:rsidP="0092119B">
            <w:pPr>
              <w:pStyle w:val="NoSpacing"/>
              <w:rPr>
                <w:rFonts w:eastAsia="Times New Roman"/>
                <w:szCs w:val="20"/>
              </w:rPr>
            </w:pPr>
            <w:r w:rsidRPr="009164FC">
              <w:rPr>
                <w:rFonts w:eastAsia="Times New Roman"/>
                <w:szCs w:val="20"/>
              </w:rPr>
              <w:t>JSTOR (26,062)</w:t>
            </w:r>
          </w:p>
        </w:tc>
        <w:tc>
          <w:tcPr>
            <w:tcW w:w="5184" w:type="dxa"/>
          </w:tcPr>
          <w:p w:rsidR="003400A3" w:rsidRPr="00093E44" w:rsidRDefault="003400A3" w:rsidP="0092119B">
            <w:pPr>
              <w:pStyle w:val="NoSpacing"/>
            </w:pPr>
            <w:r w:rsidRPr="00093E44">
              <w:t>Academic Search Premier (79,464)</w:t>
            </w:r>
          </w:p>
        </w:tc>
      </w:tr>
      <w:tr w:rsidR="003400A3" w:rsidRPr="009164FC" w:rsidTr="00897845">
        <w:tc>
          <w:tcPr>
            <w:tcW w:w="500" w:type="dxa"/>
          </w:tcPr>
          <w:p w:rsidR="003400A3" w:rsidRPr="009164FC" w:rsidRDefault="003400A3" w:rsidP="0092119B">
            <w:pPr>
              <w:pStyle w:val="NoSpacing"/>
            </w:pPr>
            <w:r w:rsidRPr="009164FC">
              <w:t>4</w:t>
            </w:r>
          </w:p>
        </w:tc>
        <w:tc>
          <w:tcPr>
            <w:tcW w:w="4704" w:type="dxa"/>
          </w:tcPr>
          <w:p w:rsidR="003400A3" w:rsidRPr="009164FC" w:rsidRDefault="003400A3" w:rsidP="0092119B">
            <w:pPr>
              <w:pStyle w:val="NoSpacing"/>
            </w:pPr>
            <w:r w:rsidRPr="009164FC">
              <w:rPr>
                <w:rFonts w:eastAsia="Times New Roman"/>
                <w:szCs w:val="20"/>
              </w:rPr>
              <w:t>Gale Databases (includes Academic Index ASAP, Business and Company ASAP, Health Reference Center and Predicasts PROMT) (23,153)</w:t>
            </w:r>
          </w:p>
        </w:tc>
        <w:tc>
          <w:tcPr>
            <w:tcW w:w="5184" w:type="dxa"/>
          </w:tcPr>
          <w:p w:rsidR="003400A3" w:rsidRPr="00093E44" w:rsidRDefault="003400A3" w:rsidP="0092119B">
            <w:pPr>
              <w:pStyle w:val="NoSpacing"/>
            </w:pPr>
            <w:r w:rsidRPr="00093E44">
              <w:t>Literature Resource Center (59,400)</w:t>
            </w:r>
          </w:p>
        </w:tc>
      </w:tr>
      <w:tr w:rsidR="003400A3" w:rsidRPr="009164FC" w:rsidTr="00897845">
        <w:tc>
          <w:tcPr>
            <w:tcW w:w="500" w:type="dxa"/>
          </w:tcPr>
          <w:p w:rsidR="003400A3" w:rsidRPr="009164FC" w:rsidRDefault="003400A3" w:rsidP="0092119B">
            <w:pPr>
              <w:pStyle w:val="NoSpacing"/>
            </w:pPr>
            <w:r w:rsidRPr="009164FC">
              <w:t>5</w:t>
            </w:r>
          </w:p>
        </w:tc>
        <w:tc>
          <w:tcPr>
            <w:tcW w:w="4704" w:type="dxa"/>
          </w:tcPr>
          <w:p w:rsidR="003400A3" w:rsidRPr="009164FC" w:rsidRDefault="003400A3" w:rsidP="0092119B">
            <w:pPr>
              <w:pStyle w:val="NoSpacing"/>
              <w:rPr>
                <w:rFonts w:eastAsia="Times New Roman"/>
                <w:szCs w:val="20"/>
              </w:rPr>
            </w:pPr>
            <w:r w:rsidRPr="009164FC">
              <w:rPr>
                <w:rFonts w:eastAsia="Times New Roman"/>
                <w:szCs w:val="20"/>
              </w:rPr>
              <w:t>ScienceDirect Freedom Collection (22,020)</w:t>
            </w:r>
          </w:p>
        </w:tc>
        <w:tc>
          <w:tcPr>
            <w:tcW w:w="5184" w:type="dxa"/>
          </w:tcPr>
          <w:p w:rsidR="003400A3" w:rsidRPr="00093E44" w:rsidRDefault="003400A3" w:rsidP="0092119B">
            <w:pPr>
              <w:pStyle w:val="NoSpacing"/>
            </w:pPr>
            <w:r w:rsidRPr="00093E44">
              <w:t>WorldCat (OCLC) (57,518)</w:t>
            </w:r>
          </w:p>
        </w:tc>
      </w:tr>
    </w:tbl>
    <w:p w:rsidR="0092119B" w:rsidRDefault="0092119B"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0B4E82" w:rsidRDefault="000B4E82" w:rsidP="003400A3">
      <w:pPr>
        <w:rPr>
          <w:rFonts w:ascii="Calibri" w:hAnsi="Calibri"/>
        </w:rPr>
      </w:pPr>
    </w:p>
    <w:p w:rsidR="003400A3" w:rsidRPr="009164FC" w:rsidRDefault="003400A3" w:rsidP="003400A3">
      <w:pPr>
        <w:rPr>
          <w:rFonts w:ascii="Calibri" w:hAnsi="Calibri"/>
        </w:rPr>
      </w:pPr>
      <w:r>
        <w:rPr>
          <w:rFonts w:ascii="Calibri" w:hAnsi="Calibri"/>
        </w:rPr>
        <w:lastRenderedPageBreak/>
        <w:t>Th</w:t>
      </w:r>
      <w:r w:rsidRPr="009164FC">
        <w:rPr>
          <w:rFonts w:ascii="Calibri" w:hAnsi="Calibri"/>
        </w:rPr>
        <w:t>e 5 least accessed databases as measured by search queries from FY07-FY08 were:</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87"/>
        <w:gridCol w:w="4751"/>
        <w:gridCol w:w="5130"/>
      </w:tblGrid>
      <w:tr w:rsidR="003400A3" w:rsidRPr="009164FC" w:rsidTr="00897845">
        <w:tc>
          <w:tcPr>
            <w:tcW w:w="487" w:type="dxa"/>
          </w:tcPr>
          <w:p w:rsidR="003400A3" w:rsidRPr="0092119B" w:rsidRDefault="003400A3" w:rsidP="0092119B">
            <w:pPr>
              <w:pStyle w:val="NoSpacing"/>
              <w:jc w:val="center"/>
              <w:rPr>
                <w:b/>
              </w:rPr>
            </w:pPr>
          </w:p>
        </w:tc>
        <w:tc>
          <w:tcPr>
            <w:tcW w:w="4751" w:type="dxa"/>
          </w:tcPr>
          <w:p w:rsidR="003400A3" w:rsidRPr="0092119B" w:rsidRDefault="003400A3" w:rsidP="0092119B">
            <w:pPr>
              <w:pStyle w:val="NoSpacing"/>
              <w:jc w:val="center"/>
              <w:rPr>
                <w:b/>
              </w:rPr>
            </w:pPr>
            <w:r w:rsidRPr="0092119B">
              <w:rPr>
                <w:b/>
              </w:rPr>
              <w:t>FY2007</w:t>
            </w:r>
          </w:p>
        </w:tc>
        <w:tc>
          <w:tcPr>
            <w:tcW w:w="5130" w:type="dxa"/>
          </w:tcPr>
          <w:p w:rsidR="003400A3" w:rsidRPr="0092119B" w:rsidRDefault="003400A3" w:rsidP="0092119B">
            <w:pPr>
              <w:pStyle w:val="NoSpacing"/>
              <w:jc w:val="center"/>
              <w:rPr>
                <w:b/>
              </w:rPr>
            </w:pPr>
            <w:r w:rsidRPr="0092119B">
              <w:rPr>
                <w:b/>
              </w:rPr>
              <w:t>FY2008</w:t>
            </w:r>
          </w:p>
        </w:tc>
      </w:tr>
      <w:tr w:rsidR="003400A3" w:rsidRPr="009164FC" w:rsidTr="00897845">
        <w:tc>
          <w:tcPr>
            <w:tcW w:w="487" w:type="dxa"/>
          </w:tcPr>
          <w:p w:rsidR="003400A3" w:rsidRPr="009164FC" w:rsidRDefault="003400A3" w:rsidP="0092119B">
            <w:pPr>
              <w:pStyle w:val="NoSpacing"/>
              <w:rPr>
                <w:rFonts w:eastAsia="Times New Roman"/>
                <w:szCs w:val="20"/>
              </w:rPr>
            </w:pPr>
            <w:r w:rsidRPr="009164FC">
              <w:rPr>
                <w:rFonts w:eastAsia="Times New Roman"/>
                <w:szCs w:val="20"/>
              </w:rPr>
              <w:t>1</w:t>
            </w:r>
          </w:p>
        </w:tc>
        <w:tc>
          <w:tcPr>
            <w:tcW w:w="4751" w:type="dxa"/>
          </w:tcPr>
          <w:p w:rsidR="003400A3" w:rsidRPr="009164FC" w:rsidRDefault="003400A3" w:rsidP="0092119B">
            <w:pPr>
              <w:pStyle w:val="NoSpacing"/>
              <w:rPr>
                <w:rFonts w:eastAsia="Times New Roman"/>
                <w:szCs w:val="20"/>
              </w:rPr>
            </w:pPr>
            <w:r w:rsidRPr="009164FC">
              <w:rPr>
                <w:rFonts w:eastAsia="Times New Roman"/>
                <w:szCs w:val="20"/>
              </w:rPr>
              <w:t>Toxline (CSA) (5)</w:t>
            </w:r>
          </w:p>
        </w:tc>
        <w:tc>
          <w:tcPr>
            <w:tcW w:w="5130" w:type="dxa"/>
          </w:tcPr>
          <w:p w:rsidR="003400A3" w:rsidRPr="00D172D4" w:rsidRDefault="003400A3" w:rsidP="0092119B">
            <w:pPr>
              <w:pStyle w:val="NoSpacing"/>
              <w:rPr>
                <w:rFonts w:eastAsia="Times New Roman"/>
                <w:szCs w:val="20"/>
              </w:rPr>
            </w:pPr>
            <w:r w:rsidRPr="00D172D4">
              <w:rPr>
                <w:rFonts w:eastAsia="Times New Roman"/>
                <w:szCs w:val="20"/>
              </w:rPr>
              <w:t>Art Full Text (13)</w:t>
            </w:r>
          </w:p>
        </w:tc>
      </w:tr>
      <w:tr w:rsidR="003400A3" w:rsidRPr="009164FC" w:rsidTr="00897845">
        <w:tc>
          <w:tcPr>
            <w:tcW w:w="487" w:type="dxa"/>
          </w:tcPr>
          <w:p w:rsidR="003400A3" w:rsidRPr="009164FC" w:rsidRDefault="003400A3" w:rsidP="0092119B">
            <w:pPr>
              <w:pStyle w:val="NoSpacing"/>
              <w:rPr>
                <w:rFonts w:eastAsia="Times New Roman"/>
                <w:szCs w:val="20"/>
              </w:rPr>
            </w:pPr>
            <w:r w:rsidRPr="009164FC">
              <w:rPr>
                <w:rFonts w:eastAsia="Times New Roman"/>
                <w:szCs w:val="20"/>
              </w:rPr>
              <w:t>2</w:t>
            </w:r>
          </w:p>
        </w:tc>
        <w:tc>
          <w:tcPr>
            <w:tcW w:w="4751" w:type="dxa"/>
          </w:tcPr>
          <w:p w:rsidR="003400A3" w:rsidRPr="009164FC" w:rsidRDefault="003400A3" w:rsidP="0092119B">
            <w:pPr>
              <w:pStyle w:val="NoSpacing"/>
              <w:rPr>
                <w:rFonts w:eastAsia="Times New Roman"/>
                <w:szCs w:val="20"/>
              </w:rPr>
            </w:pPr>
            <w:r w:rsidRPr="009164FC">
              <w:rPr>
                <w:rFonts w:eastAsia="Times New Roman"/>
                <w:szCs w:val="20"/>
              </w:rPr>
              <w:t>Education-line (8)</w:t>
            </w:r>
          </w:p>
        </w:tc>
        <w:tc>
          <w:tcPr>
            <w:tcW w:w="5130" w:type="dxa"/>
          </w:tcPr>
          <w:p w:rsidR="003400A3" w:rsidRPr="00D172D4" w:rsidRDefault="003400A3" w:rsidP="0092119B">
            <w:pPr>
              <w:pStyle w:val="NoSpacing"/>
              <w:rPr>
                <w:rFonts w:eastAsia="Times New Roman"/>
                <w:szCs w:val="20"/>
                <w:highlight w:val="lightGray"/>
              </w:rPr>
            </w:pPr>
            <w:r w:rsidRPr="00D172D4">
              <w:rPr>
                <w:color w:val="000000"/>
              </w:rPr>
              <w:t>Biological &amp; Agricultural Index Plus (17)</w:t>
            </w:r>
          </w:p>
        </w:tc>
      </w:tr>
      <w:tr w:rsidR="003400A3" w:rsidRPr="009164FC" w:rsidTr="00897845">
        <w:tc>
          <w:tcPr>
            <w:tcW w:w="487" w:type="dxa"/>
          </w:tcPr>
          <w:p w:rsidR="003400A3" w:rsidRPr="009164FC" w:rsidRDefault="003400A3" w:rsidP="0092119B">
            <w:pPr>
              <w:pStyle w:val="NoSpacing"/>
              <w:rPr>
                <w:rFonts w:eastAsia="Times New Roman"/>
                <w:szCs w:val="20"/>
              </w:rPr>
            </w:pPr>
            <w:r w:rsidRPr="009164FC">
              <w:rPr>
                <w:rFonts w:eastAsia="Times New Roman"/>
                <w:szCs w:val="20"/>
              </w:rPr>
              <w:t>3</w:t>
            </w:r>
          </w:p>
        </w:tc>
        <w:tc>
          <w:tcPr>
            <w:tcW w:w="4751" w:type="dxa"/>
          </w:tcPr>
          <w:p w:rsidR="003400A3" w:rsidRPr="009164FC" w:rsidRDefault="003400A3" w:rsidP="0092119B">
            <w:pPr>
              <w:pStyle w:val="NoSpacing"/>
              <w:rPr>
                <w:rFonts w:eastAsia="Times New Roman"/>
                <w:szCs w:val="20"/>
              </w:rPr>
            </w:pPr>
            <w:r w:rsidRPr="009164FC">
              <w:rPr>
                <w:rFonts w:eastAsia="Times New Roman"/>
                <w:szCs w:val="20"/>
              </w:rPr>
              <w:t>TreeCD (10)</w:t>
            </w:r>
          </w:p>
        </w:tc>
        <w:tc>
          <w:tcPr>
            <w:tcW w:w="5130" w:type="dxa"/>
          </w:tcPr>
          <w:p w:rsidR="003400A3" w:rsidRPr="00D172D4" w:rsidRDefault="003400A3" w:rsidP="0092119B">
            <w:pPr>
              <w:pStyle w:val="NoSpacing"/>
              <w:rPr>
                <w:rFonts w:eastAsia="Times New Roman"/>
                <w:szCs w:val="20"/>
              </w:rPr>
            </w:pPr>
            <w:r w:rsidRPr="00D172D4">
              <w:rPr>
                <w:color w:val="000000"/>
              </w:rPr>
              <w:t>Prokaryotes (19)</w:t>
            </w:r>
          </w:p>
        </w:tc>
      </w:tr>
      <w:tr w:rsidR="003400A3" w:rsidRPr="009164FC" w:rsidTr="00897845">
        <w:tc>
          <w:tcPr>
            <w:tcW w:w="487" w:type="dxa"/>
          </w:tcPr>
          <w:p w:rsidR="003400A3" w:rsidRPr="009164FC" w:rsidRDefault="003400A3" w:rsidP="0092119B">
            <w:pPr>
              <w:pStyle w:val="NoSpacing"/>
              <w:rPr>
                <w:rFonts w:eastAsia="Times New Roman"/>
                <w:szCs w:val="20"/>
              </w:rPr>
            </w:pPr>
            <w:r w:rsidRPr="009164FC">
              <w:rPr>
                <w:rFonts w:eastAsia="Times New Roman"/>
                <w:szCs w:val="20"/>
              </w:rPr>
              <w:t>4</w:t>
            </w:r>
          </w:p>
        </w:tc>
        <w:tc>
          <w:tcPr>
            <w:tcW w:w="4751" w:type="dxa"/>
          </w:tcPr>
          <w:p w:rsidR="003400A3" w:rsidRPr="009164FC" w:rsidRDefault="003400A3" w:rsidP="0092119B">
            <w:pPr>
              <w:pStyle w:val="NoSpacing"/>
              <w:rPr>
                <w:rFonts w:eastAsia="Times New Roman"/>
                <w:szCs w:val="20"/>
              </w:rPr>
            </w:pPr>
            <w:r w:rsidRPr="009164FC">
              <w:rPr>
                <w:rFonts w:eastAsia="Times New Roman"/>
                <w:szCs w:val="20"/>
              </w:rPr>
              <w:t>Early American Fiction (11)</w:t>
            </w:r>
          </w:p>
        </w:tc>
        <w:tc>
          <w:tcPr>
            <w:tcW w:w="5130" w:type="dxa"/>
          </w:tcPr>
          <w:p w:rsidR="003400A3" w:rsidRPr="00D172D4" w:rsidRDefault="003400A3" w:rsidP="0092119B">
            <w:pPr>
              <w:pStyle w:val="NoSpacing"/>
              <w:rPr>
                <w:rFonts w:eastAsia="Times New Roman"/>
                <w:szCs w:val="20"/>
              </w:rPr>
            </w:pPr>
            <w:r w:rsidRPr="00D172D4">
              <w:rPr>
                <w:color w:val="000000"/>
              </w:rPr>
              <w:t>Species Information Library (19)</w:t>
            </w:r>
          </w:p>
        </w:tc>
      </w:tr>
      <w:tr w:rsidR="003400A3" w:rsidRPr="009164FC" w:rsidTr="00897845">
        <w:tc>
          <w:tcPr>
            <w:tcW w:w="487" w:type="dxa"/>
          </w:tcPr>
          <w:p w:rsidR="003400A3" w:rsidRPr="009164FC" w:rsidRDefault="003400A3" w:rsidP="0092119B">
            <w:pPr>
              <w:pStyle w:val="NoSpacing"/>
              <w:rPr>
                <w:rFonts w:eastAsia="Times New Roman"/>
                <w:szCs w:val="20"/>
              </w:rPr>
            </w:pPr>
            <w:r w:rsidRPr="009164FC">
              <w:rPr>
                <w:rFonts w:eastAsia="Times New Roman"/>
                <w:szCs w:val="20"/>
              </w:rPr>
              <w:t>5</w:t>
            </w:r>
          </w:p>
        </w:tc>
        <w:tc>
          <w:tcPr>
            <w:tcW w:w="4751" w:type="dxa"/>
          </w:tcPr>
          <w:p w:rsidR="003400A3" w:rsidRPr="009164FC" w:rsidRDefault="003400A3" w:rsidP="0092119B">
            <w:pPr>
              <w:pStyle w:val="NoSpacing"/>
              <w:rPr>
                <w:rFonts w:eastAsia="Times New Roman"/>
                <w:szCs w:val="20"/>
              </w:rPr>
            </w:pPr>
            <w:r w:rsidRPr="009164FC">
              <w:rPr>
                <w:rFonts w:eastAsia="Times New Roman"/>
                <w:szCs w:val="20"/>
              </w:rPr>
              <w:t>Poiesis (13)</w:t>
            </w:r>
          </w:p>
        </w:tc>
        <w:tc>
          <w:tcPr>
            <w:tcW w:w="5130" w:type="dxa"/>
          </w:tcPr>
          <w:p w:rsidR="003400A3" w:rsidRPr="00D172D4" w:rsidRDefault="003400A3" w:rsidP="0092119B">
            <w:pPr>
              <w:pStyle w:val="NoSpacing"/>
              <w:rPr>
                <w:rFonts w:eastAsia="Times New Roman"/>
                <w:szCs w:val="20"/>
                <w:highlight w:val="lightGray"/>
              </w:rPr>
            </w:pPr>
            <w:r w:rsidRPr="00D172D4">
              <w:rPr>
                <w:color w:val="000000"/>
              </w:rPr>
              <w:t>ulrichsweb.com (19)</w:t>
            </w:r>
          </w:p>
        </w:tc>
      </w:tr>
    </w:tbl>
    <w:p w:rsidR="003400A3" w:rsidRDefault="003400A3"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Interlibrary Loan</w:t>
      </w:r>
    </w:p>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The 5 most requested serials via ILL from FY07-FY08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37"/>
        <w:gridCol w:w="4701"/>
        <w:gridCol w:w="5150"/>
      </w:tblGrid>
      <w:tr w:rsidR="003400A3" w:rsidRPr="009164FC" w:rsidTr="00897845">
        <w:tc>
          <w:tcPr>
            <w:tcW w:w="537" w:type="dxa"/>
          </w:tcPr>
          <w:p w:rsidR="003400A3" w:rsidRPr="0092119B" w:rsidRDefault="003400A3" w:rsidP="0092119B">
            <w:pPr>
              <w:pStyle w:val="NoSpacing"/>
              <w:jc w:val="center"/>
              <w:rPr>
                <w:b/>
              </w:rPr>
            </w:pPr>
          </w:p>
        </w:tc>
        <w:tc>
          <w:tcPr>
            <w:tcW w:w="4701" w:type="dxa"/>
          </w:tcPr>
          <w:p w:rsidR="003400A3" w:rsidRPr="0092119B" w:rsidRDefault="003400A3" w:rsidP="0092119B">
            <w:pPr>
              <w:pStyle w:val="NoSpacing"/>
              <w:jc w:val="center"/>
              <w:rPr>
                <w:b/>
              </w:rPr>
            </w:pPr>
            <w:r w:rsidRPr="0092119B">
              <w:rPr>
                <w:b/>
              </w:rPr>
              <w:t>FY2007</w:t>
            </w:r>
          </w:p>
        </w:tc>
        <w:tc>
          <w:tcPr>
            <w:tcW w:w="5150" w:type="dxa"/>
          </w:tcPr>
          <w:p w:rsidR="003400A3" w:rsidRPr="0092119B" w:rsidRDefault="003400A3" w:rsidP="0092119B">
            <w:pPr>
              <w:pStyle w:val="NoSpacing"/>
              <w:jc w:val="center"/>
              <w:rPr>
                <w:b/>
              </w:rPr>
            </w:pPr>
            <w:r w:rsidRPr="0092119B">
              <w:rPr>
                <w:b/>
              </w:rPr>
              <w:t>FY2008</w:t>
            </w:r>
          </w:p>
        </w:tc>
      </w:tr>
      <w:tr w:rsidR="003400A3" w:rsidRPr="009164FC" w:rsidTr="00897845">
        <w:tc>
          <w:tcPr>
            <w:tcW w:w="537" w:type="dxa"/>
          </w:tcPr>
          <w:p w:rsidR="003400A3" w:rsidRPr="009164FC" w:rsidRDefault="003400A3" w:rsidP="0092119B">
            <w:pPr>
              <w:pStyle w:val="NoSpacing"/>
            </w:pPr>
            <w:r w:rsidRPr="009164FC">
              <w:t>1</w:t>
            </w:r>
          </w:p>
        </w:tc>
        <w:tc>
          <w:tcPr>
            <w:tcW w:w="4701" w:type="dxa"/>
          </w:tcPr>
          <w:p w:rsidR="003400A3" w:rsidRPr="009164FC" w:rsidRDefault="003400A3" w:rsidP="0092119B">
            <w:pPr>
              <w:pStyle w:val="NoSpacing"/>
            </w:pPr>
            <w:r w:rsidRPr="009164FC">
              <w:t>Gaming Law Review (56)</w:t>
            </w:r>
          </w:p>
        </w:tc>
        <w:tc>
          <w:tcPr>
            <w:tcW w:w="5150" w:type="dxa"/>
          </w:tcPr>
          <w:p w:rsidR="003400A3" w:rsidRPr="00D172D4" w:rsidRDefault="003400A3" w:rsidP="0092119B">
            <w:pPr>
              <w:pStyle w:val="NoSpacing"/>
              <w:rPr>
                <w:highlight w:val="lightGray"/>
              </w:rPr>
            </w:pPr>
            <w:r>
              <w:rPr>
                <w:color w:val="000000"/>
              </w:rPr>
              <w:t>International Journal of P</w:t>
            </w:r>
            <w:r w:rsidRPr="00D172D4">
              <w:rPr>
                <w:color w:val="000000"/>
              </w:rPr>
              <w:t>harmaceutics (87)</w:t>
            </w:r>
          </w:p>
        </w:tc>
      </w:tr>
      <w:tr w:rsidR="003400A3" w:rsidRPr="009164FC" w:rsidTr="00897845">
        <w:tc>
          <w:tcPr>
            <w:tcW w:w="537" w:type="dxa"/>
          </w:tcPr>
          <w:p w:rsidR="003400A3" w:rsidRPr="009164FC" w:rsidRDefault="003400A3" w:rsidP="0092119B">
            <w:pPr>
              <w:pStyle w:val="NoSpacing"/>
            </w:pPr>
            <w:r w:rsidRPr="009164FC">
              <w:t>2</w:t>
            </w:r>
          </w:p>
        </w:tc>
        <w:tc>
          <w:tcPr>
            <w:tcW w:w="4701" w:type="dxa"/>
          </w:tcPr>
          <w:p w:rsidR="003400A3" w:rsidRPr="009164FC" w:rsidRDefault="003400A3" w:rsidP="0092119B">
            <w:pPr>
              <w:pStyle w:val="NoSpacing"/>
            </w:pPr>
            <w:r w:rsidRPr="009164FC">
              <w:t>British Journal of Sports Medicine (30)</w:t>
            </w:r>
          </w:p>
        </w:tc>
        <w:tc>
          <w:tcPr>
            <w:tcW w:w="5150" w:type="dxa"/>
          </w:tcPr>
          <w:p w:rsidR="003400A3" w:rsidRPr="00D172D4" w:rsidRDefault="003400A3" w:rsidP="0092119B">
            <w:pPr>
              <w:pStyle w:val="NoSpacing"/>
              <w:rPr>
                <w:highlight w:val="lightGray"/>
              </w:rPr>
            </w:pPr>
            <w:r w:rsidRPr="00D172D4">
              <w:rPr>
                <w:color w:val="000000"/>
              </w:rPr>
              <w:t xml:space="preserve">European </w:t>
            </w:r>
            <w:r>
              <w:rPr>
                <w:color w:val="000000"/>
              </w:rPr>
              <w:t>J</w:t>
            </w:r>
            <w:r w:rsidRPr="00D172D4">
              <w:rPr>
                <w:color w:val="000000"/>
              </w:rPr>
              <w:t xml:space="preserve">ournal of </w:t>
            </w:r>
            <w:r>
              <w:rPr>
                <w:color w:val="000000"/>
              </w:rPr>
              <w:t>Applied P</w:t>
            </w:r>
            <w:r w:rsidRPr="00D172D4">
              <w:rPr>
                <w:color w:val="000000"/>
              </w:rPr>
              <w:t xml:space="preserve">hysiology and </w:t>
            </w:r>
            <w:r>
              <w:rPr>
                <w:color w:val="000000"/>
              </w:rPr>
              <w:t>O</w:t>
            </w:r>
            <w:r w:rsidRPr="00D172D4">
              <w:rPr>
                <w:color w:val="000000"/>
              </w:rPr>
              <w:t xml:space="preserve">ccupational </w:t>
            </w:r>
            <w:r>
              <w:rPr>
                <w:color w:val="000000"/>
              </w:rPr>
              <w:t>P</w:t>
            </w:r>
            <w:r w:rsidRPr="00D172D4">
              <w:rPr>
                <w:color w:val="000000"/>
              </w:rPr>
              <w:t>hysiology (65)</w:t>
            </w:r>
          </w:p>
        </w:tc>
      </w:tr>
      <w:tr w:rsidR="003400A3" w:rsidRPr="009164FC" w:rsidTr="00897845">
        <w:tc>
          <w:tcPr>
            <w:tcW w:w="537" w:type="dxa"/>
          </w:tcPr>
          <w:p w:rsidR="003400A3" w:rsidRPr="009164FC" w:rsidRDefault="003400A3" w:rsidP="0092119B">
            <w:pPr>
              <w:pStyle w:val="NoSpacing"/>
            </w:pPr>
            <w:r w:rsidRPr="009164FC">
              <w:t>3</w:t>
            </w:r>
          </w:p>
        </w:tc>
        <w:tc>
          <w:tcPr>
            <w:tcW w:w="4701" w:type="dxa"/>
          </w:tcPr>
          <w:p w:rsidR="003400A3" w:rsidRPr="009164FC" w:rsidRDefault="003400A3" w:rsidP="0092119B">
            <w:pPr>
              <w:pStyle w:val="NoSpacing"/>
            </w:pPr>
            <w:r w:rsidRPr="009164FC">
              <w:t>Diagnostique: Professional Bulletin of the Council for Educational Diagnostic Services (26)</w:t>
            </w:r>
          </w:p>
        </w:tc>
        <w:tc>
          <w:tcPr>
            <w:tcW w:w="5150" w:type="dxa"/>
          </w:tcPr>
          <w:p w:rsidR="003400A3" w:rsidRPr="00D172D4" w:rsidRDefault="003400A3" w:rsidP="0092119B">
            <w:pPr>
              <w:pStyle w:val="NoSpacing"/>
              <w:rPr>
                <w:highlight w:val="lightGray"/>
              </w:rPr>
            </w:pPr>
            <w:r w:rsidRPr="00D172D4">
              <w:rPr>
                <w:color w:val="000000"/>
              </w:rPr>
              <w:t>The ISME Journal (59)</w:t>
            </w:r>
          </w:p>
        </w:tc>
      </w:tr>
      <w:tr w:rsidR="003400A3" w:rsidRPr="009164FC" w:rsidTr="00897845">
        <w:tc>
          <w:tcPr>
            <w:tcW w:w="537" w:type="dxa"/>
          </w:tcPr>
          <w:p w:rsidR="003400A3" w:rsidRPr="009164FC" w:rsidRDefault="003400A3" w:rsidP="0092119B">
            <w:pPr>
              <w:pStyle w:val="NoSpacing"/>
            </w:pPr>
            <w:r w:rsidRPr="009164FC">
              <w:t>4</w:t>
            </w:r>
          </w:p>
        </w:tc>
        <w:tc>
          <w:tcPr>
            <w:tcW w:w="4701" w:type="dxa"/>
          </w:tcPr>
          <w:p w:rsidR="003400A3" w:rsidRPr="009164FC" w:rsidRDefault="003400A3" w:rsidP="0092119B">
            <w:pPr>
              <w:pStyle w:val="NoSpacing"/>
            </w:pPr>
            <w:r w:rsidRPr="009164FC">
              <w:t xml:space="preserve">The Journal of Ethnic Studies (26) </w:t>
            </w:r>
          </w:p>
        </w:tc>
        <w:tc>
          <w:tcPr>
            <w:tcW w:w="5150" w:type="dxa"/>
          </w:tcPr>
          <w:p w:rsidR="003400A3" w:rsidRPr="00D172D4" w:rsidRDefault="003400A3" w:rsidP="0092119B">
            <w:pPr>
              <w:pStyle w:val="NoSpacing"/>
              <w:rPr>
                <w:highlight w:val="lightGray"/>
              </w:rPr>
            </w:pPr>
            <w:r w:rsidRPr="00D172D4">
              <w:rPr>
                <w:color w:val="000000"/>
              </w:rPr>
              <w:t xml:space="preserve">Evidence </w:t>
            </w:r>
            <w:r>
              <w:rPr>
                <w:color w:val="000000"/>
              </w:rPr>
              <w:t>R</w:t>
            </w:r>
            <w:r w:rsidRPr="00D172D4">
              <w:rPr>
                <w:color w:val="000000"/>
              </w:rPr>
              <w:t>eport/</w:t>
            </w:r>
            <w:r>
              <w:rPr>
                <w:color w:val="000000"/>
              </w:rPr>
              <w:t>T</w:t>
            </w:r>
            <w:r w:rsidRPr="00D172D4">
              <w:rPr>
                <w:color w:val="000000"/>
              </w:rPr>
              <w:t xml:space="preserve">echnology </w:t>
            </w:r>
            <w:r>
              <w:rPr>
                <w:color w:val="000000"/>
              </w:rPr>
              <w:t>A</w:t>
            </w:r>
            <w:r w:rsidRPr="00D172D4">
              <w:rPr>
                <w:color w:val="000000"/>
              </w:rPr>
              <w:t>ssessment (57)</w:t>
            </w:r>
          </w:p>
        </w:tc>
      </w:tr>
      <w:tr w:rsidR="003400A3" w:rsidRPr="009164FC" w:rsidTr="00897845">
        <w:tc>
          <w:tcPr>
            <w:tcW w:w="537" w:type="dxa"/>
          </w:tcPr>
          <w:p w:rsidR="003400A3" w:rsidRPr="009164FC" w:rsidRDefault="003400A3" w:rsidP="0092119B">
            <w:pPr>
              <w:pStyle w:val="NoSpacing"/>
            </w:pPr>
            <w:r w:rsidRPr="009164FC">
              <w:t>5</w:t>
            </w:r>
          </w:p>
        </w:tc>
        <w:tc>
          <w:tcPr>
            <w:tcW w:w="4701" w:type="dxa"/>
          </w:tcPr>
          <w:p w:rsidR="003400A3" w:rsidRPr="009164FC" w:rsidRDefault="003400A3" w:rsidP="0092119B">
            <w:pPr>
              <w:pStyle w:val="NoSpacing"/>
            </w:pPr>
            <w:r w:rsidRPr="009164FC">
              <w:t>Journal of Traumatic Stress (25)</w:t>
            </w:r>
          </w:p>
        </w:tc>
        <w:tc>
          <w:tcPr>
            <w:tcW w:w="5150" w:type="dxa"/>
          </w:tcPr>
          <w:p w:rsidR="003400A3" w:rsidRPr="00D172D4" w:rsidRDefault="003400A3" w:rsidP="0092119B">
            <w:pPr>
              <w:pStyle w:val="NoSpacing"/>
              <w:rPr>
                <w:highlight w:val="lightGray"/>
              </w:rPr>
            </w:pPr>
            <w:r w:rsidRPr="00D172D4">
              <w:rPr>
                <w:color w:val="000000"/>
              </w:rPr>
              <w:t>Hydrobiologia (52)</w:t>
            </w:r>
          </w:p>
        </w:tc>
      </w:tr>
    </w:tbl>
    <w:p w:rsidR="000B4E82" w:rsidRDefault="000B4E82" w:rsidP="003400A3">
      <w:pPr>
        <w:rPr>
          <w:rFonts w:ascii="Calibri" w:hAnsi="Calibri"/>
        </w:rPr>
      </w:pPr>
    </w:p>
    <w:p w:rsidR="003400A3" w:rsidRDefault="003400A3" w:rsidP="003400A3">
      <w:pPr>
        <w:rPr>
          <w:rFonts w:ascii="Calibri" w:hAnsi="Calibri"/>
        </w:rPr>
      </w:pPr>
      <w:r w:rsidRPr="009C37D7">
        <w:rPr>
          <w:rFonts w:ascii="Calibri" w:hAnsi="Calibri"/>
        </w:rPr>
        <w:t xml:space="preserve">The 5 most requested book subjects via ILL </w:t>
      </w:r>
      <w:r w:rsidRPr="00D81104">
        <w:rPr>
          <w:rFonts w:ascii="Calibri" w:hAnsi="Calibri"/>
        </w:rPr>
        <w:t>for 2007 and 2008,</w:t>
      </w:r>
      <w:r>
        <w:rPr>
          <w:rFonts w:ascii="Calibri" w:hAnsi="Calibri"/>
        </w:rPr>
        <w:t xml:space="preserve"> based on OCLC WorldCat Collection Analysis data,</w:t>
      </w:r>
      <w:r w:rsidRPr="009C37D7">
        <w:rPr>
          <w:rFonts w:ascii="Calibri" w:hAnsi="Calibri"/>
        </w:rPr>
        <w:t xml:space="preserve">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37"/>
        <w:gridCol w:w="4701"/>
        <w:gridCol w:w="5150"/>
      </w:tblGrid>
      <w:tr w:rsidR="003400A3" w:rsidRPr="009164FC" w:rsidTr="00897845">
        <w:tc>
          <w:tcPr>
            <w:tcW w:w="537" w:type="dxa"/>
          </w:tcPr>
          <w:p w:rsidR="003400A3" w:rsidRPr="0092119B" w:rsidRDefault="003400A3" w:rsidP="0092119B">
            <w:pPr>
              <w:pStyle w:val="NoSpacing"/>
              <w:jc w:val="center"/>
              <w:rPr>
                <w:b/>
              </w:rPr>
            </w:pPr>
          </w:p>
        </w:tc>
        <w:tc>
          <w:tcPr>
            <w:tcW w:w="4701" w:type="dxa"/>
          </w:tcPr>
          <w:p w:rsidR="003400A3" w:rsidRPr="0092119B" w:rsidRDefault="003400A3" w:rsidP="0092119B">
            <w:pPr>
              <w:pStyle w:val="NoSpacing"/>
              <w:jc w:val="center"/>
              <w:rPr>
                <w:b/>
              </w:rPr>
            </w:pPr>
            <w:r w:rsidRPr="0092119B">
              <w:rPr>
                <w:b/>
              </w:rPr>
              <w:t>FY2007</w:t>
            </w:r>
          </w:p>
        </w:tc>
        <w:tc>
          <w:tcPr>
            <w:tcW w:w="5150" w:type="dxa"/>
          </w:tcPr>
          <w:p w:rsidR="003400A3" w:rsidRPr="0092119B" w:rsidRDefault="003400A3" w:rsidP="0092119B">
            <w:pPr>
              <w:pStyle w:val="NoSpacing"/>
              <w:jc w:val="center"/>
              <w:rPr>
                <w:b/>
              </w:rPr>
            </w:pPr>
            <w:r w:rsidRPr="0092119B">
              <w:rPr>
                <w:b/>
              </w:rPr>
              <w:t>FY2008</w:t>
            </w:r>
          </w:p>
        </w:tc>
      </w:tr>
      <w:tr w:rsidR="003400A3" w:rsidRPr="009164FC" w:rsidTr="00897845">
        <w:tc>
          <w:tcPr>
            <w:tcW w:w="537" w:type="dxa"/>
          </w:tcPr>
          <w:p w:rsidR="003400A3" w:rsidRPr="009164FC" w:rsidRDefault="003400A3" w:rsidP="0092119B">
            <w:pPr>
              <w:pStyle w:val="NoSpacing"/>
            </w:pPr>
            <w:r w:rsidRPr="009164FC">
              <w:t>1</w:t>
            </w:r>
          </w:p>
        </w:tc>
        <w:tc>
          <w:tcPr>
            <w:tcW w:w="4701" w:type="dxa"/>
          </w:tcPr>
          <w:p w:rsidR="003400A3" w:rsidRPr="009C37D7" w:rsidRDefault="003400A3" w:rsidP="0092119B">
            <w:pPr>
              <w:pStyle w:val="NoSpacing"/>
            </w:pPr>
            <w:r w:rsidRPr="009C37D7">
              <w:rPr>
                <w:rFonts w:cs="Arial"/>
              </w:rPr>
              <w:t>Health Professions &amp; Public Health (2,262)</w:t>
            </w:r>
          </w:p>
        </w:tc>
        <w:tc>
          <w:tcPr>
            <w:tcW w:w="5150" w:type="dxa"/>
          </w:tcPr>
          <w:p w:rsidR="003400A3" w:rsidRPr="009C37D7" w:rsidRDefault="003400A3" w:rsidP="0092119B">
            <w:pPr>
              <w:pStyle w:val="NoSpacing"/>
            </w:pPr>
            <w:r w:rsidRPr="009C37D7">
              <w:rPr>
                <w:rFonts w:cs="Arial"/>
              </w:rPr>
              <w:t>Language, Linguistics &amp; Literature (1,786)</w:t>
            </w:r>
          </w:p>
        </w:tc>
      </w:tr>
      <w:tr w:rsidR="003400A3" w:rsidRPr="009164FC" w:rsidTr="00897845">
        <w:tc>
          <w:tcPr>
            <w:tcW w:w="537" w:type="dxa"/>
          </w:tcPr>
          <w:p w:rsidR="003400A3" w:rsidRPr="009164FC" w:rsidRDefault="003400A3" w:rsidP="0092119B">
            <w:pPr>
              <w:pStyle w:val="NoSpacing"/>
            </w:pPr>
            <w:r w:rsidRPr="009164FC">
              <w:t>2</w:t>
            </w:r>
          </w:p>
        </w:tc>
        <w:tc>
          <w:tcPr>
            <w:tcW w:w="4701" w:type="dxa"/>
          </w:tcPr>
          <w:p w:rsidR="003400A3" w:rsidRPr="009C37D7" w:rsidRDefault="003400A3" w:rsidP="0092119B">
            <w:pPr>
              <w:pStyle w:val="NoSpacing"/>
            </w:pPr>
            <w:r w:rsidRPr="009C37D7">
              <w:rPr>
                <w:rFonts w:cs="Arial"/>
              </w:rPr>
              <w:t>Language, Linguistics &amp; Literature (1,</w:t>
            </w:r>
            <w:r>
              <w:rPr>
                <w:rFonts w:cs="Arial"/>
              </w:rPr>
              <w:t>433</w:t>
            </w:r>
            <w:r w:rsidRPr="009C37D7">
              <w:rPr>
                <w:rFonts w:cs="Arial"/>
              </w:rPr>
              <w:t>)</w:t>
            </w:r>
          </w:p>
        </w:tc>
        <w:tc>
          <w:tcPr>
            <w:tcW w:w="5150" w:type="dxa"/>
          </w:tcPr>
          <w:p w:rsidR="003400A3" w:rsidRPr="009C37D7" w:rsidRDefault="003400A3" w:rsidP="0092119B">
            <w:pPr>
              <w:pStyle w:val="NoSpacing"/>
            </w:pPr>
            <w:r w:rsidRPr="009C37D7">
              <w:rPr>
                <w:rFonts w:cs="Arial"/>
              </w:rPr>
              <w:t>Health Professions &amp; Public Health (1,625)</w:t>
            </w:r>
          </w:p>
        </w:tc>
      </w:tr>
      <w:tr w:rsidR="003400A3" w:rsidRPr="009164FC" w:rsidTr="00897845">
        <w:tc>
          <w:tcPr>
            <w:tcW w:w="537" w:type="dxa"/>
          </w:tcPr>
          <w:p w:rsidR="003400A3" w:rsidRPr="009164FC" w:rsidRDefault="003400A3" w:rsidP="0092119B">
            <w:pPr>
              <w:pStyle w:val="NoSpacing"/>
            </w:pPr>
            <w:r w:rsidRPr="009164FC">
              <w:t>3</w:t>
            </w:r>
          </w:p>
        </w:tc>
        <w:tc>
          <w:tcPr>
            <w:tcW w:w="4701" w:type="dxa"/>
          </w:tcPr>
          <w:p w:rsidR="003400A3" w:rsidRPr="009C37D7" w:rsidRDefault="003400A3" w:rsidP="0092119B">
            <w:pPr>
              <w:pStyle w:val="NoSpacing"/>
            </w:pPr>
            <w:r w:rsidRPr="009C37D7">
              <w:rPr>
                <w:rFonts w:cs="Arial"/>
              </w:rPr>
              <w:t>History &amp; Auxiliary Sciences</w:t>
            </w:r>
            <w:r>
              <w:rPr>
                <w:rFonts w:cs="Arial"/>
              </w:rPr>
              <w:t xml:space="preserve"> (1,109</w:t>
            </w:r>
            <w:r w:rsidRPr="009C37D7">
              <w:rPr>
                <w:rFonts w:cs="Arial"/>
              </w:rPr>
              <w:t>)</w:t>
            </w:r>
          </w:p>
        </w:tc>
        <w:tc>
          <w:tcPr>
            <w:tcW w:w="5150" w:type="dxa"/>
          </w:tcPr>
          <w:p w:rsidR="003400A3" w:rsidRPr="009C37D7" w:rsidRDefault="003400A3" w:rsidP="0092119B">
            <w:pPr>
              <w:pStyle w:val="NoSpacing"/>
            </w:pPr>
            <w:r w:rsidRPr="009C37D7">
              <w:rPr>
                <w:rFonts w:cs="Arial"/>
              </w:rPr>
              <w:t>Music (1,484)</w:t>
            </w:r>
          </w:p>
        </w:tc>
      </w:tr>
      <w:tr w:rsidR="003400A3" w:rsidRPr="009164FC" w:rsidTr="00897845">
        <w:tc>
          <w:tcPr>
            <w:tcW w:w="537" w:type="dxa"/>
          </w:tcPr>
          <w:p w:rsidR="003400A3" w:rsidRPr="009164FC" w:rsidRDefault="003400A3" w:rsidP="0092119B">
            <w:pPr>
              <w:pStyle w:val="NoSpacing"/>
            </w:pPr>
            <w:r w:rsidRPr="009164FC">
              <w:t>4</w:t>
            </w:r>
          </w:p>
        </w:tc>
        <w:tc>
          <w:tcPr>
            <w:tcW w:w="4701" w:type="dxa"/>
          </w:tcPr>
          <w:p w:rsidR="003400A3" w:rsidRPr="009C37D7" w:rsidRDefault="003400A3" w:rsidP="0092119B">
            <w:pPr>
              <w:pStyle w:val="NoSpacing"/>
            </w:pPr>
            <w:r w:rsidRPr="009C37D7">
              <w:rPr>
                <w:rFonts w:cs="Arial"/>
              </w:rPr>
              <w:t>Music</w:t>
            </w:r>
            <w:r>
              <w:rPr>
                <w:rFonts w:cs="Arial"/>
              </w:rPr>
              <w:t xml:space="preserve"> (1,101</w:t>
            </w:r>
            <w:r w:rsidRPr="009C37D7">
              <w:rPr>
                <w:rFonts w:cs="Arial"/>
              </w:rPr>
              <w:t>)</w:t>
            </w:r>
          </w:p>
        </w:tc>
        <w:tc>
          <w:tcPr>
            <w:tcW w:w="5150" w:type="dxa"/>
          </w:tcPr>
          <w:p w:rsidR="003400A3" w:rsidRPr="009C37D7" w:rsidRDefault="003400A3" w:rsidP="0092119B">
            <w:pPr>
              <w:pStyle w:val="NoSpacing"/>
            </w:pPr>
            <w:r w:rsidRPr="009C37D7">
              <w:rPr>
                <w:rFonts w:cs="Arial"/>
              </w:rPr>
              <w:t>History &amp; Auxiliary Sciences</w:t>
            </w:r>
            <w:r>
              <w:rPr>
                <w:rFonts w:cs="Arial"/>
              </w:rPr>
              <w:t xml:space="preserve"> (1,060</w:t>
            </w:r>
            <w:r w:rsidRPr="009C37D7">
              <w:rPr>
                <w:rFonts w:cs="Arial"/>
              </w:rPr>
              <w:t>)</w:t>
            </w:r>
          </w:p>
        </w:tc>
      </w:tr>
      <w:tr w:rsidR="003400A3" w:rsidRPr="009164FC" w:rsidTr="00897845">
        <w:trPr>
          <w:trHeight w:val="90"/>
        </w:trPr>
        <w:tc>
          <w:tcPr>
            <w:tcW w:w="537" w:type="dxa"/>
          </w:tcPr>
          <w:p w:rsidR="003400A3" w:rsidRPr="009164FC" w:rsidRDefault="003400A3" w:rsidP="0092119B">
            <w:pPr>
              <w:pStyle w:val="NoSpacing"/>
            </w:pPr>
            <w:r w:rsidRPr="009164FC">
              <w:t>5</w:t>
            </w:r>
          </w:p>
        </w:tc>
        <w:tc>
          <w:tcPr>
            <w:tcW w:w="4701" w:type="dxa"/>
          </w:tcPr>
          <w:p w:rsidR="003400A3" w:rsidRPr="00E467E2" w:rsidRDefault="003400A3" w:rsidP="0092119B">
            <w:pPr>
              <w:pStyle w:val="NoSpacing"/>
            </w:pPr>
            <w:r w:rsidRPr="00E467E2">
              <w:rPr>
                <w:rFonts w:cs="Arial"/>
              </w:rPr>
              <w:t>Biological Sciences (537)</w:t>
            </w:r>
          </w:p>
        </w:tc>
        <w:tc>
          <w:tcPr>
            <w:tcW w:w="5150" w:type="dxa"/>
          </w:tcPr>
          <w:p w:rsidR="003400A3" w:rsidRPr="009C37D7" w:rsidRDefault="003400A3" w:rsidP="0092119B">
            <w:pPr>
              <w:pStyle w:val="NoSpacing"/>
            </w:pPr>
            <w:r w:rsidRPr="009C37D7">
              <w:rPr>
                <w:rFonts w:cs="Arial"/>
              </w:rPr>
              <w:t>Philosophy &amp; Religion (479)</w:t>
            </w:r>
          </w:p>
        </w:tc>
      </w:tr>
    </w:tbl>
    <w:p w:rsidR="000B4E82" w:rsidRDefault="000B4E82" w:rsidP="003400A3">
      <w:pPr>
        <w:rPr>
          <w:rFonts w:ascii="Calibri" w:hAnsi="Calibri"/>
        </w:rPr>
      </w:pPr>
    </w:p>
    <w:p w:rsidR="003400A3" w:rsidRDefault="003400A3" w:rsidP="003400A3">
      <w:pPr>
        <w:rPr>
          <w:rFonts w:ascii="Calibri" w:hAnsi="Calibri"/>
        </w:rPr>
      </w:pPr>
      <w:r w:rsidRPr="00D81104">
        <w:rPr>
          <w:rFonts w:ascii="Calibri" w:hAnsi="Calibri"/>
        </w:rPr>
        <w:t>The 5 least requested book subjects via ILL for 2007 and 2008, based on OCLC</w:t>
      </w:r>
      <w:r>
        <w:rPr>
          <w:rFonts w:ascii="Calibri" w:hAnsi="Calibri"/>
        </w:rPr>
        <w:t xml:space="preserve"> WorldCat Collection Analysis data,</w:t>
      </w:r>
      <w:r w:rsidRPr="009C37D7">
        <w:rPr>
          <w:rFonts w:ascii="Calibri" w:hAnsi="Calibri"/>
        </w:rPr>
        <w:t xml:space="preserve">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37"/>
        <w:gridCol w:w="4701"/>
        <w:gridCol w:w="5150"/>
      </w:tblGrid>
      <w:tr w:rsidR="003400A3" w:rsidRPr="0092119B" w:rsidTr="00897845">
        <w:tc>
          <w:tcPr>
            <w:tcW w:w="537" w:type="dxa"/>
          </w:tcPr>
          <w:p w:rsidR="003400A3" w:rsidRPr="0092119B" w:rsidRDefault="003400A3" w:rsidP="0092119B">
            <w:pPr>
              <w:pStyle w:val="NoSpacing"/>
              <w:jc w:val="center"/>
              <w:rPr>
                <w:b/>
              </w:rPr>
            </w:pPr>
          </w:p>
        </w:tc>
        <w:tc>
          <w:tcPr>
            <w:tcW w:w="4701" w:type="dxa"/>
          </w:tcPr>
          <w:p w:rsidR="003400A3" w:rsidRPr="0092119B" w:rsidRDefault="003400A3" w:rsidP="0092119B">
            <w:pPr>
              <w:pStyle w:val="NoSpacing"/>
              <w:jc w:val="center"/>
              <w:rPr>
                <w:b/>
              </w:rPr>
            </w:pPr>
            <w:r w:rsidRPr="0092119B">
              <w:rPr>
                <w:b/>
              </w:rPr>
              <w:t>FY2007</w:t>
            </w:r>
          </w:p>
        </w:tc>
        <w:tc>
          <w:tcPr>
            <w:tcW w:w="5150" w:type="dxa"/>
          </w:tcPr>
          <w:p w:rsidR="003400A3" w:rsidRPr="0092119B" w:rsidRDefault="003400A3" w:rsidP="0092119B">
            <w:pPr>
              <w:pStyle w:val="NoSpacing"/>
              <w:jc w:val="center"/>
              <w:rPr>
                <w:b/>
              </w:rPr>
            </w:pPr>
            <w:r w:rsidRPr="0092119B">
              <w:rPr>
                <w:b/>
              </w:rPr>
              <w:t>FY2008</w:t>
            </w:r>
          </w:p>
        </w:tc>
      </w:tr>
      <w:tr w:rsidR="003400A3" w:rsidRPr="009164FC" w:rsidTr="00897845">
        <w:tc>
          <w:tcPr>
            <w:tcW w:w="537" w:type="dxa"/>
          </w:tcPr>
          <w:p w:rsidR="003400A3" w:rsidRPr="009164FC" w:rsidRDefault="003400A3" w:rsidP="0092119B">
            <w:pPr>
              <w:pStyle w:val="NoSpacing"/>
            </w:pPr>
            <w:r w:rsidRPr="009164FC">
              <w:t>1</w:t>
            </w:r>
          </w:p>
        </w:tc>
        <w:tc>
          <w:tcPr>
            <w:tcW w:w="4701" w:type="dxa"/>
          </w:tcPr>
          <w:p w:rsidR="003400A3" w:rsidRPr="00E467E2" w:rsidRDefault="003400A3" w:rsidP="0092119B">
            <w:pPr>
              <w:pStyle w:val="NoSpacing"/>
            </w:pPr>
            <w:r w:rsidRPr="00E467E2">
              <w:rPr>
                <w:rFonts w:cs="Arial"/>
              </w:rPr>
              <w:t>Medicine By Body System (7)</w:t>
            </w:r>
          </w:p>
        </w:tc>
        <w:tc>
          <w:tcPr>
            <w:tcW w:w="5150" w:type="dxa"/>
          </w:tcPr>
          <w:p w:rsidR="003400A3" w:rsidRPr="009C37D7" w:rsidRDefault="003400A3" w:rsidP="0092119B">
            <w:pPr>
              <w:pStyle w:val="NoSpacing"/>
            </w:pPr>
            <w:r w:rsidRPr="00E467E2">
              <w:rPr>
                <w:rFonts w:cs="Arial"/>
              </w:rPr>
              <w:t>Communicable Diseases &amp; Miscellaneous (</w:t>
            </w:r>
            <w:r>
              <w:rPr>
                <w:rFonts w:cs="Arial"/>
              </w:rPr>
              <w:t>3)</w:t>
            </w:r>
          </w:p>
        </w:tc>
      </w:tr>
      <w:tr w:rsidR="003400A3" w:rsidRPr="009164FC" w:rsidTr="00897845">
        <w:tc>
          <w:tcPr>
            <w:tcW w:w="537" w:type="dxa"/>
          </w:tcPr>
          <w:p w:rsidR="003400A3" w:rsidRPr="009164FC" w:rsidRDefault="003400A3" w:rsidP="0092119B">
            <w:pPr>
              <w:pStyle w:val="NoSpacing"/>
            </w:pPr>
            <w:r w:rsidRPr="009164FC">
              <w:t>2</w:t>
            </w:r>
          </w:p>
        </w:tc>
        <w:tc>
          <w:tcPr>
            <w:tcW w:w="4701" w:type="dxa"/>
          </w:tcPr>
          <w:p w:rsidR="003400A3" w:rsidRPr="00E467E2" w:rsidRDefault="003400A3" w:rsidP="0092119B">
            <w:pPr>
              <w:pStyle w:val="NoSpacing"/>
            </w:pPr>
            <w:r w:rsidRPr="00E467E2">
              <w:rPr>
                <w:rFonts w:cs="Arial"/>
              </w:rPr>
              <w:t>Communicable Diseases &amp; Miscellaneous (10)</w:t>
            </w:r>
          </w:p>
        </w:tc>
        <w:tc>
          <w:tcPr>
            <w:tcW w:w="5150" w:type="dxa"/>
          </w:tcPr>
          <w:p w:rsidR="003400A3" w:rsidRPr="009C37D7" w:rsidRDefault="003400A3" w:rsidP="0092119B">
            <w:pPr>
              <w:pStyle w:val="NoSpacing"/>
            </w:pPr>
            <w:r w:rsidRPr="00E467E2">
              <w:rPr>
                <w:rFonts w:cs="Arial"/>
              </w:rPr>
              <w:t>Health Facilities, Nursing &amp; History</w:t>
            </w:r>
            <w:r>
              <w:rPr>
                <w:rFonts w:cs="Arial"/>
              </w:rPr>
              <w:t xml:space="preserve"> (18</w:t>
            </w:r>
            <w:r w:rsidRPr="00E467E2">
              <w:rPr>
                <w:rFonts w:cs="Arial"/>
              </w:rPr>
              <w:t>)</w:t>
            </w:r>
          </w:p>
        </w:tc>
      </w:tr>
      <w:tr w:rsidR="003400A3" w:rsidRPr="009164FC" w:rsidTr="00897845">
        <w:tc>
          <w:tcPr>
            <w:tcW w:w="537" w:type="dxa"/>
          </w:tcPr>
          <w:p w:rsidR="003400A3" w:rsidRPr="009164FC" w:rsidRDefault="003400A3" w:rsidP="0092119B">
            <w:pPr>
              <w:pStyle w:val="NoSpacing"/>
            </w:pPr>
            <w:r w:rsidRPr="009164FC">
              <w:t>3</w:t>
            </w:r>
          </w:p>
        </w:tc>
        <w:tc>
          <w:tcPr>
            <w:tcW w:w="4701" w:type="dxa"/>
          </w:tcPr>
          <w:p w:rsidR="003400A3" w:rsidRPr="00E467E2" w:rsidRDefault="003400A3" w:rsidP="0092119B">
            <w:pPr>
              <w:pStyle w:val="NoSpacing"/>
            </w:pPr>
            <w:r w:rsidRPr="00E467E2">
              <w:rPr>
                <w:rFonts w:cs="Arial"/>
              </w:rPr>
              <w:t>Health Facilities, Nursing &amp; History (12)</w:t>
            </w:r>
          </w:p>
        </w:tc>
        <w:tc>
          <w:tcPr>
            <w:tcW w:w="5150" w:type="dxa"/>
          </w:tcPr>
          <w:p w:rsidR="003400A3" w:rsidRPr="009C37D7" w:rsidRDefault="003400A3" w:rsidP="0092119B">
            <w:pPr>
              <w:pStyle w:val="NoSpacing"/>
            </w:pPr>
            <w:r w:rsidRPr="00E467E2">
              <w:rPr>
                <w:rFonts w:cs="Arial"/>
              </w:rPr>
              <w:t>Preclinical Sciences</w:t>
            </w:r>
            <w:r>
              <w:rPr>
                <w:rFonts w:cs="Arial"/>
              </w:rPr>
              <w:t xml:space="preserve"> (20</w:t>
            </w:r>
            <w:r w:rsidRPr="00E467E2">
              <w:rPr>
                <w:rFonts w:cs="Arial"/>
              </w:rPr>
              <w:t>)</w:t>
            </w:r>
          </w:p>
        </w:tc>
      </w:tr>
      <w:tr w:rsidR="003400A3" w:rsidRPr="009164FC" w:rsidTr="00897845">
        <w:tc>
          <w:tcPr>
            <w:tcW w:w="537" w:type="dxa"/>
          </w:tcPr>
          <w:p w:rsidR="003400A3" w:rsidRPr="009164FC" w:rsidRDefault="003400A3" w:rsidP="0092119B">
            <w:pPr>
              <w:pStyle w:val="NoSpacing"/>
            </w:pPr>
            <w:r w:rsidRPr="009164FC">
              <w:t>4</w:t>
            </w:r>
          </w:p>
        </w:tc>
        <w:tc>
          <w:tcPr>
            <w:tcW w:w="4701" w:type="dxa"/>
          </w:tcPr>
          <w:p w:rsidR="003400A3" w:rsidRPr="00E467E2" w:rsidRDefault="003400A3" w:rsidP="0092119B">
            <w:pPr>
              <w:pStyle w:val="NoSpacing"/>
            </w:pPr>
            <w:r w:rsidRPr="00E467E2">
              <w:rPr>
                <w:rFonts w:cs="Arial"/>
              </w:rPr>
              <w:t>Computer Science (30)</w:t>
            </w:r>
          </w:p>
        </w:tc>
        <w:tc>
          <w:tcPr>
            <w:tcW w:w="5150" w:type="dxa"/>
          </w:tcPr>
          <w:p w:rsidR="003400A3" w:rsidRPr="009C37D7" w:rsidRDefault="003400A3" w:rsidP="0092119B">
            <w:pPr>
              <w:pStyle w:val="NoSpacing"/>
            </w:pPr>
            <w:r w:rsidRPr="00E467E2">
              <w:rPr>
                <w:rFonts w:cs="Arial"/>
              </w:rPr>
              <w:t>Medicine By Body System</w:t>
            </w:r>
            <w:r>
              <w:rPr>
                <w:rFonts w:cs="Arial"/>
              </w:rPr>
              <w:t xml:space="preserve"> (21</w:t>
            </w:r>
            <w:r w:rsidRPr="00E467E2">
              <w:rPr>
                <w:rFonts w:cs="Arial"/>
              </w:rPr>
              <w:t>)</w:t>
            </w:r>
          </w:p>
        </w:tc>
      </w:tr>
      <w:tr w:rsidR="003400A3" w:rsidRPr="009164FC" w:rsidTr="00897845">
        <w:trPr>
          <w:trHeight w:val="161"/>
        </w:trPr>
        <w:tc>
          <w:tcPr>
            <w:tcW w:w="537" w:type="dxa"/>
          </w:tcPr>
          <w:p w:rsidR="003400A3" w:rsidRPr="009164FC" w:rsidRDefault="003400A3" w:rsidP="0092119B">
            <w:pPr>
              <w:pStyle w:val="NoSpacing"/>
            </w:pPr>
            <w:r w:rsidRPr="009164FC">
              <w:t>5</w:t>
            </w:r>
          </w:p>
        </w:tc>
        <w:tc>
          <w:tcPr>
            <w:tcW w:w="4701" w:type="dxa"/>
          </w:tcPr>
          <w:p w:rsidR="003400A3" w:rsidRPr="00E467E2" w:rsidRDefault="003400A3" w:rsidP="0092119B">
            <w:pPr>
              <w:pStyle w:val="NoSpacing"/>
            </w:pPr>
            <w:r w:rsidRPr="00E467E2">
              <w:rPr>
                <w:rFonts w:cs="Arial"/>
              </w:rPr>
              <w:t>Preclinical Sciences (34)</w:t>
            </w:r>
          </w:p>
        </w:tc>
        <w:tc>
          <w:tcPr>
            <w:tcW w:w="5150" w:type="dxa"/>
          </w:tcPr>
          <w:p w:rsidR="003400A3" w:rsidRPr="009C37D7" w:rsidRDefault="003400A3" w:rsidP="0092119B">
            <w:pPr>
              <w:pStyle w:val="NoSpacing"/>
            </w:pPr>
            <w:r>
              <w:t>Medicine By Discipline (29)</w:t>
            </w:r>
          </w:p>
        </w:tc>
      </w:tr>
    </w:tbl>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lastRenderedPageBreak/>
        <w:t>Subject Guides</w:t>
      </w:r>
    </w:p>
    <w:p w:rsidR="003400A3" w:rsidRPr="009164FC" w:rsidRDefault="003400A3" w:rsidP="003400A3">
      <w:pPr>
        <w:rPr>
          <w:rFonts w:ascii="Calibri" w:hAnsi="Calibri"/>
        </w:rPr>
      </w:pPr>
      <w:r w:rsidRPr="009164FC">
        <w:rPr>
          <w:rFonts w:ascii="Calibri" w:hAnsi="Calibri"/>
        </w:rPr>
        <w:t>The 5 most visited subject guides as measured by web site hits from FY07-FY08 were:</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537"/>
        <w:gridCol w:w="4521"/>
        <w:gridCol w:w="5310"/>
      </w:tblGrid>
      <w:tr w:rsidR="003400A3" w:rsidRPr="009164FC" w:rsidTr="00897845">
        <w:tc>
          <w:tcPr>
            <w:tcW w:w="537" w:type="dxa"/>
          </w:tcPr>
          <w:p w:rsidR="003400A3" w:rsidRPr="0092119B" w:rsidRDefault="003400A3" w:rsidP="0092119B">
            <w:pPr>
              <w:pStyle w:val="NoSpacing"/>
              <w:jc w:val="center"/>
              <w:rPr>
                <w:b/>
              </w:rPr>
            </w:pPr>
          </w:p>
        </w:tc>
        <w:tc>
          <w:tcPr>
            <w:tcW w:w="4521" w:type="dxa"/>
          </w:tcPr>
          <w:p w:rsidR="003400A3" w:rsidRPr="0092119B" w:rsidRDefault="003400A3" w:rsidP="0092119B">
            <w:pPr>
              <w:pStyle w:val="NoSpacing"/>
              <w:jc w:val="center"/>
              <w:rPr>
                <w:b/>
              </w:rPr>
            </w:pPr>
            <w:r w:rsidRPr="0092119B">
              <w:rPr>
                <w:b/>
              </w:rPr>
              <w:t>FY2007</w:t>
            </w:r>
          </w:p>
        </w:tc>
        <w:tc>
          <w:tcPr>
            <w:tcW w:w="5310" w:type="dxa"/>
          </w:tcPr>
          <w:p w:rsidR="003400A3" w:rsidRPr="0092119B" w:rsidRDefault="003400A3" w:rsidP="0092119B">
            <w:pPr>
              <w:pStyle w:val="NoSpacing"/>
              <w:jc w:val="center"/>
              <w:rPr>
                <w:b/>
              </w:rPr>
            </w:pPr>
            <w:r w:rsidRPr="0092119B">
              <w:rPr>
                <w:b/>
              </w:rPr>
              <w:t>FY2008</w:t>
            </w:r>
          </w:p>
        </w:tc>
      </w:tr>
      <w:tr w:rsidR="003400A3" w:rsidRPr="009164FC" w:rsidTr="00897845">
        <w:tc>
          <w:tcPr>
            <w:tcW w:w="537" w:type="dxa"/>
          </w:tcPr>
          <w:p w:rsidR="003400A3" w:rsidRPr="009164FC" w:rsidRDefault="003400A3" w:rsidP="0092119B">
            <w:pPr>
              <w:pStyle w:val="NoSpacing"/>
            </w:pPr>
            <w:r w:rsidRPr="009164FC">
              <w:t>1</w:t>
            </w:r>
          </w:p>
        </w:tc>
        <w:tc>
          <w:tcPr>
            <w:tcW w:w="4521" w:type="dxa"/>
          </w:tcPr>
          <w:p w:rsidR="003400A3" w:rsidRPr="009164FC" w:rsidRDefault="003400A3" w:rsidP="0092119B">
            <w:pPr>
              <w:pStyle w:val="NoSpacing"/>
            </w:pPr>
            <w:r w:rsidRPr="009164FC">
              <w:t>Electronic Newspapers and News Resources Online (5,851)</w:t>
            </w:r>
          </w:p>
        </w:tc>
        <w:tc>
          <w:tcPr>
            <w:tcW w:w="5310" w:type="dxa"/>
          </w:tcPr>
          <w:p w:rsidR="003400A3" w:rsidRPr="009164FC" w:rsidRDefault="003400A3" w:rsidP="0092119B">
            <w:pPr>
              <w:pStyle w:val="NoSpacing"/>
            </w:pPr>
            <w:r w:rsidRPr="009164FC">
              <w:t>Communication Systems for Persons with Disabilit</w:t>
            </w:r>
            <w:r>
              <w:t>ies, Language Finger (22,462)</w:t>
            </w:r>
          </w:p>
        </w:tc>
      </w:tr>
      <w:tr w:rsidR="003400A3" w:rsidRPr="009164FC" w:rsidTr="00897845">
        <w:tc>
          <w:tcPr>
            <w:tcW w:w="537" w:type="dxa"/>
          </w:tcPr>
          <w:p w:rsidR="003400A3" w:rsidRPr="009164FC" w:rsidRDefault="003400A3" w:rsidP="0092119B">
            <w:pPr>
              <w:pStyle w:val="NoSpacing"/>
            </w:pPr>
            <w:r w:rsidRPr="009164FC">
              <w:t>2</w:t>
            </w:r>
          </w:p>
        </w:tc>
        <w:tc>
          <w:tcPr>
            <w:tcW w:w="4521" w:type="dxa"/>
          </w:tcPr>
          <w:p w:rsidR="003400A3" w:rsidRPr="009164FC" w:rsidRDefault="003400A3" w:rsidP="0092119B">
            <w:pPr>
              <w:pStyle w:val="NoSpacing"/>
            </w:pPr>
            <w:r w:rsidRPr="009164FC">
              <w:t>Literature Cited (4,436)</w:t>
            </w:r>
          </w:p>
        </w:tc>
        <w:tc>
          <w:tcPr>
            <w:tcW w:w="5310" w:type="dxa"/>
          </w:tcPr>
          <w:p w:rsidR="003400A3" w:rsidRPr="001C4EEB" w:rsidRDefault="003400A3" w:rsidP="0092119B">
            <w:pPr>
              <w:pStyle w:val="NoSpacing"/>
            </w:pPr>
            <w:r w:rsidRPr="001C4EEB">
              <w:t>Mansfield Library Subject Guides (7,563)</w:t>
            </w:r>
          </w:p>
        </w:tc>
      </w:tr>
      <w:tr w:rsidR="003400A3" w:rsidRPr="009164FC" w:rsidTr="00897845">
        <w:tc>
          <w:tcPr>
            <w:tcW w:w="537" w:type="dxa"/>
          </w:tcPr>
          <w:p w:rsidR="003400A3" w:rsidRPr="009164FC" w:rsidRDefault="003400A3" w:rsidP="0092119B">
            <w:pPr>
              <w:pStyle w:val="NoSpacing"/>
            </w:pPr>
            <w:r w:rsidRPr="009164FC">
              <w:t>3</w:t>
            </w:r>
          </w:p>
        </w:tc>
        <w:tc>
          <w:tcPr>
            <w:tcW w:w="4521" w:type="dxa"/>
          </w:tcPr>
          <w:p w:rsidR="003400A3" w:rsidRPr="009164FC" w:rsidRDefault="003400A3" w:rsidP="0092119B">
            <w:pPr>
              <w:pStyle w:val="NoSpacing"/>
            </w:pPr>
            <w:r w:rsidRPr="009164FC">
              <w:t>Specialized Writing Systems (2,990)</w:t>
            </w:r>
          </w:p>
        </w:tc>
        <w:tc>
          <w:tcPr>
            <w:tcW w:w="5310" w:type="dxa"/>
          </w:tcPr>
          <w:p w:rsidR="003400A3" w:rsidRPr="00FC6B84" w:rsidRDefault="003400A3" w:rsidP="0092119B">
            <w:pPr>
              <w:pStyle w:val="NoSpacing"/>
            </w:pPr>
            <w:r w:rsidRPr="009164FC">
              <w:t>Bibliography of Genetic Variation in Natural Populations</w:t>
            </w:r>
            <w:r>
              <w:t xml:space="preserve"> </w:t>
            </w:r>
            <w:r w:rsidRPr="009164FC">
              <w:t>(7,458)</w:t>
            </w:r>
          </w:p>
        </w:tc>
      </w:tr>
      <w:tr w:rsidR="003400A3" w:rsidRPr="009164FC" w:rsidTr="00897845">
        <w:tc>
          <w:tcPr>
            <w:tcW w:w="537" w:type="dxa"/>
          </w:tcPr>
          <w:p w:rsidR="003400A3" w:rsidRPr="009164FC" w:rsidRDefault="003400A3" w:rsidP="0092119B">
            <w:pPr>
              <w:pStyle w:val="NoSpacing"/>
            </w:pPr>
            <w:r w:rsidRPr="009164FC">
              <w:t>4</w:t>
            </w:r>
          </w:p>
        </w:tc>
        <w:tc>
          <w:tcPr>
            <w:tcW w:w="4521" w:type="dxa"/>
          </w:tcPr>
          <w:p w:rsidR="003400A3" w:rsidRPr="009164FC" w:rsidRDefault="003400A3" w:rsidP="0092119B">
            <w:pPr>
              <w:pStyle w:val="NoSpacing"/>
            </w:pPr>
            <w:r w:rsidRPr="009164FC">
              <w:t>Classical Music Information Resources (2,338)</w:t>
            </w:r>
          </w:p>
        </w:tc>
        <w:tc>
          <w:tcPr>
            <w:tcW w:w="5310" w:type="dxa"/>
          </w:tcPr>
          <w:p w:rsidR="003400A3" w:rsidRPr="009164FC" w:rsidRDefault="003400A3" w:rsidP="0092119B">
            <w:pPr>
              <w:pStyle w:val="NoSpacing"/>
            </w:pPr>
            <w:r w:rsidRPr="009164FC">
              <w:t>Literature Cited (4,638)</w:t>
            </w:r>
          </w:p>
        </w:tc>
      </w:tr>
      <w:tr w:rsidR="003400A3" w:rsidRPr="009164FC" w:rsidTr="00897845">
        <w:tc>
          <w:tcPr>
            <w:tcW w:w="537" w:type="dxa"/>
          </w:tcPr>
          <w:p w:rsidR="003400A3" w:rsidRPr="009164FC" w:rsidRDefault="003400A3" w:rsidP="0092119B">
            <w:pPr>
              <w:pStyle w:val="NoSpacing"/>
            </w:pPr>
            <w:r w:rsidRPr="009164FC">
              <w:t>5</w:t>
            </w:r>
          </w:p>
        </w:tc>
        <w:tc>
          <w:tcPr>
            <w:tcW w:w="4521" w:type="dxa"/>
          </w:tcPr>
          <w:p w:rsidR="003400A3" w:rsidRPr="009164FC" w:rsidRDefault="003400A3" w:rsidP="0092119B">
            <w:pPr>
              <w:pStyle w:val="NoSpacing"/>
            </w:pPr>
            <w:r w:rsidRPr="009164FC">
              <w:t>Psychology (2,207)</w:t>
            </w:r>
          </w:p>
        </w:tc>
        <w:tc>
          <w:tcPr>
            <w:tcW w:w="5310" w:type="dxa"/>
          </w:tcPr>
          <w:p w:rsidR="003400A3" w:rsidRPr="009164FC" w:rsidRDefault="003400A3" w:rsidP="0092119B">
            <w:pPr>
              <w:pStyle w:val="NoSpacing"/>
            </w:pPr>
            <w:r w:rsidRPr="009164FC">
              <w:t>Language Finger</w:t>
            </w:r>
            <w:r>
              <w:t xml:space="preserve"> </w:t>
            </w:r>
            <w:r w:rsidRPr="009164FC">
              <w:t>(2,088)</w:t>
            </w:r>
          </w:p>
        </w:tc>
      </w:tr>
    </w:tbl>
    <w:p w:rsidR="003400A3" w:rsidRPr="009164FC" w:rsidRDefault="003400A3" w:rsidP="003400A3">
      <w:pPr>
        <w:rPr>
          <w:rFonts w:ascii="Calibri" w:hAnsi="Calibri"/>
        </w:rPr>
      </w:pPr>
    </w:p>
    <w:p w:rsidR="003400A3" w:rsidRPr="009164FC" w:rsidRDefault="003400A3" w:rsidP="003400A3">
      <w:pPr>
        <w:rPr>
          <w:rFonts w:ascii="Calibri" w:hAnsi="Calibri"/>
        </w:rPr>
      </w:pPr>
      <w:r w:rsidRPr="009164FC">
        <w:rPr>
          <w:rFonts w:ascii="Calibri" w:hAnsi="Calibri"/>
        </w:rPr>
        <w:t>The 5 least visited subject guides</w:t>
      </w:r>
      <w:r>
        <w:rPr>
          <w:rFonts w:ascii="Calibri" w:hAnsi="Calibri"/>
        </w:rPr>
        <w:t>, of those visited,</w:t>
      </w:r>
      <w:r w:rsidRPr="009164FC">
        <w:rPr>
          <w:rFonts w:ascii="Calibri" w:hAnsi="Calibri"/>
        </w:rPr>
        <w:t xml:space="preserve"> as measured by web site hits from FY07-FY08 were:</w:t>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521"/>
        <w:gridCol w:w="4537"/>
        <w:gridCol w:w="5330"/>
      </w:tblGrid>
      <w:tr w:rsidR="003400A3" w:rsidRPr="009164FC" w:rsidTr="00897845">
        <w:tc>
          <w:tcPr>
            <w:tcW w:w="521" w:type="dxa"/>
          </w:tcPr>
          <w:p w:rsidR="003400A3" w:rsidRPr="0092119B" w:rsidRDefault="003400A3" w:rsidP="0092119B">
            <w:pPr>
              <w:pStyle w:val="NoSpacing"/>
              <w:jc w:val="center"/>
              <w:rPr>
                <w:b/>
              </w:rPr>
            </w:pPr>
          </w:p>
        </w:tc>
        <w:tc>
          <w:tcPr>
            <w:tcW w:w="4537" w:type="dxa"/>
          </w:tcPr>
          <w:p w:rsidR="003400A3" w:rsidRPr="0092119B" w:rsidRDefault="003400A3" w:rsidP="0092119B">
            <w:pPr>
              <w:pStyle w:val="NoSpacing"/>
              <w:jc w:val="center"/>
              <w:rPr>
                <w:b/>
              </w:rPr>
            </w:pPr>
            <w:r w:rsidRPr="0092119B">
              <w:rPr>
                <w:b/>
              </w:rPr>
              <w:t>FY2007</w:t>
            </w:r>
          </w:p>
        </w:tc>
        <w:tc>
          <w:tcPr>
            <w:tcW w:w="5330" w:type="dxa"/>
          </w:tcPr>
          <w:p w:rsidR="003400A3" w:rsidRPr="0092119B" w:rsidRDefault="003400A3" w:rsidP="0092119B">
            <w:pPr>
              <w:pStyle w:val="NoSpacing"/>
              <w:jc w:val="center"/>
              <w:rPr>
                <w:b/>
              </w:rPr>
            </w:pPr>
            <w:r w:rsidRPr="0092119B">
              <w:rPr>
                <w:b/>
              </w:rPr>
              <w:t>FY2008</w:t>
            </w:r>
          </w:p>
        </w:tc>
      </w:tr>
      <w:tr w:rsidR="003400A3" w:rsidRPr="009164FC" w:rsidTr="00897845">
        <w:tc>
          <w:tcPr>
            <w:tcW w:w="521" w:type="dxa"/>
          </w:tcPr>
          <w:p w:rsidR="003400A3" w:rsidRPr="009164FC" w:rsidRDefault="003400A3" w:rsidP="0092119B">
            <w:pPr>
              <w:pStyle w:val="NoSpacing"/>
              <w:rPr>
                <w:rFonts w:eastAsia="Times New Roman"/>
                <w:szCs w:val="20"/>
              </w:rPr>
            </w:pPr>
            <w:r w:rsidRPr="009164FC">
              <w:rPr>
                <w:rFonts w:eastAsia="Times New Roman"/>
                <w:szCs w:val="20"/>
              </w:rPr>
              <w:t>1</w:t>
            </w:r>
          </w:p>
        </w:tc>
        <w:tc>
          <w:tcPr>
            <w:tcW w:w="4537" w:type="dxa"/>
          </w:tcPr>
          <w:p w:rsidR="003400A3" w:rsidRPr="009164FC" w:rsidRDefault="003400A3" w:rsidP="0092119B">
            <w:pPr>
              <w:pStyle w:val="NoSpacing"/>
              <w:rPr>
                <w:rFonts w:eastAsia="Times New Roman"/>
                <w:szCs w:val="20"/>
              </w:rPr>
            </w:pPr>
            <w:r w:rsidRPr="009164FC">
              <w:rPr>
                <w:rFonts w:eastAsia="Times New Roman"/>
                <w:szCs w:val="20"/>
              </w:rPr>
              <w:t>Spanish, part 8 (51)</w:t>
            </w:r>
          </w:p>
        </w:tc>
        <w:tc>
          <w:tcPr>
            <w:tcW w:w="5330" w:type="dxa"/>
          </w:tcPr>
          <w:p w:rsidR="003400A3" w:rsidRPr="009164FC" w:rsidRDefault="003400A3" w:rsidP="0092119B">
            <w:pPr>
              <w:pStyle w:val="NoSpacing"/>
              <w:rPr>
                <w:rFonts w:eastAsia="Times New Roman"/>
                <w:szCs w:val="20"/>
              </w:rPr>
            </w:pPr>
            <w:r>
              <w:t xml:space="preserve">Education, Government Information Resources </w:t>
            </w:r>
            <w:r w:rsidRPr="009164FC">
              <w:t>(43)</w:t>
            </w:r>
          </w:p>
        </w:tc>
      </w:tr>
      <w:tr w:rsidR="003400A3" w:rsidRPr="009164FC" w:rsidTr="00897845">
        <w:tc>
          <w:tcPr>
            <w:tcW w:w="521" w:type="dxa"/>
          </w:tcPr>
          <w:p w:rsidR="003400A3" w:rsidRPr="009164FC" w:rsidRDefault="003400A3" w:rsidP="0092119B">
            <w:pPr>
              <w:pStyle w:val="NoSpacing"/>
              <w:rPr>
                <w:rFonts w:eastAsia="Times New Roman"/>
                <w:szCs w:val="20"/>
              </w:rPr>
            </w:pPr>
            <w:r w:rsidRPr="009164FC">
              <w:rPr>
                <w:rFonts w:eastAsia="Times New Roman"/>
                <w:szCs w:val="20"/>
              </w:rPr>
              <w:t>2</w:t>
            </w:r>
          </w:p>
        </w:tc>
        <w:tc>
          <w:tcPr>
            <w:tcW w:w="4537" w:type="dxa"/>
          </w:tcPr>
          <w:p w:rsidR="003400A3" w:rsidRPr="009164FC" w:rsidRDefault="003400A3" w:rsidP="0092119B">
            <w:pPr>
              <w:pStyle w:val="NoSpacing"/>
              <w:rPr>
                <w:rFonts w:eastAsia="Times New Roman"/>
                <w:szCs w:val="20"/>
              </w:rPr>
            </w:pPr>
            <w:r w:rsidRPr="009164FC">
              <w:rPr>
                <w:rFonts w:eastAsia="Times New Roman"/>
                <w:szCs w:val="20"/>
              </w:rPr>
              <w:t>Energy Resources (51)</w:t>
            </w:r>
          </w:p>
        </w:tc>
        <w:tc>
          <w:tcPr>
            <w:tcW w:w="5330" w:type="dxa"/>
          </w:tcPr>
          <w:p w:rsidR="003400A3" w:rsidRPr="009164FC" w:rsidRDefault="003400A3" w:rsidP="0092119B">
            <w:pPr>
              <w:pStyle w:val="NoSpacing"/>
              <w:rPr>
                <w:rFonts w:eastAsia="Times New Roman"/>
                <w:szCs w:val="20"/>
              </w:rPr>
            </w:pPr>
            <w:r w:rsidRPr="009164FC">
              <w:t>Penutian Languages, part 2, Language Finger   (42)</w:t>
            </w:r>
          </w:p>
        </w:tc>
      </w:tr>
      <w:tr w:rsidR="003400A3" w:rsidRPr="009164FC" w:rsidTr="00897845">
        <w:tc>
          <w:tcPr>
            <w:tcW w:w="521" w:type="dxa"/>
          </w:tcPr>
          <w:p w:rsidR="003400A3" w:rsidRPr="009164FC" w:rsidRDefault="003400A3" w:rsidP="0092119B">
            <w:pPr>
              <w:pStyle w:val="NoSpacing"/>
              <w:rPr>
                <w:rFonts w:eastAsia="Times New Roman"/>
                <w:szCs w:val="20"/>
              </w:rPr>
            </w:pPr>
            <w:r w:rsidRPr="009164FC">
              <w:rPr>
                <w:rFonts w:eastAsia="Times New Roman"/>
                <w:szCs w:val="20"/>
              </w:rPr>
              <w:t>3</w:t>
            </w:r>
          </w:p>
        </w:tc>
        <w:tc>
          <w:tcPr>
            <w:tcW w:w="4537" w:type="dxa"/>
          </w:tcPr>
          <w:p w:rsidR="003400A3" w:rsidRPr="009164FC" w:rsidRDefault="003400A3" w:rsidP="0092119B">
            <w:pPr>
              <w:pStyle w:val="NoSpacing"/>
              <w:rPr>
                <w:rFonts w:eastAsia="Times New Roman"/>
                <w:szCs w:val="20"/>
              </w:rPr>
            </w:pPr>
            <w:r w:rsidRPr="009164FC">
              <w:rPr>
                <w:rFonts w:eastAsia="Times New Roman"/>
                <w:szCs w:val="20"/>
              </w:rPr>
              <w:t>Italian, part 7 (50)</w:t>
            </w:r>
          </w:p>
        </w:tc>
        <w:tc>
          <w:tcPr>
            <w:tcW w:w="5330" w:type="dxa"/>
          </w:tcPr>
          <w:p w:rsidR="003400A3" w:rsidRPr="009164FC" w:rsidRDefault="003400A3" w:rsidP="0092119B">
            <w:pPr>
              <w:pStyle w:val="NoSpacing"/>
              <w:rPr>
                <w:rFonts w:eastAsia="Times New Roman"/>
                <w:szCs w:val="20"/>
              </w:rPr>
            </w:pPr>
            <w:r w:rsidRPr="009164FC">
              <w:t>Comprehensive Language Index (42)</w:t>
            </w:r>
          </w:p>
        </w:tc>
      </w:tr>
      <w:tr w:rsidR="003400A3" w:rsidRPr="009164FC" w:rsidTr="00897845">
        <w:tc>
          <w:tcPr>
            <w:tcW w:w="521" w:type="dxa"/>
          </w:tcPr>
          <w:p w:rsidR="003400A3" w:rsidRPr="009164FC" w:rsidRDefault="003400A3" w:rsidP="0092119B">
            <w:pPr>
              <w:pStyle w:val="NoSpacing"/>
              <w:rPr>
                <w:rFonts w:eastAsia="Times New Roman"/>
                <w:szCs w:val="20"/>
              </w:rPr>
            </w:pPr>
            <w:r w:rsidRPr="009164FC">
              <w:rPr>
                <w:rFonts w:eastAsia="Times New Roman"/>
                <w:szCs w:val="20"/>
              </w:rPr>
              <w:t>4</w:t>
            </w:r>
          </w:p>
        </w:tc>
        <w:tc>
          <w:tcPr>
            <w:tcW w:w="4537" w:type="dxa"/>
          </w:tcPr>
          <w:p w:rsidR="003400A3" w:rsidRPr="009164FC" w:rsidRDefault="003400A3" w:rsidP="0092119B">
            <w:pPr>
              <w:pStyle w:val="NoSpacing"/>
              <w:rPr>
                <w:rFonts w:eastAsia="Times New Roman"/>
                <w:szCs w:val="20"/>
              </w:rPr>
            </w:pPr>
            <w:r w:rsidRPr="009164FC">
              <w:rPr>
                <w:rFonts w:eastAsia="Times New Roman"/>
                <w:szCs w:val="20"/>
              </w:rPr>
              <w:t>Niger-Kordofanian (48)</w:t>
            </w:r>
          </w:p>
        </w:tc>
        <w:tc>
          <w:tcPr>
            <w:tcW w:w="5330" w:type="dxa"/>
          </w:tcPr>
          <w:p w:rsidR="003400A3" w:rsidRPr="009164FC" w:rsidRDefault="003400A3" w:rsidP="0092119B">
            <w:pPr>
              <w:pStyle w:val="NoSpacing"/>
              <w:rPr>
                <w:rFonts w:eastAsia="Times New Roman"/>
                <w:szCs w:val="20"/>
              </w:rPr>
            </w:pPr>
            <w:r>
              <w:t>American Indian Material</w:t>
            </w:r>
            <w:r w:rsidRPr="009164FC">
              <w:t xml:space="preserve"> (42)</w:t>
            </w:r>
          </w:p>
        </w:tc>
      </w:tr>
      <w:tr w:rsidR="003400A3" w:rsidRPr="009164FC" w:rsidTr="00897845">
        <w:tc>
          <w:tcPr>
            <w:tcW w:w="521" w:type="dxa"/>
          </w:tcPr>
          <w:p w:rsidR="003400A3" w:rsidRPr="009164FC" w:rsidRDefault="003400A3" w:rsidP="0092119B">
            <w:pPr>
              <w:pStyle w:val="NoSpacing"/>
              <w:rPr>
                <w:rFonts w:eastAsia="Times New Roman"/>
                <w:szCs w:val="20"/>
              </w:rPr>
            </w:pPr>
            <w:r w:rsidRPr="009164FC">
              <w:rPr>
                <w:rFonts w:eastAsia="Times New Roman"/>
                <w:szCs w:val="20"/>
              </w:rPr>
              <w:t>5</w:t>
            </w:r>
          </w:p>
        </w:tc>
        <w:tc>
          <w:tcPr>
            <w:tcW w:w="4537" w:type="dxa"/>
          </w:tcPr>
          <w:p w:rsidR="003400A3" w:rsidRPr="009164FC" w:rsidRDefault="003400A3" w:rsidP="0092119B">
            <w:pPr>
              <w:pStyle w:val="NoSpacing"/>
              <w:rPr>
                <w:rFonts w:eastAsia="Times New Roman"/>
                <w:szCs w:val="20"/>
              </w:rPr>
            </w:pPr>
            <w:r w:rsidRPr="009164FC">
              <w:rPr>
                <w:rFonts w:eastAsia="Times New Roman"/>
                <w:szCs w:val="20"/>
              </w:rPr>
              <w:t>Successful Researching and Writing: Proofreading and Editing (pdf) (48)</w:t>
            </w:r>
          </w:p>
        </w:tc>
        <w:tc>
          <w:tcPr>
            <w:tcW w:w="5330" w:type="dxa"/>
          </w:tcPr>
          <w:p w:rsidR="003400A3" w:rsidRPr="009164FC" w:rsidRDefault="003400A3" w:rsidP="0092119B">
            <w:pPr>
              <w:pStyle w:val="NoSpacing"/>
              <w:rPr>
                <w:rFonts w:eastAsia="Times New Roman"/>
                <w:szCs w:val="20"/>
              </w:rPr>
            </w:pPr>
            <w:r>
              <w:t>Blackboard, Faculty Guide to</w:t>
            </w:r>
            <w:r w:rsidRPr="009164FC">
              <w:t xml:space="preserve"> </w:t>
            </w:r>
            <w:r>
              <w:t xml:space="preserve">Integrating the Library’s Subscribed Electronic Resources </w:t>
            </w:r>
            <w:r w:rsidRPr="009164FC">
              <w:t>(40)</w:t>
            </w:r>
          </w:p>
        </w:tc>
      </w:tr>
    </w:tbl>
    <w:p w:rsidR="003400A3" w:rsidRPr="009164FC" w:rsidRDefault="003400A3" w:rsidP="003400A3">
      <w:pPr>
        <w:rPr>
          <w:rFonts w:ascii="Calibri" w:eastAsia="Times New Roman" w:hAnsi="Calibri"/>
          <w:szCs w:val="20"/>
        </w:rPr>
      </w:pPr>
    </w:p>
    <w:p w:rsidR="003400A3" w:rsidRPr="009164FC" w:rsidRDefault="003400A3" w:rsidP="003400A3">
      <w:pPr>
        <w:rPr>
          <w:rFonts w:ascii="Calibri" w:hAnsi="Calibri"/>
          <w:b/>
          <w:i/>
          <w:szCs w:val="28"/>
        </w:rPr>
      </w:pPr>
      <w:r w:rsidRPr="009164FC">
        <w:rPr>
          <w:rFonts w:ascii="Calibri" w:hAnsi="Calibri"/>
          <w:b/>
          <w:i/>
        </w:rPr>
        <w:br w:type="page"/>
      </w:r>
      <w:r w:rsidRPr="009164FC">
        <w:rPr>
          <w:rFonts w:ascii="Calibri" w:hAnsi="Calibri"/>
          <w:b/>
          <w:i/>
          <w:szCs w:val="28"/>
        </w:rPr>
        <w:lastRenderedPageBreak/>
        <w:t>What monograph and serial collections are most/least purchased?</w:t>
      </w: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t>Monographs</w:t>
      </w:r>
    </w:p>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The 5 subjects measured by Dewey Decimal Classification number with the highest number of monograph acquisitions from FY06-FY08 were: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0"/>
        <w:gridCol w:w="3726"/>
        <w:gridCol w:w="2979"/>
        <w:gridCol w:w="2979"/>
      </w:tblGrid>
      <w:tr w:rsidR="003400A3" w:rsidRPr="009164FC" w:rsidTr="00897845">
        <w:trPr>
          <w:trHeight w:val="650"/>
          <w:jc w:val="center"/>
        </w:trPr>
        <w:tc>
          <w:tcPr>
            <w:tcW w:w="460" w:type="dxa"/>
            <w:tcBorders>
              <w:bottom w:val="single" w:sz="4" w:space="0" w:color="000000"/>
            </w:tcBorders>
          </w:tcPr>
          <w:p w:rsidR="003400A3" w:rsidRPr="0092119B" w:rsidRDefault="003400A3" w:rsidP="0092119B">
            <w:pPr>
              <w:pStyle w:val="NoSpacing"/>
              <w:jc w:val="center"/>
              <w:rPr>
                <w:b/>
                <w:szCs w:val="20"/>
              </w:rPr>
            </w:pPr>
          </w:p>
        </w:tc>
        <w:tc>
          <w:tcPr>
            <w:tcW w:w="3726" w:type="dxa"/>
            <w:tcBorders>
              <w:bottom w:val="single" w:sz="4" w:space="0" w:color="000000"/>
            </w:tcBorders>
          </w:tcPr>
          <w:p w:rsidR="003400A3" w:rsidRPr="0092119B" w:rsidRDefault="003400A3" w:rsidP="0092119B">
            <w:pPr>
              <w:pStyle w:val="NoSpacing"/>
              <w:jc w:val="center"/>
              <w:rPr>
                <w:b/>
                <w:szCs w:val="20"/>
              </w:rPr>
            </w:pPr>
            <w:r w:rsidRPr="0092119B">
              <w:rPr>
                <w:b/>
                <w:szCs w:val="20"/>
              </w:rPr>
              <w:t>FY2006</w:t>
            </w:r>
          </w:p>
        </w:tc>
        <w:tc>
          <w:tcPr>
            <w:tcW w:w="2979" w:type="dxa"/>
            <w:tcBorders>
              <w:bottom w:val="single" w:sz="4" w:space="0" w:color="000000"/>
            </w:tcBorders>
          </w:tcPr>
          <w:p w:rsidR="003400A3" w:rsidRPr="0092119B" w:rsidRDefault="003400A3" w:rsidP="0092119B">
            <w:pPr>
              <w:pStyle w:val="NoSpacing"/>
              <w:jc w:val="center"/>
              <w:rPr>
                <w:b/>
                <w:szCs w:val="20"/>
              </w:rPr>
            </w:pPr>
            <w:r w:rsidRPr="0092119B">
              <w:rPr>
                <w:b/>
                <w:szCs w:val="20"/>
              </w:rPr>
              <w:t>FY2007</w:t>
            </w:r>
          </w:p>
        </w:tc>
        <w:tc>
          <w:tcPr>
            <w:tcW w:w="2979" w:type="dxa"/>
            <w:tcBorders>
              <w:bottom w:val="single" w:sz="4" w:space="0" w:color="000000"/>
            </w:tcBorders>
          </w:tcPr>
          <w:p w:rsidR="003400A3" w:rsidRPr="0092119B" w:rsidRDefault="003400A3" w:rsidP="0092119B">
            <w:pPr>
              <w:pStyle w:val="NoSpacing"/>
              <w:jc w:val="center"/>
              <w:rPr>
                <w:b/>
                <w:szCs w:val="20"/>
              </w:rPr>
            </w:pPr>
            <w:r w:rsidRPr="0092119B">
              <w:rPr>
                <w:b/>
                <w:szCs w:val="20"/>
              </w:rPr>
              <w:t>FY2008</w:t>
            </w:r>
          </w:p>
        </w:tc>
      </w:tr>
      <w:tr w:rsidR="003400A3" w:rsidRPr="009164FC" w:rsidTr="00897845">
        <w:trPr>
          <w:trHeight w:val="650"/>
          <w:jc w:val="center"/>
        </w:trPr>
        <w:tc>
          <w:tcPr>
            <w:tcW w:w="460" w:type="dxa"/>
            <w:tcBorders>
              <w:bottom w:val="single" w:sz="4" w:space="0" w:color="000000"/>
            </w:tcBorders>
          </w:tcPr>
          <w:p w:rsidR="003400A3" w:rsidRPr="0092119B" w:rsidRDefault="003400A3" w:rsidP="0092119B">
            <w:pPr>
              <w:pStyle w:val="NoSpacing"/>
              <w:rPr>
                <w:szCs w:val="20"/>
              </w:rPr>
            </w:pPr>
            <w:r w:rsidRPr="0092119B">
              <w:rPr>
                <w:szCs w:val="20"/>
              </w:rPr>
              <w:t>1</w:t>
            </w:r>
          </w:p>
        </w:tc>
        <w:tc>
          <w:tcPr>
            <w:tcW w:w="3726" w:type="dxa"/>
            <w:tcBorders>
              <w:bottom w:val="single" w:sz="4" w:space="0" w:color="000000"/>
            </w:tcBorders>
          </w:tcPr>
          <w:p w:rsidR="003400A3" w:rsidRPr="0092119B" w:rsidRDefault="003400A3" w:rsidP="0092119B">
            <w:pPr>
              <w:pStyle w:val="NoSpacing"/>
              <w:rPr>
                <w:szCs w:val="20"/>
              </w:rPr>
            </w:pPr>
            <w:r w:rsidRPr="0092119B">
              <w:rPr>
                <w:szCs w:val="20"/>
              </w:rPr>
              <w:t>810-819 American Literature in English (1,178)</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810-819 (2,039)</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810-819 (2,033)</w:t>
            </w:r>
          </w:p>
        </w:tc>
      </w:tr>
      <w:tr w:rsidR="003400A3" w:rsidRPr="009164FC" w:rsidTr="00897845">
        <w:trPr>
          <w:trHeight w:val="650"/>
          <w:jc w:val="center"/>
        </w:trPr>
        <w:tc>
          <w:tcPr>
            <w:tcW w:w="460" w:type="dxa"/>
            <w:tcBorders>
              <w:bottom w:val="single" w:sz="4" w:space="0" w:color="000000"/>
            </w:tcBorders>
          </w:tcPr>
          <w:p w:rsidR="003400A3" w:rsidRPr="0092119B" w:rsidRDefault="003400A3" w:rsidP="0092119B">
            <w:pPr>
              <w:pStyle w:val="NoSpacing"/>
              <w:rPr>
                <w:szCs w:val="20"/>
              </w:rPr>
            </w:pPr>
            <w:r w:rsidRPr="0092119B">
              <w:rPr>
                <w:szCs w:val="20"/>
              </w:rPr>
              <w:t>2</w:t>
            </w:r>
          </w:p>
        </w:tc>
        <w:tc>
          <w:tcPr>
            <w:tcW w:w="3726" w:type="dxa"/>
            <w:tcBorders>
              <w:bottom w:val="single" w:sz="4" w:space="0" w:color="000000"/>
            </w:tcBorders>
          </w:tcPr>
          <w:p w:rsidR="003400A3" w:rsidRPr="0092119B" w:rsidRDefault="003400A3" w:rsidP="0092119B">
            <w:pPr>
              <w:pStyle w:val="NoSpacing"/>
              <w:rPr>
                <w:szCs w:val="20"/>
              </w:rPr>
            </w:pPr>
            <w:r w:rsidRPr="0092119B">
              <w:rPr>
                <w:szCs w:val="20"/>
              </w:rPr>
              <w:t>020-029 Library and Information Science (847)</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300-309 (1,338)</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300-309 (1,075)</w:t>
            </w:r>
          </w:p>
        </w:tc>
      </w:tr>
      <w:tr w:rsidR="003400A3" w:rsidRPr="009164FC" w:rsidTr="00897845">
        <w:trPr>
          <w:trHeight w:val="650"/>
          <w:jc w:val="center"/>
        </w:trPr>
        <w:tc>
          <w:tcPr>
            <w:tcW w:w="460" w:type="dxa"/>
            <w:tcBorders>
              <w:bottom w:val="single" w:sz="4" w:space="0" w:color="000000"/>
            </w:tcBorders>
          </w:tcPr>
          <w:p w:rsidR="003400A3" w:rsidRPr="0092119B" w:rsidRDefault="003400A3" w:rsidP="0092119B">
            <w:pPr>
              <w:pStyle w:val="NoSpacing"/>
              <w:rPr>
                <w:szCs w:val="20"/>
              </w:rPr>
            </w:pPr>
            <w:r w:rsidRPr="0092119B">
              <w:rPr>
                <w:szCs w:val="20"/>
              </w:rPr>
              <w:t>3</w:t>
            </w:r>
          </w:p>
        </w:tc>
        <w:tc>
          <w:tcPr>
            <w:tcW w:w="3726" w:type="dxa"/>
            <w:tcBorders>
              <w:bottom w:val="single" w:sz="4" w:space="0" w:color="000000"/>
            </w:tcBorders>
          </w:tcPr>
          <w:p w:rsidR="003400A3" w:rsidRPr="0092119B" w:rsidRDefault="003400A3" w:rsidP="0092119B">
            <w:pPr>
              <w:pStyle w:val="NoSpacing"/>
              <w:rPr>
                <w:szCs w:val="20"/>
              </w:rPr>
            </w:pPr>
            <w:r w:rsidRPr="0092119B">
              <w:rPr>
                <w:szCs w:val="20"/>
              </w:rPr>
              <w:t>320-329 Political Science (830)</w:t>
            </w:r>
          </w:p>
        </w:tc>
        <w:tc>
          <w:tcPr>
            <w:tcW w:w="2979" w:type="dxa"/>
            <w:tcBorders>
              <w:bottom w:val="single" w:sz="4" w:space="0" w:color="000000"/>
            </w:tcBorders>
          </w:tcPr>
          <w:p w:rsidR="003400A3" w:rsidRPr="0092119B" w:rsidRDefault="003400A3" w:rsidP="0092119B">
            <w:pPr>
              <w:pStyle w:val="NoSpacing"/>
              <w:rPr>
                <w:szCs w:val="20"/>
              </w:rPr>
            </w:pPr>
            <w:r w:rsidRPr="0092119B">
              <w:rPr>
                <w:szCs w:val="20"/>
              </w:rPr>
              <w:t>330-339 Economics (1,186)</w:t>
            </w:r>
          </w:p>
        </w:tc>
        <w:tc>
          <w:tcPr>
            <w:tcW w:w="2979" w:type="dxa"/>
            <w:tcBorders>
              <w:bottom w:val="single" w:sz="4" w:space="0" w:color="000000"/>
            </w:tcBorders>
          </w:tcPr>
          <w:p w:rsidR="003400A3" w:rsidRPr="0092119B" w:rsidRDefault="003400A3" w:rsidP="0092119B">
            <w:pPr>
              <w:pStyle w:val="NoSpacing"/>
              <w:rPr>
                <w:szCs w:val="20"/>
              </w:rPr>
            </w:pPr>
            <w:r w:rsidRPr="0092119B">
              <w:rPr>
                <w:szCs w:val="20"/>
              </w:rPr>
              <w:t>330-339 (885)</w:t>
            </w:r>
          </w:p>
        </w:tc>
      </w:tr>
      <w:tr w:rsidR="003400A3" w:rsidRPr="009164FC" w:rsidTr="00897845">
        <w:trPr>
          <w:trHeight w:val="650"/>
          <w:jc w:val="center"/>
        </w:trPr>
        <w:tc>
          <w:tcPr>
            <w:tcW w:w="460" w:type="dxa"/>
            <w:tcBorders>
              <w:bottom w:val="single" w:sz="4" w:space="0" w:color="000000"/>
            </w:tcBorders>
          </w:tcPr>
          <w:p w:rsidR="003400A3" w:rsidRPr="0092119B" w:rsidRDefault="003400A3" w:rsidP="0092119B">
            <w:pPr>
              <w:pStyle w:val="NoSpacing"/>
              <w:rPr>
                <w:szCs w:val="20"/>
              </w:rPr>
            </w:pPr>
            <w:r w:rsidRPr="0092119B">
              <w:rPr>
                <w:szCs w:val="20"/>
              </w:rPr>
              <w:t>4</w:t>
            </w:r>
          </w:p>
        </w:tc>
        <w:tc>
          <w:tcPr>
            <w:tcW w:w="3726" w:type="dxa"/>
            <w:tcBorders>
              <w:bottom w:val="single" w:sz="4" w:space="0" w:color="000000"/>
            </w:tcBorders>
          </w:tcPr>
          <w:p w:rsidR="003400A3" w:rsidRPr="0092119B" w:rsidRDefault="003400A3" w:rsidP="0092119B">
            <w:pPr>
              <w:pStyle w:val="NoSpacing"/>
              <w:rPr>
                <w:szCs w:val="20"/>
              </w:rPr>
            </w:pPr>
            <w:r w:rsidRPr="0092119B">
              <w:rPr>
                <w:szCs w:val="20"/>
              </w:rPr>
              <w:t>300-309 Social Sciences, Sociology and Anthropology (780)</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970-979 (856)</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820-829 English and Old English Literatures (866)</w:t>
            </w:r>
          </w:p>
        </w:tc>
      </w:tr>
      <w:tr w:rsidR="003400A3" w:rsidRPr="009164FC" w:rsidTr="00897845">
        <w:trPr>
          <w:trHeight w:val="650"/>
          <w:jc w:val="center"/>
        </w:trPr>
        <w:tc>
          <w:tcPr>
            <w:tcW w:w="460" w:type="dxa"/>
            <w:tcBorders>
              <w:bottom w:val="single" w:sz="4" w:space="0" w:color="000000"/>
            </w:tcBorders>
          </w:tcPr>
          <w:p w:rsidR="003400A3" w:rsidRPr="0092119B" w:rsidRDefault="003400A3" w:rsidP="0092119B">
            <w:pPr>
              <w:pStyle w:val="NoSpacing"/>
              <w:rPr>
                <w:szCs w:val="20"/>
              </w:rPr>
            </w:pPr>
            <w:r w:rsidRPr="0092119B">
              <w:rPr>
                <w:szCs w:val="20"/>
              </w:rPr>
              <w:t>5</w:t>
            </w:r>
          </w:p>
        </w:tc>
        <w:tc>
          <w:tcPr>
            <w:tcW w:w="3726" w:type="dxa"/>
            <w:tcBorders>
              <w:bottom w:val="single" w:sz="4" w:space="0" w:color="000000"/>
            </w:tcBorders>
          </w:tcPr>
          <w:p w:rsidR="003400A3" w:rsidRPr="0092119B" w:rsidRDefault="003400A3" w:rsidP="0092119B">
            <w:pPr>
              <w:pStyle w:val="NoSpacing"/>
              <w:rPr>
                <w:szCs w:val="20"/>
              </w:rPr>
            </w:pPr>
            <w:r w:rsidRPr="0092119B">
              <w:rPr>
                <w:szCs w:val="20"/>
              </w:rPr>
              <w:t>970-979 History of North America (749)</w:t>
            </w:r>
          </w:p>
        </w:tc>
        <w:tc>
          <w:tcPr>
            <w:tcW w:w="2979" w:type="dxa"/>
            <w:tcBorders>
              <w:bottom w:val="single" w:sz="4" w:space="0" w:color="000000"/>
            </w:tcBorders>
          </w:tcPr>
          <w:p w:rsidR="003400A3" w:rsidRPr="0092119B" w:rsidRDefault="003400A3" w:rsidP="0092119B">
            <w:pPr>
              <w:pStyle w:val="NoSpacing"/>
              <w:rPr>
                <w:szCs w:val="20"/>
                <w:highlight w:val="lightGray"/>
              </w:rPr>
            </w:pPr>
            <w:r w:rsidRPr="0092119B">
              <w:rPr>
                <w:szCs w:val="20"/>
              </w:rPr>
              <w:t>370-379 Education (826)</w:t>
            </w:r>
          </w:p>
        </w:tc>
        <w:tc>
          <w:tcPr>
            <w:tcW w:w="2979" w:type="dxa"/>
            <w:tcBorders>
              <w:bottom w:val="single" w:sz="4" w:space="0" w:color="000000"/>
            </w:tcBorders>
          </w:tcPr>
          <w:p w:rsidR="003400A3" w:rsidRPr="0092119B" w:rsidRDefault="003400A3" w:rsidP="0092119B">
            <w:pPr>
              <w:pStyle w:val="NoSpacing"/>
              <w:rPr>
                <w:szCs w:val="20"/>
              </w:rPr>
            </w:pPr>
            <w:r w:rsidRPr="0092119B">
              <w:rPr>
                <w:szCs w:val="20"/>
              </w:rPr>
              <w:t>790-799 Sports, Games &amp; Entertainment (760)</w:t>
            </w:r>
          </w:p>
        </w:tc>
      </w:tr>
    </w:tbl>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The 5 subjects measured by Dewey Decimal Classification number with the lowest number of monograph acquisitions from FY06-FY08 were:</w:t>
      </w:r>
    </w:p>
    <w:tbl>
      <w:tblPr>
        <w:tblW w:w="10043"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58"/>
        <w:gridCol w:w="4122"/>
        <w:gridCol w:w="2881"/>
        <w:gridCol w:w="2582"/>
      </w:tblGrid>
      <w:tr w:rsidR="003400A3" w:rsidRPr="0092119B" w:rsidTr="00897845">
        <w:trPr>
          <w:jc w:val="center"/>
        </w:trPr>
        <w:tc>
          <w:tcPr>
            <w:tcW w:w="458" w:type="dxa"/>
          </w:tcPr>
          <w:p w:rsidR="003400A3" w:rsidRPr="0092119B" w:rsidRDefault="003400A3" w:rsidP="0092119B">
            <w:pPr>
              <w:pStyle w:val="NoSpacing"/>
              <w:jc w:val="center"/>
              <w:rPr>
                <w:b/>
              </w:rPr>
            </w:pPr>
          </w:p>
        </w:tc>
        <w:tc>
          <w:tcPr>
            <w:tcW w:w="4122" w:type="dxa"/>
          </w:tcPr>
          <w:p w:rsidR="003400A3" w:rsidRPr="0092119B" w:rsidRDefault="003400A3" w:rsidP="0092119B">
            <w:pPr>
              <w:pStyle w:val="NoSpacing"/>
              <w:jc w:val="center"/>
              <w:rPr>
                <w:b/>
              </w:rPr>
            </w:pPr>
            <w:r w:rsidRPr="0092119B">
              <w:rPr>
                <w:b/>
              </w:rPr>
              <w:t>FY2006</w:t>
            </w:r>
          </w:p>
        </w:tc>
        <w:tc>
          <w:tcPr>
            <w:tcW w:w="2881" w:type="dxa"/>
          </w:tcPr>
          <w:p w:rsidR="003400A3" w:rsidRPr="0092119B" w:rsidRDefault="003400A3" w:rsidP="0092119B">
            <w:pPr>
              <w:pStyle w:val="NoSpacing"/>
              <w:jc w:val="center"/>
              <w:rPr>
                <w:b/>
              </w:rPr>
            </w:pPr>
            <w:r w:rsidRPr="0092119B">
              <w:rPr>
                <w:b/>
              </w:rPr>
              <w:t>FY2007</w:t>
            </w:r>
          </w:p>
        </w:tc>
        <w:tc>
          <w:tcPr>
            <w:tcW w:w="2582" w:type="dxa"/>
          </w:tcPr>
          <w:p w:rsidR="003400A3" w:rsidRPr="0092119B" w:rsidRDefault="003400A3" w:rsidP="0092119B">
            <w:pPr>
              <w:pStyle w:val="NoSpacing"/>
              <w:jc w:val="center"/>
              <w:rPr>
                <w:b/>
              </w:rPr>
            </w:pPr>
            <w:r w:rsidRPr="0092119B">
              <w:rPr>
                <w:b/>
              </w:rPr>
              <w:t>FY2008</w:t>
            </w:r>
          </w:p>
        </w:tc>
      </w:tr>
      <w:tr w:rsidR="003400A3" w:rsidRPr="009164FC" w:rsidTr="00897845">
        <w:trPr>
          <w:jc w:val="center"/>
        </w:trPr>
        <w:tc>
          <w:tcPr>
            <w:tcW w:w="458" w:type="dxa"/>
          </w:tcPr>
          <w:p w:rsidR="003400A3" w:rsidRPr="009164FC" w:rsidRDefault="003400A3" w:rsidP="0092119B">
            <w:pPr>
              <w:pStyle w:val="NoSpacing"/>
            </w:pPr>
            <w:r w:rsidRPr="009164FC">
              <w:t>1</w:t>
            </w:r>
          </w:p>
        </w:tc>
        <w:tc>
          <w:tcPr>
            <w:tcW w:w="4122" w:type="dxa"/>
          </w:tcPr>
          <w:p w:rsidR="003400A3" w:rsidRPr="009164FC" w:rsidRDefault="003400A3" w:rsidP="0092119B">
            <w:pPr>
              <w:pStyle w:val="NoSpacing"/>
            </w:pPr>
            <w:r w:rsidRPr="009164FC">
              <w:t>090-099 Manuscripts and Rare Books (1)</w:t>
            </w:r>
          </w:p>
        </w:tc>
        <w:tc>
          <w:tcPr>
            <w:tcW w:w="2881" w:type="dxa"/>
          </w:tcPr>
          <w:p w:rsidR="003400A3" w:rsidRPr="009164FC" w:rsidRDefault="003400A3" w:rsidP="0092119B">
            <w:pPr>
              <w:pStyle w:val="NoSpacing"/>
              <w:rPr>
                <w:highlight w:val="lightGray"/>
              </w:rPr>
            </w:pPr>
            <w:r w:rsidRPr="009164FC">
              <w:t>450-459</w:t>
            </w:r>
            <w:r>
              <w:t xml:space="preserve"> (0</w:t>
            </w:r>
            <w:r w:rsidRPr="009164FC">
              <w:t>)</w:t>
            </w:r>
          </w:p>
        </w:tc>
        <w:tc>
          <w:tcPr>
            <w:tcW w:w="2582" w:type="dxa"/>
          </w:tcPr>
          <w:p w:rsidR="003400A3" w:rsidRPr="009164FC" w:rsidRDefault="003400A3" w:rsidP="0092119B">
            <w:pPr>
              <w:pStyle w:val="NoSpacing"/>
              <w:rPr>
                <w:highlight w:val="lightGray"/>
              </w:rPr>
            </w:pPr>
            <w:r w:rsidRPr="00093E44">
              <w:t>440-449</w:t>
            </w:r>
            <w:r>
              <w:t xml:space="preserve"> (0)</w:t>
            </w:r>
          </w:p>
        </w:tc>
      </w:tr>
      <w:tr w:rsidR="003400A3" w:rsidRPr="009164FC" w:rsidTr="00897845">
        <w:trPr>
          <w:jc w:val="center"/>
        </w:trPr>
        <w:tc>
          <w:tcPr>
            <w:tcW w:w="458" w:type="dxa"/>
          </w:tcPr>
          <w:p w:rsidR="003400A3" w:rsidRPr="009164FC" w:rsidRDefault="003400A3" w:rsidP="0092119B">
            <w:pPr>
              <w:pStyle w:val="NoSpacing"/>
            </w:pPr>
            <w:r w:rsidRPr="009164FC">
              <w:t>2</w:t>
            </w:r>
          </w:p>
        </w:tc>
        <w:tc>
          <w:tcPr>
            <w:tcW w:w="4122" w:type="dxa"/>
          </w:tcPr>
          <w:p w:rsidR="003400A3" w:rsidRPr="009164FC" w:rsidRDefault="003400A3" w:rsidP="0092119B">
            <w:pPr>
              <w:pStyle w:val="NoSpacing"/>
            </w:pPr>
            <w:r w:rsidRPr="009164FC">
              <w:t>480-489 Classical and Modern Greek Languages (1)</w:t>
            </w:r>
          </w:p>
        </w:tc>
        <w:tc>
          <w:tcPr>
            <w:tcW w:w="2881" w:type="dxa"/>
          </w:tcPr>
          <w:p w:rsidR="003400A3" w:rsidRPr="00093E44" w:rsidRDefault="003400A3" w:rsidP="0092119B">
            <w:pPr>
              <w:pStyle w:val="NoSpacing"/>
            </w:pPr>
            <w:r w:rsidRPr="00093E44">
              <w:t>080-089 Quotations (1)</w:t>
            </w:r>
          </w:p>
        </w:tc>
        <w:tc>
          <w:tcPr>
            <w:tcW w:w="2582" w:type="dxa"/>
          </w:tcPr>
          <w:p w:rsidR="003400A3" w:rsidRPr="009164FC" w:rsidRDefault="003400A3" w:rsidP="0092119B">
            <w:pPr>
              <w:pStyle w:val="NoSpacing"/>
              <w:rPr>
                <w:highlight w:val="lightGray"/>
              </w:rPr>
            </w:pPr>
            <w:r w:rsidRPr="009164FC">
              <w:t>480-489</w:t>
            </w:r>
            <w:r>
              <w:t xml:space="preserve"> (0)</w:t>
            </w:r>
          </w:p>
        </w:tc>
      </w:tr>
      <w:tr w:rsidR="003400A3" w:rsidRPr="009164FC" w:rsidTr="00897845">
        <w:trPr>
          <w:jc w:val="center"/>
        </w:trPr>
        <w:tc>
          <w:tcPr>
            <w:tcW w:w="458" w:type="dxa"/>
          </w:tcPr>
          <w:p w:rsidR="003400A3" w:rsidRPr="009164FC" w:rsidRDefault="003400A3" w:rsidP="0092119B">
            <w:pPr>
              <w:pStyle w:val="NoSpacing"/>
            </w:pPr>
            <w:r w:rsidRPr="009164FC">
              <w:t>3</w:t>
            </w:r>
          </w:p>
        </w:tc>
        <w:tc>
          <w:tcPr>
            <w:tcW w:w="4122" w:type="dxa"/>
          </w:tcPr>
          <w:p w:rsidR="003400A3" w:rsidRPr="009164FC" w:rsidRDefault="003400A3" w:rsidP="0092119B">
            <w:pPr>
              <w:pStyle w:val="NoSpacing"/>
            </w:pPr>
            <w:r w:rsidRPr="009164FC">
              <w:t>450-459 Italian, Romanian, and Related Languages (2)</w:t>
            </w:r>
          </w:p>
        </w:tc>
        <w:tc>
          <w:tcPr>
            <w:tcW w:w="2881" w:type="dxa"/>
          </w:tcPr>
          <w:p w:rsidR="003400A3" w:rsidRPr="00093E44" w:rsidRDefault="003400A3" w:rsidP="0092119B">
            <w:pPr>
              <w:pStyle w:val="NoSpacing"/>
            </w:pPr>
            <w:r w:rsidRPr="00093E44">
              <w:t>250-259 Christian Pastoral Practice and Religious Orders (1)</w:t>
            </w:r>
          </w:p>
        </w:tc>
        <w:tc>
          <w:tcPr>
            <w:tcW w:w="2582" w:type="dxa"/>
          </w:tcPr>
          <w:p w:rsidR="003400A3" w:rsidRPr="009164FC" w:rsidRDefault="003400A3" w:rsidP="0092119B">
            <w:pPr>
              <w:pStyle w:val="NoSpacing"/>
              <w:rPr>
                <w:highlight w:val="lightGray"/>
              </w:rPr>
            </w:pPr>
            <w:r w:rsidRPr="00093E44">
              <w:t>250-259</w:t>
            </w:r>
            <w:r>
              <w:t xml:space="preserve"> (1)</w:t>
            </w:r>
          </w:p>
        </w:tc>
      </w:tr>
      <w:tr w:rsidR="003400A3" w:rsidRPr="009164FC" w:rsidTr="00897845">
        <w:trPr>
          <w:jc w:val="center"/>
        </w:trPr>
        <w:tc>
          <w:tcPr>
            <w:tcW w:w="458" w:type="dxa"/>
          </w:tcPr>
          <w:p w:rsidR="003400A3" w:rsidRPr="009164FC" w:rsidRDefault="003400A3" w:rsidP="0092119B">
            <w:pPr>
              <w:pStyle w:val="NoSpacing"/>
            </w:pPr>
            <w:r w:rsidRPr="009164FC">
              <w:t>4</w:t>
            </w:r>
          </w:p>
        </w:tc>
        <w:tc>
          <w:tcPr>
            <w:tcW w:w="4122" w:type="dxa"/>
          </w:tcPr>
          <w:p w:rsidR="003400A3" w:rsidRPr="009164FC" w:rsidRDefault="003400A3" w:rsidP="0092119B">
            <w:pPr>
              <w:pStyle w:val="NoSpacing"/>
            </w:pPr>
            <w:r w:rsidRPr="009164FC">
              <w:t>030-039 Encyclopedias and Books of Facts (2)</w:t>
            </w:r>
          </w:p>
        </w:tc>
        <w:tc>
          <w:tcPr>
            <w:tcW w:w="2881" w:type="dxa"/>
          </w:tcPr>
          <w:p w:rsidR="003400A3" w:rsidRPr="00093E44" w:rsidRDefault="003400A3" w:rsidP="0092119B">
            <w:pPr>
              <w:pStyle w:val="NoSpacing"/>
            </w:pPr>
            <w:r w:rsidRPr="00093E44">
              <w:t>430-439 (1)</w:t>
            </w:r>
          </w:p>
        </w:tc>
        <w:tc>
          <w:tcPr>
            <w:tcW w:w="2582" w:type="dxa"/>
          </w:tcPr>
          <w:p w:rsidR="003400A3" w:rsidRPr="009164FC" w:rsidRDefault="003400A3" w:rsidP="0092119B">
            <w:pPr>
              <w:pStyle w:val="NoSpacing"/>
              <w:rPr>
                <w:highlight w:val="lightGray"/>
              </w:rPr>
            </w:pPr>
            <w:r w:rsidRPr="00093E44">
              <w:t>430-439</w:t>
            </w:r>
            <w:r>
              <w:t xml:space="preserve"> (1)</w:t>
            </w:r>
          </w:p>
        </w:tc>
      </w:tr>
      <w:tr w:rsidR="003400A3" w:rsidRPr="009164FC" w:rsidTr="00897845">
        <w:trPr>
          <w:jc w:val="center"/>
        </w:trPr>
        <w:tc>
          <w:tcPr>
            <w:tcW w:w="458" w:type="dxa"/>
          </w:tcPr>
          <w:p w:rsidR="003400A3" w:rsidRPr="009164FC" w:rsidRDefault="003400A3" w:rsidP="0092119B">
            <w:pPr>
              <w:pStyle w:val="NoSpacing"/>
            </w:pPr>
            <w:r w:rsidRPr="009164FC">
              <w:t>5</w:t>
            </w:r>
          </w:p>
        </w:tc>
        <w:tc>
          <w:tcPr>
            <w:tcW w:w="4122" w:type="dxa"/>
          </w:tcPr>
          <w:p w:rsidR="003400A3" w:rsidRPr="009164FC" w:rsidRDefault="003400A3" w:rsidP="0092119B">
            <w:pPr>
              <w:pStyle w:val="NoSpacing"/>
            </w:pPr>
            <w:r w:rsidRPr="009164FC">
              <w:t>430-439 German and Related Languages (2)</w:t>
            </w:r>
          </w:p>
        </w:tc>
        <w:tc>
          <w:tcPr>
            <w:tcW w:w="2881" w:type="dxa"/>
          </w:tcPr>
          <w:p w:rsidR="003400A3" w:rsidRPr="00093E44" w:rsidRDefault="003400A3" w:rsidP="0092119B">
            <w:pPr>
              <w:pStyle w:val="NoSpacing"/>
            </w:pPr>
            <w:r w:rsidRPr="00093E44">
              <w:t>440-449 French and Related Languages (1)</w:t>
            </w:r>
          </w:p>
        </w:tc>
        <w:tc>
          <w:tcPr>
            <w:tcW w:w="2582" w:type="dxa"/>
          </w:tcPr>
          <w:p w:rsidR="003400A3" w:rsidRPr="009164FC" w:rsidRDefault="003400A3" w:rsidP="0092119B">
            <w:pPr>
              <w:pStyle w:val="NoSpacing"/>
              <w:rPr>
                <w:highlight w:val="lightGray"/>
              </w:rPr>
            </w:pPr>
            <w:r w:rsidRPr="00093E44">
              <w:t>990-999 History of Other Regions (1)</w:t>
            </w:r>
          </w:p>
        </w:tc>
      </w:tr>
    </w:tbl>
    <w:p w:rsidR="003400A3" w:rsidRPr="009164FC" w:rsidRDefault="003400A3"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92119B" w:rsidRDefault="0092119B"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0B4E82" w:rsidRDefault="000B4E82" w:rsidP="003400A3">
      <w:pPr>
        <w:rPr>
          <w:rFonts w:ascii="Calibri" w:hAnsi="Calibri"/>
          <w:b/>
        </w:rPr>
      </w:pPr>
    </w:p>
    <w:p w:rsidR="003400A3" w:rsidRPr="009164FC" w:rsidRDefault="003400A3" w:rsidP="003400A3">
      <w:pPr>
        <w:rPr>
          <w:rFonts w:ascii="Calibri" w:hAnsi="Calibri"/>
          <w:b/>
        </w:rPr>
      </w:pPr>
      <w:r w:rsidRPr="009164FC">
        <w:rPr>
          <w:rFonts w:ascii="Calibri" w:hAnsi="Calibri"/>
          <w:b/>
        </w:rPr>
        <w:lastRenderedPageBreak/>
        <w:t>Serials</w:t>
      </w:r>
    </w:p>
    <w:p w:rsidR="003400A3" w:rsidRPr="009164FC" w:rsidRDefault="003400A3" w:rsidP="003400A3">
      <w:pPr>
        <w:rPr>
          <w:rFonts w:ascii="Calibri" w:hAnsi="Calibri"/>
        </w:rPr>
      </w:pPr>
      <w:r w:rsidRPr="009164FC">
        <w:rPr>
          <w:rFonts w:ascii="Calibri" w:hAnsi="Calibri"/>
        </w:rPr>
        <w:t>The 5 areas measured by fund code with the highest acquisition of serials from FY07-FY08 were: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0"/>
        <w:gridCol w:w="2582"/>
        <w:gridCol w:w="3844"/>
      </w:tblGrid>
      <w:tr w:rsidR="003400A3" w:rsidRPr="009164FC" w:rsidTr="00897845">
        <w:trPr>
          <w:jc w:val="center"/>
        </w:trPr>
        <w:tc>
          <w:tcPr>
            <w:tcW w:w="460" w:type="dxa"/>
          </w:tcPr>
          <w:p w:rsidR="003400A3" w:rsidRPr="0092119B" w:rsidRDefault="003400A3" w:rsidP="0092119B">
            <w:pPr>
              <w:pStyle w:val="NoSpacing"/>
              <w:jc w:val="center"/>
              <w:rPr>
                <w:b/>
              </w:rPr>
            </w:pPr>
          </w:p>
        </w:tc>
        <w:tc>
          <w:tcPr>
            <w:tcW w:w="2582" w:type="dxa"/>
          </w:tcPr>
          <w:p w:rsidR="003400A3" w:rsidRPr="0092119B" w:rsidRDefault="003400A3" w:rsidP="0092119B">
            <w:pPr>
              <w:pStyle w:val="NoSpacing"/>
              <w:jc w:val="center"/>
              <w:rPr>
                <w:b/>
              </w:rPr>
            </w:pPr>
            <w:r w:rsidRPr="0092119B">
              <w:rPr>
                <w:b/>
              </w:rPr>
              <w:t>FY2007</w:t>
            </w:r>
          </w:p>
        </w:tc>
        <w:tc>
          <w:tcPr>
            <w:tcW w:w="3844" w:type="dxa"/>
          </w:tcPr>
          <w:p w:rsidR="003400A3" w:rsidRPr="0092119B" w:rsidRDefault="003400A3" w:rsidP="0092119B">
            <w:pPr>
              <w:pStyle w:val="NoSpacing"/>
              <w:jc w:val="center"/>
              <w:rPr>
                <w:b/>
              </w:rPr>
            </w:pPr>
            <w:r w:rsidRPr="0092119B">
              <w:rPr>
                <w:b/>
              </w:rPr>
              <w:t>FY2008</w:t>
            </w:r>
          </w:p>
        </w:tc>
      </w:tr>
      <w:tr w:rsidR="003400A3" w:rsidRPr="009164FC" w:rsidTr="00897845">
        <w:trPr>
          <w:jc w:val="center"/>
        </w:trPr>
        <w:tc>
          <w:tcPr>
            <w:tcW w:w="460" w:type="dxa"/>
          </w:tcPr>
          <w:p w:rsidR="003400A3" w:rsidRPr="009164FC" w:rsidRDefault="003400A3" w:rsidP="0092119B">
            <w:pPr>
              <w:pStyle w:val="NoSpacing"/>
            </w:pPr>
            <w:r w:rsidRPr="009164FC">
              <w:t>1</w:t>
            </w:r>
          </w:p>
        </w:tc>
        <w:tc>
          <w:tcPr>
            <w:tcW w:w="2582" w:type="dxa"/>
          </w:tcPr>
          <w:p w:rsidR="003400A3" w:rsidRPr="009164FC" w:rsidRDefault="003400A3" w:rsidP="0092119B">
            <w:pPr>
              <w:pStyle w:val="NoSpacing"/>
            </w:pPr>
            <w:r w:rsidRPr="009164FC">
              <w:t>Biology</w:t>
            </w:r>
          </w:p>
        </w:tc>
        <w:tc>
          <w:tcPr>
            <w:tcW w:w="3844" w:type="dxa"/>
          </w:tcPr>
          <w:p w:rsidR="003400A3" w:rsidRPr="00834BB3" w:rsidRDefault="003400A3" w:rsidP="0092119B">
            <w:pPr>
              <w:pStyle w:val="NoSpacing"/>
            </w:pPr>
            <w:r w:rsidRPr="00834BB3">
              <w:t>Biology</w:t>
            </w:r>
          </w:p>
        </w:tc>
      </w:tr>
      <w:tr w:rsidR="003400A3" w:rsidRPr="009164FC" w:rsidTr="00897845">
        <w:trPr>
          <w:jc w:val="center"/>
        </w:trPr>
        <w:tc>
          <w:tcPr>
            <w:tcW w:w="460" w:type="dxa"/>
          </w:tcPr>
          <w:p w:rsidR="003400A3" w:rsidRPr="009164FC" w:rsidRDefault="003400A3" w:rsidP="0092119B">
            <w:pPr>
              <w:pStyle w:val="NoSpacing"/>
            </w:pPr>
            <w:r w:rsidRPr="009164FC">
              <w:t>2</w:t>
            </w:r>
          </w:p>
        </w:tc>
        <w:tc>
          <w:tcPr>
            <w:tcW w:w="2582" w:type="dxa"/>
          </w:tcPr>
          <w:p w:rsidR="003400A3" w:rsidRPr="009164FC" w:rsidRDefault="003400A3" w:rsidP="0092119B">
            <w:pPr>
              <w:pStyle w:val="NoSpacing"/>
            </w:pPr>
            <w:r w:rsidRPr="009164FC">
              <w:t>English Literature</w:t>
            </w:r>
          </w:p>
        </w:tc>
        <w:tc>
          <w:tcPr>
            <w:tcW w:w="3844" w:type="dxa"/>
          </w:tcPr>
          <w:p w:rsidR="003400A3" w:rsidRPr="00834BB3" w:rsidRDefault="003400A3" w:rsidP="0092119B">
            <w:pPr>
              <w:pStyle w:val="NoSpacing"/>
            </w:pPr>
            <w:r w:rsidRPr="00834BB3">
              <w:t xml:space="preserve">English Literature </w:t>
            </w:r>
          </w:p>
        </w:tc>
      </w:tr>
      <w:tr w:rsidR="003400A3" w:rsidRPr="009164FC" w:rsidTr="00897845">
        <w:trPr>
          <w:jc w:val="center"/>
        </w:trPr>
        <w:tc>
          <w:tcPr>
            <w:tcW w:w="460" w:type="dxa"/>
          </w:tcPr>
          <w:p w:rsidR="003400A3" w:rsidRPr="009164FC" w:rsidRDefault="003400A3" w:rsidP="0092119B">
            <w:pPr>
              <w:pStyle w:val="NoSpacing"/>
            </w:pPr>
            <w:r w:rsidRPr="009164FC">
              <w:t>3</w:t>
            </w:r>
          </w:p>
        </w:tc>
        <w:tc>
          <w:tcPr>
            <w:tcW w:w="2582" w:type="dxa"/>
          </w:tcPr>
          <w:p w:rsidR="003400A3" w:rsidRPr="009164FC" w:rsidRDefault="003400A3" w:rsidP="0092119B">
            <w:pPr>
              <w:pStyle w:val="NoSpacing"/>
            </w:pPr>
            <w:r w:rsidRPr="009164FC">
              <w:t>History</w:t>
            </w:r>
          </w:p>
        </w:tc>
        <w:tc>
          <w:tcPr>
            <w:tcW w:w="3844" w:type="dxa"/>
          </w:tcPr>
          <w:p w:rsidR="003400A3" w:rsidRPr="00834BB3" w:rsidRDefault="003400A3" w:rsidP="0092119B">
            <w:pPr>
              <w:pStyle w:val="NoSpacing"/>
            </w:pPr>
            <w:r w:rsidRPr="00834BB3">
              <w:t>History</w:t>
            </w:r>
          </w:p>
        </w:tc>
      </w:tr>
      <w:tr w:rsidR="003400A3" w:rsidRPr="009164FC" w:rsidTr="00897845">
        <w:trPr>
          <w:jc w:val="center"/>
        </w:trPr>
        <w:tc>
          <w:tcPr>
            <w:tcW w:w="460" w:type="dxa"/>
          </w:tcPr>
          <w:p w:rsidR="003400A3" w:rsidRPr="009164FC" w:rsidRDefault="003400A3" w:rsidP="0092119B">
            <w:pPr>
              <w:pStyle w:val="NoSpacing"/>
            </w:pPr>
            <w:r w:rsidRPr="009164FC">
              <w:t>4</w:t>
            </w:r>
          </w:p>
        </w:tc>
        <w:tc>
          <w:tcPr>
            <w:tcW w:w="2582" w:type="dxa"/>
          </w:tcPr>
          <w:p w:rsidR="003400A3" w:rsidRPr="009164FC" w:rsidRDefault="003400A3" w:rsidP="0092119B">
            <w:pPr>
              <w:pStyle w:val="NoSpacing"/>
            </w:pPr>
            <w:r w:rsidRPr="009164FC">
              <w:t>Political Science</w:t>
            </w:r>
          </w:p>
        </w:tc>
        <w:tc>
          <w:tcPr>
            <w:tcW w:w="3844" w:type="dxa"/>
          </w:tcPr>
          <w:p w:rsidR="003400A3" w:rsidRPr="00834BB3" w:rsidRDefault="003400A3" w:rsidP="0092119B">
            <w:pPr>
              <w:pStyle w:val="NoSpacing"/>
            </w:pPr>
            <w:r w:rsidRPr="00834BB3">
              <w:t>Political Science</w:t>
            </w:r>
          </w:p>
        </w:tc>
      </w:tr>
      <w:tr w:rsidR="003400A3" w:rsidRPr="009164FC" w:rsidTr="00897845">
        <w:trPr>
          <w:jc w:val="center"/>
        </w:trPr>
        <w:tc>
          <w:tcPr>
            <w:tcW w:w="460" w:type="dxa"/>
          </w:tcPr>
          <w:p w:rsidR="003400A3" w:rsidRPr="009164FC" w:rsidRDefault="003400A3" w:rsidP="0092119B">
            <w:pPr>
              <w:pStyle w:val="NoSpacing"/>
            </w:pPr>
            <w:r w:rsidRPr="009164FC">
              <w:t>5</w:t>
            </w:r>
          </w:p>
        </w:tc>
        <w:tc>
          <w:tcPr>
            <w:tcW w:w="2582" w:type="dxa"/>
          </w:tcPr>
          <w:p w:rsidR="003400A3" w:rsidRPr="009164FC" w:rsidRDefault="003400A3" w:rsidP="0092119B">
            <w:pPr>
              <w:pStyle w:val="NoSpacing"/>
            </w:pPr>
            <w:r w:rsidRPr="009164FC">
              <w:t>Mathematical Sciences</w:t>
            </w:r>
          </w:p>
        </w:tc>
        <w:tc>
          <w:tcPr>
            <w:tcW w:w="3844" w:type="dxa"/>
          </w:tcPr>
          <w:p w:rsidR="003400A3" w:rsidRPr="00834BB3" w:rsidRDefault="003400A3" w:rsidP="0092119B">
            <w:pPr>
              <w:pStyle w:val="NoSpacing"/>
            </w:pPr>
            <w:r w:rsidRPr="00834BB3">
              <w:t>Forestry and Mathematical Science</w:t>
            </w:r>
          </w:p>
        </w:tc>
      </w:tr>
    </w:tbl>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The 5 areas measured by fund code with the lowest acquisition of serials from FY07-FY08</w:t>
      </w:r>
      <w:r>
        <w:rPr>
          <w:rFonts w:ascii="Calibri" w:hAnsi="Calibri"/>
        </w:rPr>
        <w:t xml:space="preserve"> </w:t>
      </w:r>
      <w:r w:rsidRPr="009164FC">
        <w:rPr>
          <w:rFonts w:ascii="Calibri" w:hAnsi="Calibri"/>
        </w:rPr>
        <w:t>were: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0"/>
        <w:gridCol w:w="2783"/>
        <w:gridCol w:w="3951"/>
      </w:tblGrid>
      <w:tr w:rsidR="003400A3" w:rsidRPr="0092119B" w:rsidTr="00897845">
        <w:trPr>
          <w:jc w:val="center"/>
        </w:trPr>
        <w:tc>
          <w:tcPr>
            <w:tcW w:w="460" w:type="dxa"/>
          </w:tcPr>
          <w:p w:rsidR="003400A3" w:rsidRPr="0092119B" w:rsidRDefault="003400A3" w:rsidP="0092119B">
            <w:pPr>
              <w:pStyle w:val="NoSpacing"/>
              <w:jc w:val="center"/>
              <w:rPr>
                <w:b/>
              </w:rPr>
            </w:pPr>
          </w:p>
        </w:tc>
        <w:tc>
          <w:tcPr>
            <w:tcW w:w="2783" w:type="dxa"/>
          </w:tcPr>
          <w:p w:rsidR="003400A3" w:rsidRPr="0092119B" w:rsidRDefault="003400A3" w:rsidP="0092119B">
            <w:pPr>
              <w:pStyle w:val="NoSpacing"/>
              <w:jc w:val="center"/>
              <w:rPr>
                <w:b/>
              </w:rPr>
            </w:pPr>
            <w:r w:rsidRPr="0092119B">
              <w:rPr>
                <w:b/>
              </w:rPr>
              <w:t>FY2007</w:t>
            </w:r>
          </w:p>
        </w:tc>
        <w:tc>
          <w:tcPr>
            <w:tcW w:w="3951" w:type="dxa"/>
          </w:tcPr>
          <w:p w:rsidR="003400A3" w:rsidRPr="0092119B" w:rsidRDefault="003400A3" w:rsidP="0092119B">
            <w:pPr>
              <w:pStyle w:val="NoSpacing"/>
              <w:jc w:val="center"/>
              <w:rPr>
                <w:b/>
              </w:rPr>
            </w:pPr>
            <w:r w:rsidRPr="0092119B">
              <w:rPr>
                <w:b/>
              </w:rPr>
              <w:t>FY2008</w:t>
            </w:r>
          </w:p>
        </w:tc>
      </w:tr>
      <w:tr w:rsidR="003400A3" w:rsidRPr="009164FC" w:rsidTr="00897845">
        <w:trPr>
          <w:jc w:val="center"/>
        </w:trPr>
        <w:tc>
          <w:tcPr>
            <w:tcW w:w="460" w:type="dxa"/>
          </w:tcPr>
          <w:p w:rsidR="003400A3" w:rsidRPr="009164FC" w:rsidRDefault="003400A3" w:rsidP="0092119B">
            <w:pPr>
              <w:pStyle w:val="NoSpacing"/>
            </w:pPr>
            <w:r w:rsidRPr="009164FC">
              <w:t>1</w:t>
            </w:r>
          </w:p>
        </w:tc>
        <w:tc>
          <w:tcPr>
            <w:tcW w:w="2783" w:type="dxa"/>
          </w:tcPr>
          <w:p w:rsidR="003400A3" w:rsidRPr="009164FC" w:rsidRDefault="003400A3" w:rsidP="0092119B">
            <w:pPr>
              <w:pStyle w:val="NoSpacing"/>
            </w:pPr>
            <w:r w:rsidRPr="009164FC">
              <w:t>Electronic Technology</w:t>
            </w:r>
          </w:p>
        </w:tc>
        <w:tc>
          <w:tcPr>
            <w:tcW w:w="3951" w:type="dxa"/>
          </w:tcPr>
          <w:p w:rsidR="003400A3" w:rsidRPr="001953C4" w:rsidRDefault="003400A3" w:rsidP="0092119B">
            <w:pPr>
              <w:pStyle w:val="NoSpacing"/>
            </w:pPr>
            <w:r>
              <w:t>Information Systems and Technology</w:t>
            </w:r>
          </w:p>
        </w:tc>
      </w:tr>
      <w:tr w:rsidR="003400A3" w:rsidRPr="009164FC" w:rsidTr="00897845">
        <w:trPr>
          <w:jc w:val="center"/>
        </w:trPr>
        <w:tc>
          <w:tcPr>
            <w:tcW w:w="460" w:type="dxa"/>
          </w:tcPr>
          <w:p w:rsidR="003400A3" w:rsidRPr="009164FC" w:rsidRDefault="003400A3" w:rsidP="0092119B">
            <w:pPr>
              <w:pStyle w:val="NoSpacing"/>
            </w:pPr>
            <w:r w:rsidRPr="009164FC">
              <w:t>2</w:t>
            </w:r>
          </w:p>
        </w:tc>
        <w:tc>
          <w:tcPr>
            <w:tcW w:w="2783" w:type="dxa"/>
          </w:tcPr>
          <w:p w:rsidR="003400A3" w:rsidRPr="009164FC" w:rsidRDefault="003400A3" w:rsidP="0092119B">
            <w:pPr>
              <w:pStyle w:val="NoSpacing"/>
            </w:pPr>
            <w:r w:rsidRPr="009164FC">
              <w:t>African American Studies</w:t>
            </w:r>
          </w:p>
        </w:tc>
        <w:tc>
          <w:tcPr>
            <w:tcW w:w="3951" w:type="dxa"/>
          </w:tcPr>
          <w:p w:rsidR="003400A3" w:rsidRPr="001953C4" w:rsidRDefault="003400A3" w:rsidP="0092119B">
            <w:pPr>
              <w:pStyle w:val="NoSpacing"/>
            </w:pPr>
            <w:r>
              <w:t xml:space="preserve">Film Studies </w:t>
            </w:r>
          </w:p>
        </w:tc>
      </w:tr>
      <w:tr w:rsidR="003400A3" w:rsidRPr="009164FC" w:rsidTr="00897845">
        <w:trPr>
          <w:jc w:val="center"/>
        </w:trPr>
        <w:tc>
          <w:tcPr>
            <w:tcW w:w="460" w:type="dxa"/>
          </w:tcPr>
          <w:p w:rsidR="003400A3" w:rsidRPr="009164FC" w:rsidRDefault="003400A3" w:rsidP="0092119B">
            <w:pPr>
              <w:pStyle w:val="NoSpacing"/>
            </w:pPr>
            <w:r w:rsidRPr="009164FC">
              <w:t>3</w:t>
            </w:r>
          </w:p>
        </w:tc>
        <w:tc>
          <w:tcPr>
            <w:tcW w:w="2783" w:type="dxa"/>
          </w:tcPr>
          <w:p w:rsidR="003400A3" w:rsidRPr="009164FC" w:rsidRDefault="003400A3" w:rsidP="0092119B">
            <w:pPr>
              <w:pStyle w:val="NoSpacing"/>
            </w:pPr>
            <w:r w:rsidRPr="009164FC">
              <w:t>Government Documents</w:t>
            </w:r>
          </w:p>
        </w:tc>
        <w:tc>
          <w:tcPr>
            <w:tcW w:w="3951" w:type="dxa"/>
          </w:tcPr>
          <w:p w:rsidR="003400A3" w:rsidRPr="001953C4" w:rsidRDefault="003400A3" w:rsidP="0092119B">
            <w:pPr>
              <w:pStyle w:val="NoSpacing"/>
            </w:pPr>
            <w:r>
              <w:t>Humanities</w:t>
            </w:r>
          </w:p>
        </w:tc>
      </w:tr>
      <w:tr w:rsidR="003400A3" w:rsidRPr="009164FC" w:rsidTr="00897845">
        <w:trPr>
          <w:jc w:val="center"/>
        </w:trPr>
        <w:tc>
          <w:tcPr>
            <w:tcW w:w="460" w:type="dxa"/>
          </w:tcPr>
          <w:p w:rsidR="003400A3" w:rsidRPr="009164FC" w:rsidRDefault="003400A3" w:rsidP="0092119B">
            <w:pPr>
              <w:pStyle w:val="NoSpacing"/>
            </w:pPr>
            <w:r w:rsidRPr="009164FC">
              <w:t>4</w:t>
            </w:r>
          </w:p>
        </w:tc>
        <w:tc>
          <w:tcPr>
            <w:tcW w:w="2783" w:type="dxa"/>
          </w:tcPr>
          <w:p w:rsidR="003400A3" w:rsidRPr="009164FC" w:rsidRDefault="003400A3" w:rsidP="0092119B">
            <w:pPr>
              <w:pStyle w:val="NoSpacing"/>
            </w:pPr>
            <w:r w:rsidRPr="009164FC">
              <w:t>Media Arts</w:t>
            </w:r>
          </w:p>
        </w:tc>
        <w:tc>
          <w:tcPr>
            <w:tcW w:w="3951" w:type="dxa"/>
          </w:tcPr>
          <w:p w:rsidR="003400A3" w:rsidRPr="001953C4" w:rsidRDefault="003400A3" w:rsidP="0092119B">
            <w:pPr>
              <w:pStyle w:val="NoSpacing"/>
            </w:pPr>
            <w:r w:rsidRPr="001953C4">
              <w:t>African American Studies</w:t>
            </w:r>
          </w:p>
        </w:tc>
      </w:tr>
      <w:tr w:rsidR="003400A3" w:rsidRPr="009164FC" w:rsidTr="00897845">
        <w:trPr>
          <w:jc w:val="center"/>
        </w:trPr>
        <w:tc>
          <w:tcPr>
            <w:tcW w:w="460" w:type="dxa"/>
          </w:tcPr>
          <w:p w:rsidR="003400A3" w:rsidRPr="009164FC" w:rsidRDefault="003400A3" w:rsidP="0092119B">
            <w:pPr>
              <w:pStyle w:val="NoSpacing"/>
            </w:pPr>
            <w:r w:rsidRPr="009164FC">
              <w:t>5</w:t>
            </w:r>
          </w:p>
        </w:tc>
        <w:tc>
          <w:tcPr>
            <w:tcW w:w="2783" w:type="dxa"/>
          </w:tcPr>
          <w:p w:rsidR="003400A3" w:rsidRPr="009164FC" w:rsidRDefault="003400A3" w:rsidP="0092119B">
            <w:pPr>
              <w:pStyle w:val="NoSpacing"/>
            </w:pPr>
            <w:r w:rsidRPr="009164FC">
              <w:t>Women’s Studies</w:t>
            </w:r>
          </w:p>
        </w:tc>
        <w:tc>
          <w:tcPr>
            <w:tcW w:w="3951" w:type="dxa"/>
          </w:tcPr>
          <w:p w:rsidR="003400A3" w:rsidRPr="001953C4" w:rsidRDefault="003400A3" w:rsidP="0092119B">
            <w:pPr>
              <w:pStyle w:val="NoSpacing"/>
            </w:pPr>
            <w:r w:rsidRPr="001953C4">
              <w:t>Latin American Studies</w:t>
            </w:r>
          </w:p>
        </w:tc>
      </w:tr>
    </w:tbl>
    <w:p w:rsidR="003400A3" w:rsidRPr="009164FC" w:rsidRDefault="003400A3" w:rsidP="003400A3">
      <w:pPr>
        <w:rPr>
          <w:rFonts w:ascii="Calibri" w:hAnsi="Calibri"/>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3400A3" w:rsidRDefault="003400A3" w:rsidP="003400A3">
      <w:pPr>
        <w:tabs>
          <w:tab w:val="left" w:pos="0"/>
        </w:tabs>
        <w:rPr>
          <w:rFonts w:ascii="Calibri" w:hAnsi="Calibri"/>
          <w:b/>
          <w:i/>
          <w:szCs w:val="28"/>
        </w:rPr>
      </w:pPr>
    </w:p>
    <w:p w:rsidR="0092119B" w:rsidRDefault="0092119B" w:rsidP="003400A3">
      <w:pPr>
        <w:tabs>
          <w:tab w:val="left" w:pos="0"/>
        </w:tabs>
        <w:rPr>
          <w:rFonts w:ascii="Calibri" w:hAnsi="Calibri"/>
          <w:b/>
          <w:i/>
          <w:szCs w:val="28"/>
        </w:rPr>
      </w:pPr>
    </w:p>
    <w:p w:rsidR="0092119B" w:rsidRDefault="0092119B" w:rsidP="003400A3">
      <w:pPr>
        <w:tabs>
          <w:tab w:val="left" w:pos="0"/>
        </w:tabs>
        <w:rPr>
          <w:rFonts w:ascii="Calibri" w:hAnsi="Calibri"/>
          <w:b/>
          <w:i/>
          <w:szCs w:val="28"/>
        </w:rPr>
      </w:pPr>
    </w:p>
    <w:p w:rsidR="0092119B" w:rsidRDefault="0092119B" w:rsidP="003400A3">
      <w:pPr>
        <w:tabs>
          <w:tab w:val="left" w:pos="0"/>
        </w:tabs>
        <w:rPr>
          <w:rFonts w:ascii="Calibri" w:hAnsi="Calibri"/>
          <w:b/>
          <w:i/>
          <w:szCs w:val="28"/>
        </w:rPr>
      </w:pPr>
    </w:p>
    <w:p w:rsidR="0092119B" w:rsidRDefault="0092119B" w:rsidP="003400A3">
      <w:pPr>
        <w:tabs>
          <w:tab w:val="left" w:pos="0"/>
        </w:tabs>
        <w:rPr>
          <w:rFonts w:ascii="Calibri" w:hAnsi="Calibri"/>
          <w:b/>
          <w:i/>
          <w:szCs w:val="28"/>
        </w:rPr>
      </w:pPr>
    </w:p>
    <w:p w:rsidR="0092119B" w:rsidRDefault="0092119B" w:rsidP="003400A3">
      <w:pPr>
        <w:tabs>
          <w:tab w:val="left" w:pos="0"/>
        </w:tabs>
        <w:rPr>
          <w:rFonts w:ascii="Calibri" w:hAnsi="Calibri"/>
          <w:b/>
          <w:i/>
          <w:szCs w:val="28"/>
        </w:rPr>
      </w:pPr>
    </w:p>
    <w:p w:rsidR="0092119B" w:rsidRDefault="0092119B"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0B4E82" w:rsidRDefault="000B4E82" w:rsidP="003400A3">
      <w:pPr>
        <w:tabs>
          <w:tab w:val="left" w:pos="0"/>
        </w:tabs>
        <w:rPr>
          <w:rFonts w:ascii="Calibri" w:hAnsi="Calibri"/>
          <w:b/>
          <w:i/>
          <w:szCs w:val="28"/>
        </w:rPr>
      </w:pPr>
    </w:p>
    <w:p w:rsidR="003400A3" w:rsidRPr="009164FC" w:rsidRDefault="003400A3" w:rsidP="003400A3">
      <w:pPr>
        <w:tabs>
          <w:tab w:val="left" w:pos="0"/>
        </w:tabs>
        <w:rPr>
          <w:rFonts w:ascii="Calibri" w:hAnsi="Calibri"/>
          <w:b/>
          <w:i/>
          <w:szCs w:val="28"/>
        </w:rPr>
      </w:pPr>
      <w:r w:rsidRPr="009164FC">
        <w:rPr>
          <w:rFonts w:ascii="Calibri" w:hAnsi="Calibri"/>
          <w:b/>
          <w:i/>
          <w:szCs w:val="28"/>
        </w:rPr>
        <w:lastRenderedPageBreak/>
        <w:t>What academic departments request the most/least library instruction?</w:t>
      </w:r>
    </w:p>
    <w:p w:rsidR="000B4E82" w:rsidRDefault="000B4E82" w:rsidP="003400A3">
      <w:pPr>
        <w:rPr>
          <w:rFonts w:ascii="Calibri" w:hAnsi="Calibri"/>
        </w:rPr>
      </w:pPr>
    </w:p>
    <w:p w:rsidR="003400A3" w:rsidRPr="009164FC" w:rsidRDefault="003400A3" w:rsidP="003400A3">
      <w:pPr>
        <w:rPr>
          <w:rFonts w:ascii="Calibri" w:hAnsi="Calibri"/>
        </w:rPr>
      </w:pPr>
      <w:r w:rsidRPr="009164FC">
        <w:rPr>
          <w:rFonts w:ascii="Calibri" w:hAnsi="Calibri"/>
        </w:rPr>
        <w:t>During FY2008 liaison librarians taught or designed instructional components for 445 curriculum-integrated courses, a slight increase from the 437 in FY2007.</w:t>
      </w:r>
    </w:p>
    <w:p w:rsidR="003400A3" w:rsidRPr="009164FC" w:rsidRDefault="003400A3" w:rsidP="00897845">
      <w:pPr>
        <w:numPr>
          <w:ilvl w:val="0"/>
          <w:numId w:val="8"/>
        </w:numPr>
        <w:rPr>
          <w:rFonts w:ascii="Calibri" w:eastAsia="Times New Roman" w:hAnsi="Calibri"/>
          <w:color w:val="000000"/>
          <w:szCs w:val="20"/>
        </w:rPr>
      </w:pPr>
      <w:r w:rsidRPr="009164FC">
        <w:rPr>
          <w:rFonts w:ascii="Calibri" w:hAnsi="Calibri"/>
        </w:rPr>
        <w:t>As shown in Chart 22., instruction was higher in the following colleges or schools for FY08 compared with FY07: Arts and Sciences, College of Technology, Davidson Honors College, Forestry and Conservation, Health Professions and Biomedical Sciences and for the Undergraduate Advising Center.</w:t>
      </w:r>
    </w:p>
    <w:p w:rsidR="003400A3" w:rsidRPr="009164FC" w:rsidRDefault="003400A3" w:rsidP="00897845">
      <w:pPr>
        <w:numPr>
          <w:ilvl w:val="0"/>
          <w:numId w:val="8"/>
        </w:numPr>
        <w:rPr>
          <w:rFonts w:ascii="Calibri" w:eastAsia="Times New Roman" w:hAnsi="Calibri"/>
          <w:color w:val="000000"/>
          <w:szCs w:val="20"/>
        </w:rPr>
      </w:pPr>
      <w:r w:rsidRPr="009164FC">
        <w:rPr>
          <w:rFonts w:ascii="Calibri" w:hAnsi="Calibri"/>
        </w:rPr>
        <w:t xml:space="preserve">The number of instruction sessions provided to each department is evident in Table </w:t>
      </w:r>
      <w:r w:rsidR="00E601B7">
        <w:rPr>
          <w:rFonts w:ascii="Calibri" w:hAnsi="Calibri"/>
        </w:rPr>
        <w:t>2</w:t>
      </w:r>
      <w:r w:rsidRPr="009164FC">
        <w:rPr>
          <w:rFonts w:ascii="Calibri" w:hAnsi="Calibri"/>
        </w:rPr>
        <w:t xml:space="preserve"> on the following page. Overall, the sessions offered were consistent. The fluctuations in certain departments (e.g., Military Science, Music) may be due to varied course offerings from year to year.</w:t>
      </w:r>
    </w:p>
    <w:p w:rsidR="003400A3" w:rsidRPr="009164FC" w:rsidRDefault="003400A3" w:rsidP="003400A3">
      <w:pPr>
        <w:rPr>
          <w:rFonts w:ascii="Calibri" w:eastAsia="Times New Roman" w:hAnsi="Calibri"/>
          <w:color w:val="000000"/>
          <w:szCs w:val="20"/>
        </w:rPr>
      </w:pPr>
    </w:p>
    <w:p w:rsidR="003400A3" w:rsidRPr="009164FC" w:rsidRDefault="00165E59" w:rsidP="003400A3">
      <w:pPr>
        <w:jc w:val="center"/>
        <w:rPr>
          <w:rFonts w:ascii="Calibri" w:hAnsi="Calibri"/>
        </w:rPr>
      </w:pPr>
      <w:r>
        <w:rPr>
          <w:rFonts w:ascii="Calibri" w:hAnsi="Calibri"/>
          <w:noProof/>
        </w:rPr>
        <w:drawing>
          <wp:inline distT="0" distB="0" distL="0" distR="0">
            <wp:extent cx="5485897" cy="3971925"/>
            <wp:effectExtent l="6096" t="0" r="3932" b="0"/>
            <wp:docPr id="2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400A3" w:rsidRDefault="003400A3" w:rsidP="003400A3">
      <w:pPr>
        <w:rPr>
          <w:rFonts w:ascii="Calibri" w:hAnsi="Calibri"/>
          <w:highlight w:val="lightGray"/>
        </w:rPr>
      </w:pPr>
    </w:p>
    <w:p w:rsidR="003400A3" w:rsidRDefault="003400A3" w:rsidP="003400A3">
      <w:pPr>
        <w:rPr>
          <w:rFonts w:ascii="Calibri" w:hAnsi="Calibri"/>
        </w:rPr>
      </w:pPr>
    </w:p>
    <w:p w:rsidR="003400A3" w:rsidRDefault="003400A3" w:rsidP="003400A3">
      <w:pPr>
        <w:rPr>
          <w:rFonts w:ascii="Calibri" w:hAnsi="Calibri"/>
        </w:rPr>
      </w:pPr>
    </w:p>
    <w:p w:rsidR="003400A3" w:rsidRDefault="003400A3" w:rsidP="003400A3">
      <w:pPr>
        <w:rPr>
          <w:rFonts w:ascii="Calibri" w:hAnsi="Calibri"/>
        </w:rPr>
      </w:pPr>
    </w:p>
    <w:p w:rsidR="003400A3" w:rsidRDefault="003400A3" w:rsidP="003400A3">
      <w:pPr>
        <w:rPr>
          <w:rFonts w:ascii="Calibri" w:hAnsi="Calibri"/>
        </w:rPr>
      </w:pPr>
    </w:p>
    <w:p w:rsidR="000B4E82" w:rsidRDefault="000B4E82" w:rsidP="003400A3"/>
    <w:p w:rsidR="000B4E82" w:rsidRDefault="000B4E82" w:rsidP="003400A3"/>
    <w:p w:rsidR="000B4E82" w:rsidRDefault="000B4E82" w:rsidP="003400A3"/>
    <w:p w:rsidR="000B4E82" w:rsidRDefault="000B4E82" w:rsidP="003400A3"/>
    <w:p w:rsidR="000B4E82" w:rsidRDefault="000B4E82" w:rsidP="003400A3"/>
    <w:p w:rsidR="000B4E82" w:rsidRDefault="000B4E82" w:rsidP="003400A3"/>
    <w:p w:rsidR="000B4E82" w:rsidRDefault="000B4E82" w:rsidP="003400A3"/>
    <w:p w:rsidR="003400A3" w:rsidRDefault="003400A3" w:rsidP="003400A3">
      <w:r>
        <w:lastRenderedPageBreak/>
        <w:t>Table 2</w:t>
      </w:r>
      <w:r w:rsidRPr="00BA759E">
        <w:t>. Instruction by University College or School and Department, FY2007 &amp; FY2008</w:t>
      </w:r>
      <w:r>
        <w:t>.</w:t>
      </w:r>
    </w:p>
    <w:p w:rsidR="000B4E82" w:rsidRDefault="000B4E82" w:rsidP="003400A3"/>
    <w:tbl>
      <w:tblPr>
        <w:tblW w:w="7420" w:type="dxa"/>
        <w:jc w:val="center"/>
        <w:tblInd w:w="103" w:type="dxa"/>
        <w:tblLook w:val="04A0"/>
      </w:tblPr>
      <w:tblGrid>
        <w:gridCol w:w="4900"/>
        <w:gridCol w:w="1260"/>
        <w:gridCol w:w="1260"/>
      </w:tblGrid>
      <w:tr w:rsidR="003400A3" w:rsidRPr="00383DAC" w:rsidTr="00897845">
        <w:trPr>
          <w:trHeight w:val="315"/>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noWrap/>
            <w:hideMark/>
          </w:tcPr>
          <w:p w:rsidR="003400A3" w:rsidRPr="0092119B" w:rsidRDefault="003400A3" w:rsidP="0092119B">
            <w:pPr>
              <w:pStyle w:val="NoSpacing"/>
              <w:rPr>
                <w:b/>
              </w:rPr>
            </w:pPr>
            <w:r w:rsidRPr="0092119B">
              <w:rPr>
                <w:b/>
              </w:rPr>
              <w:t>College or School, Department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400A3" w:rsidRPr="0092119B" w:rsidRDefault="003400A3" w:rsidP="0092119B">
            <w:pPr>
              <w:pStyle w:val="NoSpacing"/>
              <w:jc w:val="center"/>
              <w:rPr>
                <w:b/>
              </w:rPr>
            </w:pPr>
            <w:r w:rsidRPr="0092119B">
              <w:rPr>
                <w:b/>
              </w:rPr>
              <w:t>FY07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400A3" w:rsidRPr="0092119B" w:rsidRDefault="003400A3" w:rsidP="0092119B">
            <w:pPr>
              <w:pStyle w:val="NoSpacing"/>
              <w:jc w:val="center"/>
              <w:rPr>
                <w:b/>
              </w:rPr>
            </w:pPr>
            <w:r w:rsidRPr="0092119B">
              <w:rPr>
                <w:b/>
              </w:rPr>
              <w:t>FY08</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Arts and Sciences, College of</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245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256</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Anthropology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10</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11</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Biology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8</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12</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Chemistry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Communication Studies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37</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42</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Economics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English</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90</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97</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Environmental Studies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22</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28</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Geography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7</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7</w:t>
            </w:r>
          </w:p>
        </w:tc>
      </w:tr>
      <w:tr w:rsidR="003400A3" w:rsidRPr="00383DAC" w:rsidTr="00897845">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History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17</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Linguistics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Military Science Leadership</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13</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0</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 xml:space="preserve">Modern &amp; Classical Languages &amp; Literatures </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Native American Studies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16</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Political Science</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Psychology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Religious Studies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0</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Sociology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6</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Business Administration, School of</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8</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Accounting and Finance</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7</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0</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Management and Marketing</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 xml:space="preserve">College of Technology </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14</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21</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Continuing Education</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Davidson Honors College</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8</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Education, School of</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37</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Counselor Education</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Curriculum &amp; Instruction</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32</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33</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Educational Leadership</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Health and Human Performance</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 xml:space="preserve">Intercultural Youth &amp; Family Development </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0</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Fine Arts, School of</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15</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Art</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13</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7</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Drama/Dance</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8</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Media Arts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0</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Music</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14</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Forestry &amp; Conservation, College of</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10</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Forestry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0</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Wildlife Biology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7</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 xml:space="preserve">Health Professions and Biomedical Sciences, College of </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8</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10</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lastRenderedPageBreak/>
              <w:t>Pharmacy</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Physical Therapy and Rehabilitation Science</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1</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Social Work</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6</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6</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Journalism, School of</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Journalism</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4</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Office of Student Success</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39</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54</w:t>
            </w:r>
          </w:p>
        </w:tc>
      </w:tr>
      <w:tr w:rsidR="003400A3" w:rsidRPr="00383DAC" w:rsidTr="00897845">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400A3" w:rsidRPr="00383DAC" w:rsidRDefault="003400A3" w:rsidP="0092119B">
            <w:pPr>
              <w:pStyle w:val="NoSpacing"/>
            </w:pPr>
            <w:r w:rsidRPr="00383DAC">
              <w:t>Other</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25</w:t>
            </w:r>
          </w:p>
        </w:tc>
        <w:tc>
          <w:tcPr>
            <w:tcW w:w="1260" w:type="dxa"/>
            <w:tcBorders>
              <w:top w:val="nil"/>
              <w:left w:val="nil"/>
              <w:bottom w:val="single" w:sz="4" w:space="0" w:color="auto"/>
              <w:right w:val="single" w:sz="4" w:space="0" w:color="auto"/>
            </w:tcBorders>
            <w:shd w:val="clear" w:color="auto" w:fill="auto"/>
            <w:noWrap/>
            <w:vAlign w:val="bottom"/>
            <w:hideMark/>
          </w:tcPr>
          <w:p w:rsidR="003400A3" w:rsidRPr="00383DAC" w:rsidRDefault="003400A3" w:rsidP="0092119B">
            <w:pPr>
              <w:pStyle w:val="NoSpacing"/>
              <w:jc w:val="right"/>
            </w:pPr>
            <w:r w:rsidRPr="00383DAC">
              <w:t>24</w:t>
            </w:r>
          </w:p>
        </w:tc>
      </w:tr>
    </w:tbl>
    <w:p w:rsidR="003400A3" w:rsidRPr="0083727F" w:rsidRDefault="003400A3" w:rsidP="003400A3">
      <w:pPr>
        <w:jc w:val="center"/>
        <w:rPr>
          <w:b/>
          <w:sz w:val="28"/>
          <w:szCs w:val="28"/>
        </w:rPr>
      </w:pPr>
      <w:r w:rsidRPr="009164FC">
        <w:rPr>
          <w:highlight w:val="lightGray"/>
        </w:rPr>
        <w:br w:type="page"/>
      </w:r>
      <w:r w:rsidRPr="0083727F">
        <w:rPr>
          <w:b/>
          <w:sz w:val="28"/>
          <w:szCs w:val="28"/>
        </w:rPr>
        <w:lastRenderedPageBreak/>
        <w:t>Section III. Institutional Data</w:t>
      </w:r>
    </w:p>
    <w:p w:rsidR="003400A3" w:rsidRPr="009164FC" w:rsidRDefault="003400A3" w:rsidP="003400A3">
      <w:pPr>
        <w:rPr>
          <w:rFonts w:ascii="Calibri" w:hAnsi="Calibri"/>
          <w:b/>
        </w:rPr>
      </w:pPr>
      <w:r w:rsidRPr="009164FC">
        <w:rPr>
          <w:rFonts w:ascii="Calibri" w:hAnsi="Calibri"/>
          <w:b/>
        </w:rPr>
        <w:t>Enrollment</w:t>
      </w:r>
    </w:p>
    <w:p w:rsidR="000B4E82" w:rsidRDefault="000B4E82" w:rsidP="003400A3">
      <w:pPr>
        <w:rPr>
          <w:rFonts w:ascii="Calibri" w:hAnsi="Calibri"/>
          <w:b/>
        </w:rPr>
      </w:pPr>
    </w:p>
    <w:p w:rsidR="003400A3" w:rsidRPr="009109FE" w:rsidRDefault="003400A3" w:rsidP="003400A3">
      <w:pPr>
        <w:rPr>
          <w:rFonts w:ascii="Calibri" w:hAnsi="Calibri"/>
          <w:b/>
        </w:rPr>
      </w:pPr>
      <w:r w:rsidRPr="009109FE">
        <w:rPr>
          <w:rFonts w:ascii="Calibri" w:hAnsi="Calibri"/>
          <w:b/>
        </w:rPr>
        <w:t>Fall 2007 and 2008</w:t>
      </w:r>
    </w:p>
    <w:p w:rsidR="003400A3" w:rsidRPr="009109FE" w:rsidRDefault="003400A3" w:rsidP="003400A3">
      <w:pPr>
        <w:rPr>
          <w:rFonts w:ascii="Calibri" w:hAnsi="Calibri"/>
        </w:rPr>
      </w:pPr>
      <w:r w:rsidRPr="009109FE">
        <w:rPr>
          <w:rFonts w:ascii="Calibri" w:hAnsi="Calibri"/>
        </w:rPr>
        <w:t>Full time undergraduate students by student level (2007-2008 Data Digest, p. 9; 2008-2009 Data Digest, p. 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187"/>
        <w:gridCol w:w="2187"/>
      </w:tblGrid>
      <w:tr w:rsidR="003400A3" w:rsidRPr="0092119B" w:rsidTr="00F01230">
        <w:trPr>
          <w:jc w:val="center"/>
        </w:trPr>
        <w:tc>
          <w:tcPr>
            <w:tcW w:w="2846" w:type="pct"/>
          </w:tcPr>
          <w:p w:rsidR="003400A3" w:rsidRPr="0092119B" w:rsidRDefault="003400A3" w:rsidP="0092119B">
            <w:pPr>
              <w:pStyle w:val="NoSpacing"/>
              <w:rPr>
                <w:b/>
              </w:rPr>
            </w:pPr>
            <w:r w:rsidRPr="0092119B">
              <w:rPr>
                <w:b/>
              </w:rPr>
              <w:t>Undergraduate Student Level</w:t>
            </w:r>
          </w:p>
        </w:tc>
        <w:tc>
          <w:tcPr>
            <w:tcW w:w="1077" w:type="pct"/>
          </w:tcPr>
          <w:p w:rsidR="003400A3" w:rsidRPr="0092119B" w:rsidRDefault="003400A3" w:rsidP="0092119B">
            <w:pPr>
              <w:pStyle w:val="NoSpacing"/>
              <w:jc w:val="center"/>
              <w:rPr>
                <w:b/>
              </w:rPr>
            </w:pPr>
            <w:r w:rsidRPr="0092119B">
              <w:rPr>
                <w:b/>
              </w:rPr>
              <w:t>Fall 2007</w:t>
            </w:r>
          </w:p>
        </w:tc>
        <w:tc>
          <w:tcPr>
            <w:tcW w:w="1077" w:type="pct"/>
          </w:tcPr>
          <w:p w:rsidR="003400A3" w:rsidRPr="0092119B" w:rsidRDefault="003400A3" w:rsidP="0092119B">
            <w:pPr>
              <w:pStyle w:val="NoSpacing"/>
              <w:jc w:val="center"/>
              <w:rPr>
                <w:b/>
              </w:rPr>
            </w:pPr>
            <w:r w:rsidRPr="0092119B">
              <w:rPr>
                <w:b/>
              </w:rPr>
              <w:t>Fall 2008</w:t>
            </w:r>
          </w:p>
        </w:tc>
      </w:tr>
      <w:tr w:rsidR="003400A3" w:rsidRPr="00602E9A" w:rsidTr="00F01230">
        <w:trPr>
          <w:jc w:val="center"/>
        </w:trPr>
        <w:tc>
          <w:tcPr>
            <w:tcW w:w="2846" w:type="pct"/>
          </w:tcPr>
          <w:p w:rsidR="003400A3" w:rsidRPr="00602E9A" w:rsidRDefault="003400A3" w:rsidP="0092119B">
            <w:pPr>
              <w:pStyle w:val="NoSpacing"/>
            </w:pPr>
            <w:r w:rsidRPr="00602E9A">
              <w:t>Freshman</w:t>
            </w:r>
          </w:p>
        </w:tc>
        <w:tc>
          <w:tcPr>
            <w:tcW w:w="1077" w:type="pct"/>
          </w:tcPr>
          <w:p w:rsidR="003400A3" w:rsidRPr="00602E9A" w:rsidRDefault="003400A3" w:rsidP="0092119B">
            <w:pPr>
              <w:pStyle w:val="NoSpacing"/>
              <w:jc w:val="center"/>
            </w:pPr>
            <w:r w:rsidRPr="00602E9A">
              <w:t>92%</w:t>
            </w:r>
          </w:p>
        </w:tc>
        <w:tc>
          <w:tcPr>
            <w:tcW w:w="1077" w:type="pct"/>
          </w:tcPr>
          <w:p w:rsidR="003400A3" w:rsidRPr="00602E9A" w:rsidRDefault="003400A3" w:rsidP="0092119B">
            <w:pPr>
              <w:pStyle w:val="NoSpacing"/>
              <w:jc w:val="center"/>
            </w:pPr>
            <w:r w:rsidRPr="00602E9A">
              <w:t>92%</w:t>
            </w:r>
          </w:p>
        </w:tc>
      </w:tr>
      <w:tr w:rsidR="003400A3" w:rsidRPr="00602E9A" w:rsidTr="00F01230">
        <w:trPr>
          <w:jc w:val="center"/>
        </w:trPr>
        <w:tc>
          <w:tcPr>
            <w:tcW w:w="2846" w:type="pct"/>
          </w:tcPr>
          <w:p w:rsidR="003400A3" w:rsidRPr="00602E9A" w:rsidRDefault="003400A3" w:rsidP="0092119B">
            <w:pPr>
              <w:pStyle w:val="NoSpacing"/>
            </w:pPr>
            <w:r w:rsidRPr="00602E9A">
              <w:t>Sophomore</w:t>
            </w:r>
          </w:p>
        </w:tc>
        <w:tc>
          <w:tcPr>
            <w:tcW w:w="1077" w:type="pct"/>
          </w:tcPr>
          <w:p w:rsidR="003400A3" w:rsidRPr="00602E9A" w:rsidRDefault="003400A3" w:rsidP="0092119B">
            <w:pPr>
              <w:pStyle w:val="NoSpacing"/>
              <w:jc w:val="center"/>
            </w:pPr>
            <w:r w:rsidRPr="00602E9A">
              <w:t>91%</w:t>
            </w:r>
          </w:p>
        </w:tc>
        <w:tc>
          <w:tcPr>
            <w:tcW w:w="1077" w:type="pct"/>
          </w:tcPr>
          <w:p w:rsidR="003400A3" w:rsidRPr="00602E9A" w:rsidRDefault="003400A3" w:rsidP="0092119B">
            <w:pPr>
              <w:pStyle w:val="NoSpacing"/>
              <w:jc w:val="center"/>
            </w:pPr>
            <w:r w:rsidRPr="00602E9A">
              <w:t>91%</w:t>
            </w:r>
          </w:p>
        </w:tc>
      </w:tr>
      <w:tr w:rsidR="003400A3" w:rsidRPr="00602E9A" w:rsidTr="00F01230">
        <w:trPr>
          <w:jc w:val="center"/>
        </w:trPr>
        <w:tc>
          <w:tcPr>
            <w:tcW w:w="2846" w:type="pct"/>
          </w:tcPr>
          <w:p w:rsidR="003400A3" w:rsidRPr="00602E9A" w:rsidRDefault="003400A3" w:rsidP="0092119B">
            <w:pPr>
              <w:pStyle w:val="NoSpacing"/>
            </w:pPr>
            <w:r w:rsidRPr="00602E9A">
              <w:t>Junior</w:t>
            </w:r>
          </w:p>
        </w:tc>
        <w:tc>
          <w:tcPr>
            <w:tcW w:w="1077" w:type="pct"/>
          </w:tcPr>
          <w:p w:rsidR="003400A3" w:rsidRPr="00602E9A" w:rsidRDefault="003400A3" w:rsidP="0092119B">
            <w:pPr>
              <w:pStyle w:val="NoSpacing"/>
              <w:jc w:val="center"/>
            </w:pPr>
            <w:r w:rsidRPr="00602E9A">
              <w:t>90%</w:t>
            </w:r>
          </w:p>
        </w:tc>
        <w:tc>
          <w:tcPr>
            <w:tcW w:w="1077" w:type="pct"/>
          </w:tcPr>
          <w:p w:rsidR="003400A3" w:rsidRPr="00602E9A" w:rsidRDefault="003400A3" w:rsidP="0092119B">
            <w:pPr>
              <w:pStyle w:val="NoSpacing"/>
              <w:jc w:val="center"/>
            </w:pPr>
            <w:r w:rsidRPr="00602E9A">
              <w:t>89%</w:t>
            </w:r>
          </w:p>
        </w:tc>
      </w:tr>
      <w:tr w:rsidR="003400A3" w:rsidRPr="00602E9A" w:rsidTr="00F01230">
        <w:trPr>
          <w:jc w:val="center"/>
        </w:trPr>
        <w:tc>
          <w:tcPr>
            <w:tcW w:w="2846" w:type="pct"/>
          </w:tcPr>
          <w:p w:rsidR="003400A3" w:rsidRPr="00602E9A" w:rsidRDefault="003400A3" w:rsidP="0092119B">
            <w:pPr>
              <w:pStyle w:val="NoSpacing"/>
            </w:pPr>
            <w:r w:rsidRPr="00602E9A">
              <w:t>Senior</w:t>
            </w:r>
          </w:p>
        </w:tc>
        <w:tc>
          <w:tcPr>
            <w:tcW w:w="1077" w:type="pct"/>
          </w:tcPr>
          <w:p w:rsidR="003400A3" w:rsidRPr="00602E9A" w:rsidRDefault="003400A3" w:rsidP="0092119B">
            <w:pPr>
              <w:pStyle w:val="NoSpacing"/>
              <w:jc w:val="center"/>
            </w:pPr>
            <w:r w:rsidRPr="00602E9A">
              <w:t>84%</w:t>
            </w:r>
          </w:p>
        </w:tc>
        <w:tc>
          <w:tcPr>
            <w:tcW w:w="1077" w:type="pct"/>
          </w:tcPr>
          <w:p w:rsidR="003400A3" w:rsidRPr="00602E9A" w:rsidRDefault="003400A3" w:rsidP="0092119B">
            <w:pPr>
              <w:pStyle w:val="NoSpacing"/>
              <w:jc w:val="center"/>
            </w:pPr>
            <w:r w:rsidRPr="00602E9A">
              <w:t>83%</w:t>
            </w:r>
          </w:p>
        </w:tc>
      </w:tr>
    </w:tbl>
    <w:p w:rsidR="000B4E82" w:rsidRDefault="000B4E82" w:rsidP="003400A3">
      <w:pPr>
        <w:rPr>
          <w:rFonts w:ascii="Calibri" w:hAnsi="Calibri"/>
        </w:rPr>
      </w:pPr>
    </w:p>
    <w:p w:rsidR="003400A3" w:rsidRPr="009109FE" w:rsidRDefault="003400A3" w:rsidP="003400A3">
      <w:pPr>
        <w:rPr>
          <w:rFonts w:ascii="Calibri" w:hAnsi="Calibri"/>
        </w:rPr>
      </w:pPr>
      <w:r w:rsidRPr="009109FE">
        <w:rPr>
          <w:rFonts w:ascii="Calibri" w:hAnsi="Calibri"/>
        </w:rPr>
        <w:t>Part time students by student level (2007-2008 Data Digest, p. 9; 2008-2009 Data Digest, p. 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2"/>
        <w:gridCol w:w="2321"/>
        <w:gridCol w:w="2319"/>
      </w:tblGrid>
      <w:tr w:rsidR="003400A3" w:rsidRPr="0092119B" w:rsidTr="00F01230">
        <w:trPr>
          <w:jc w:val="center"/>
        </w:trPr>
        <w:tc>
          <w:tcPr>
            <w:tcW w:w="2715" w:type="pct"/>
          </w:tcPr>
          <w:p w:rsidR="003400A3" w:rsidRPr="0092119B" w:rsidRDefault="003400A3" w:rsidP="0092119B">
            <w:pPr>
              <w:pStyle w:val="NoSpacing"/>
              <w:rPr>
                <w:b/>
              </w:rPr>
            </w:pPr>
            <w:r w:rsidRPr="0092119B">
              <w:rPr>
                <w:b/>
              </w:rPr>
              <w:t>Student Level</w:t>
            </w:r>
          </w:p>
        </w:tc>
        <w:tc>
          <w:tcPr>
            <w:tcW w:w="1143" w:type="pct"/>
          </w:tcPr>
          <w:p w:rsidR="003400A3" w:rsidRPr="0092119B" w:rsidRDefault="003400A3" w:rsidP="00F01230">
            <w:pPr>
              <w:pStyle w:val="NoSpacing"/>
              <w:jc w:val="center"/>
              <w:rPr>
                <w:b/>
              </w:rPr>
            </w:pPr>
            <w:r w:rsidRPr="0092119B">
              <w:rPr>
                <w:b/>
              </w:rPr>
              <w:t>Fall 2007</w:t>
            </w:r>
          </w:p>
        </w:tc>
        <w:tc>
          <w:tcPr>
            <w:tcW w:w="1143" w:type="pct"/>
          </w:tcPr>
          <w:p w:rsidR="003400A3" w:rsidRPr="0092119B" w:rsidRDefault="003400A3" w:rsidP="00F01230">
            <w:pPr>
              <w:pStyle w:val="NoSpacing"/>
              <w:jc w:val="center"/>
              <w:rPr>
                <w:b/>
              </w:rPr>
            </w:pPr>
            <w:r w:rsidRPr="0092119B">
              <w:rPr>
                <w:b/>
              </w:rPr>
              <w:t>Fall 2008</w:t>
            </w:r>
          </w:p>
        </w:tc>
      </w:tr>
      <w:tr w:rsidR="003400A3" w:rsidRPr="00602E9A" w:rsidTr="00F01230">
        <w:trPr>
          <w:jc w:val="center"/>
        </w:trPr>
        <w:tc>
          <w:tcPr>
            <w:tcW w:w="2715" w:type="pct"/>
          </w:tcPr>
          <w:p w:rsidR="003400A3" w:rsidRPr="00602E9A" w:rsidRDefault="003400A3" w:rsidP="0092119B">
            <w:pPr>
              <w:pStyle w:val="NoSpacing"/>
            </w:pPr>
            <w:r w:rsidRPr="00602E9A">
              <w:t>COT</w:t>
            </w:r>
          </w:p>
        </w:tc>
        <w:tc>
          <w:tcPr>
            <w:tcW w:w="1143" w:type="pct"/>
          </w:tcPr>
          <w:p w:rsidR="003400A3" w:rsidRPr="00602E9A" w:rsidRDefault="003400A3" w:rsidP="00F01230">
            <w:pPr>
              <w:pStyle w:val="NoSpacing"/>
              <w:jc w:val="center"/>
            </w:pPr>
            <w:r w:rsidRPr="00602E9A">
              <w:t>18%</w:t>
            </w:r>
          </w:p>
        </w:tc>
        <w:tc>
          <w:tcPr>
            <w:tcW w:w="1143" w:type="pct"/>
          </w:tcPr>
          <w:p w:rsidR="003400A3" w:rsidRPr="00602E9A" w:rsidRDefault="003400A3" w:rsidP="00F01230">
            <w:pPr>
              <w:pStyle w:val="NoSpacing"/>
              <w:jc w:val="center"/>
            </w:pPr>
            <w:r w:rsidRPr="00602E9A">
              <w:t>18%</w:t>
            </w:r>
          </w:p>
        </w:tc>
      </w:tr>
      <w:tr w:rsidR="003400A3" w:rsidRPr="00602E9A" w:rsidTr="00F01230">
        <w:trPr>
          <w:jc w:val="center"/>
        </w:trPr>
        <w:tc>
          <w:tcPr>
            <w:tcW w:w="2715" w:type="pct"/>
          </w:tcPr>
          <w:p w:rsidR="003400A3" w:rsidRPr="00602E9A" w:rsidRDefault="003400A3" w:rsidP="0092119B">
            <w:pPr>
              <w:pStyle w:val="NoSpacing"/>
            </w:pPr>
            <w:r w:rsidRPr="00602E9A">
              <w:t>Undergraduate</w:t>
            </w:r>
          </w:p>
        </w:tc>
        <w:tc>
          <w:tcPr>
            <w:tcW w:w="1143" w:type="pct"/>
          </w:tcPr>
          <w:p w:rsidR="003400A3" w:rsidRPr="00602E9A" w:rsidRDefault="003400A3" w:rsidP="00F01230">
            <w:pPr>
              <w:pStyle w:val="NoSpacing"/>
              <w:jc w:val="center"/>
            </w:pPr>
            <w:r w:rsidRPr="00602E9A">
              <w:t>58%</w:t>
            </w:r>
          </w:p>
        </w:tc>
        <w:tc>
          <w:tcPr>
            <w:tcW w:w="1143" w:type="pct"/>
          </w:tcPr>
          <w:p w:rsidR="003400A3" w:rsidRPr="00602E9A" w:rsidRDefault="003400A3" w:rsidP="00F01230">
            <w:pPr>
              <w:pStyle w:val="NoSpacing"/>
              <w:jc w:val="center"/>
            </w:pPr>
            <w:r w:rsidRPr="00602E9A">
              <w:t>60%</w:t>
            </w:r>
          </w:p>
        </w:tc>
      </w:tr>
      <w:tr w:rsidR="003400A3" w:rsidRPr="00602E9A" w:rsidTr="00F01230">
        <w:trPr>
          <w:jc w:val="center"/>
        </w:trPr>
        <w:tc>
          <w:tcPr>
            <w:tcW w:w="2715" w:type="pct"/>
          </w:tcPr>
          <w:p w:rsidR="003400A3" w:rsidRPr="00602E9A" w:rsidRDefault="003400A3" w:rsidP="0092119B">
            <w:pPr>
              <w:pStyle w:val="NoSpacing"/>
            </w:pPr>
            <w:r w:rsidRPr="00602E9A">
              <w:t>Masters</w:t>
            </w:r>
          </w:p>
        </w:tc>
        <w:tc>
          <w:tcPr>
            <w:tcW w:w="1143" w:type="pct"/>
          </w:tcPr>
          <w:p w:rsidR="003400A3" w:rsidRPr="00602E9A" w:rsidRDefault="003400A3" w:rsidP="00F01230">
            <w:pPr>
              <w:pStyle w:val="NoSpacing"/>
              <w:jc w:val="center"/>
            </w:pPr>
            <w:r w:rsidRPr="00602E9A">
              <w:t>18%</w:t>
            </w:r>
          </w:p>
        </w:tc>
        <w:tc>
          <w:tcPr>
            <w:tcW w:w="1143" w:type="pct"/>
          </w:tcPr>
          <w:p w:rsidR="003400A3" w:rsidRPr="00602E9A" w:rsidRDefault="003400A3" w:rsidP="00F01230">
            <w:pPr>
              <w:pStyle w:val="NoSpacing"/>
              <w:jc w:val="center"/>
            </w:pPr>
            <w:r w:rsidRPr="00602E9A">
              <w:t>16%</w:t>
            </w:r>
          </w:p>
        </w:tc>
      </w:tr>
      <w:tr w:rsidR="003400A3" w:rsidRPr="00602E9A" w:rsidTr="00F01230">
        <w:trPr>
          <w:jc w:val="center"/>
        </w:trPr>
        <w:tc>
          <w:tcPr>
            <w:tcW w:w="2715" w:type="pct"/>
          </w:tcPr>
          <w:p w:rsidR="003400A3" w:rsidRPr="00602E9A" w:rsidRDefault="003400A3" w:rsidP="0092119B">
            <w:pPr>
              <w:pStyle w:val="NoSpacing"/>
            </w:pPr>
            <w:r w:rsidRPr="00602E9A">
              <w:t>Doctoral</w:t>
            </w:r>
          </w:p>
        </w:tc>
        <w:tc>
          <w:tcPr>
            <w:tcW w:w="1143" w:type="pct"/>
          </w:tcPr>
          <w:p w:rsidR="003400A3" w:rsidRPr="00602E9A" w:rsidRDefault="003400A3" w:rsidP="00F01230">
            <w:pPr>
              <w:pStyle w:val="NoSpacing"/>
              <w:jc w:val="center"/>
            </w:pPr>
            <w:r w:rsidRPr="00602E9A">
              <w:t>6%</w:t>
            </w:r>
          </w:p>
        </w:tc>
        <w:tc>
          <w:tcPr>
            <w:tcW w:w="1143" w:type="pct"/>
          </w:tcPr>
          <w:p w:rsidR="003400A3" w:rsidRPr="00602E9A" w:rsidRDefault="003400A3" w:rsidP="00F01230">
            <w:pPr>
              <w:pStyle w:val="NoSpacing"/>
              <w:jc w:val="center"/>
            </w:pPr>
            <w:r w:rsidRPr="00602E9A">
              <w:t>6%</w:t>
            </w:r>
          </w:p>
        </w:tc>
      </w:tr>
    </w:tbl>
    <w:p w:rsidR="003400A3" w:rsidRPr="009164FC" w:rsidRDefault="003400A3" w:rsidP="003400A3">
      <w:pPr>
        <w:tabs>
          <w:tab w:val="left" w:pos="2520"/>
        </w:tabs>
        <w:rPr>
          <w:rFonts w:ascii="Calibri" w:hAnsi="Calibri"/>
        </w:rPr>
      </w:pPr>
    </w:p>
    <w:p w:rsidR="003400A3" w:rsidRPr="009164FC" w:rsidRDefault="00165E59" w:rsidP="003400A3">
      <w:pPr>
        <w:tabs>
          <w:tab w:val="left" w:pos="2520"/>
        </w:tabs>
        <w:jc w:val="center"/>
        <w:rPr>
          <w:rFonts w:ascii="Calibri" w:hAnsi="Calibri"/>
        </w:rPr>
      </w:pPr>
      <w:r>
        <w:rPr>
          <w:rFonts w:ascii="Calibri" w:hAnsi="Calibri"/>
          <w:noProof/>
        </w:rPr>
        <w:drawing>
          <wp:inline distT="0" distB="0" distL="0" distR="0">
            <wp:extent cx="5610225" cy="4305300"/>
            <wp:effectExtent l="19050" t="19050" r="28575" b="19050"/>
            <wp:docPr id="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srcRect/>
                    <a:stretch>
                      <a:fillRect/>
                    </a:stretch>
                  </pic:blipFill>
                  <pic:spPr bwMode="auto">
                    <a:xfrm>
                      <a:off x="0" y="0"/>
                      <a:ext cx="5610225" cy="4305300"/>
                    </a:xfrm>
                    <a:prstGeom prst="rect">
                      <a:avLst/>
                    </a:prstGeom>
                    <a:noFill/>
                    <a:ln w="6350" cmpd="sng">
                      <a:solidFill>
                        <a:srgbClr val="000000"/>
                      </a:solidFill>
                      <a:miter lim="800000"/>
                      <a:headEnd/>
                      <a:tailEnd/>
                    </a:ln>
                    <a:effectLst/>
                  </pic:spPr>
                </pic:pic>
              </a:graphicData>
            </a:graphic>
          </wp:inline>
        </w:drawing>
      </w:r>
    </w:p>
    <w:p w:rsidR="000B4E82" w:rsidRDefault="000B4E82" w:rsidP="003400A3">
      <w:pPr>
        <w:rPr>
          <w:rFonts w:ascii="Calibri" w:hAnsi="Calibri"/>
          <w:b/>
          <w:sz w:val="22"/>
          <w:szCs w:val="22"/>
        </w:rPr>
      </w:pPr>
    </w:p>
    <w:p w:rsidR="000B4E82" w:rsidRDefault="000B4E82" w:rsidP="003400A3">
      <w:pPr>
        <w:rPr>
          <w:rFonts w:ascii="Calibri" w:hAnsi="Calibri"/>
          <w:b/>
          <w:sz w:val="22"/>
          <w:szCs w:val="22"/>
        </w:rPr>
      </w:pPr>
    </w:p>
    <w:p w:rsidR="000B4E82" w:rsidRDefault="000B4E82" w:rsidP="003400A3">
      <w:pPr>
        <w:rPr>
          <w:rFonts w:ascii="Calibri" w:hAnsi="Calibri"/>
          <w:b/>
          <w:sz w:val="22"/>
          <w:szCs w:val="22"/>
        </w:rPr>
      </w:pPr>
    </w:p>
    <w:p w:rsidR="000B4E82" w:rsidRDefault="000B4E82" w:rsidP="003400A3">
      <w:pPr>
        <w:rPr>
          <w:rFonts w:ascii="Calibri" w:hAnsi="Calibri"/>
          <w:b/>
          <w:sz w:val="22"/>
          <w:szCs w:val="22"/>
        </w:rPr>
      </w:pPr>
    </w:p>
    <w:p w:rsidR="000B4E82" w:rsidRDefault="000B4E82" w:rsidP="003400A3">
      <w:pPr>
        <w:rPr>
          <w:rFonts w:ascii="Calibri" w:hAnsi="Calibri"/>
          <w:b/>
          <w:sz w:val="22"/>
          <w:szCs w:val="22"/>
        </w:rPr>
      </w:pPr>
    </w:p>
    <w:p w:rsidR="003400A3" w:rsidRPr="00B41B14" w:rsidRDefault="003400A3" w:rsidP="003400A3">
      <w:pPr>
        <w:rPr>
          <w:rFonts w:ascii="Calibri" w:hAnsi="Calibri"/>
          <w:b/>
          <w:sz w:val="22"/>
          <w:szCs w:val="22"/>
        </w:rPr>
      </w:pPr>
      <w:r w:rsidRPr="00B41B14">
        <w:rPr>
          <w:rFonts w:ascii="Calibri" w:hAnsi="Calibri"/>
          <w:b/>
          <w:sz w:val="22"/>
          <w:szCs w:val="22"/>
        </w:rPr>
        <w:t>Fall 2007 Trends:</w:t>
      </w:r>
    </w:p>
    <w:p w:rsidR="003400A3" w:rsidRPr="00B41B14" w:rsidRDefault="003400A3" w:rsidP="00897845">
      <w:pPr>
        <w:numPr>
          <w:ilvl w:val="0"/>
          <w:numId w:val="15"/>
        </w:numPr>
        <w:rPr>
          <w:rFonts w:ascii="Calibri" w:hAnsi="Calibri"/>
          <w:sz w:val="22"/>
          <w:szCs w:val="22"/>
        </w:rPr>
      </w:pPr>
      <w:r w:rsidRPr="00B41B14">
        <w:rPr>
          <w:rFonts w:ascii="Calibri" w:hAnsi="Calibri"/>
          <w:sz w:val="22"/>
          <w:szCs w:val="22"/>
        </w:rPr>
        <w:t>Overall enrollment increased 43% for College of Technology students and 3% for doctoral candidates from FY2004 to FY2007 (2007-2008 Data Digest, p. 8).</w:t>
      </w:r>
    </w:p>
    <w:p w:rsidR="003400A3" w:rsidRPr="00B41B14" w:rsidRDefault="003400A3" w:rsidP="00897845">
      <w:pPr>
        <w:numPr>
          <w:ilvl w:val="0"/>
          <w:numId w:val="15"/>
        </w:numPr>
        <w:rPr>
          <w:rFonts w:ascii="Calibri" w:hAnsi="Calibri"/>
          <w:sz w:val="22"/>
          <w:szCs w:val="22"/>
        </w:rPr>
      </w:pPr>
      <w:r w:rsidRPr="00B41B14">
        <w:rPr>
          <w:rFonts w:ascii="Calibri" w:hAnsi="Calibri"/>
          <w:sz w:val="22"/>
          <w:szCs w:val="22"/>
        </w:rPr>
        <w:t>Overall enrollment decreased 1% for undergraduate students, 1% for graduate students and 4% for masters candidates FY2004 to FY2007 (2007-2008 Data Digest, p. 8).</w:t>
      </w:r>
    </w:p>
    <w:p w:rsidR="003400A3" w:rsidRPr="00B41B14" w:rsidRDefault="003400A3" w:rsidP="00897845">
      <w:pPr>
        <w:numPr>
          <w:ilvl w:val="0"/>
          <w:numId w:val="16"/>
        </w:numPr>
        <w:rPr>
          <w:rFonts w:ascii="Calibri" w:hAnsi="Calibri"/>
          <w:sz w:val="22"/>
          <w:szCs w:val="22"/>
        </w:rPr>
      </w:pPr>
      <w:r w:rsidRPr="00B41B14">
        <w:rPr>
          <w:rFonts w:ascii="Calibri" w:hAnsi="Calibri"/>
          <w:sz w:val="22"/>
          <w:szCs w:val="22"/>
        </w:rPr>
        <w:t>Full time student enrollment increased 36% for College of Technology, less than .5% for undergraduates, and 23% for doctoral candidates from FY2004 to FY2007 (2007-2008 Data Digest, p. 9).</w:t>
      </w:r>
    </w:p>
    <w:p w:rsidR="003400A3" w:rsidRPr="00B41B14" w:rsidRDefault="003400A3" w:rsidP="00897845">
      <w:pPr>
        <w:numPr>
          <w:ilvl w:val="0"/>
          <w:numId w:val="16"/>
        </w:numPr>
        <w:rPr>
          <w:rFonts w:ascii="Calibri" w:hAnsi="Calibri"/>
          <w:sz w:val="22"/>
          <w:szCs w:val="22"/>
        </w:rPr>
      </w:pPr>
      <w:r w:rsidRPr="00B41B14">
        <w:rPr>
          <w:rFonts w:ascii="Calibri" w:hAnsi="Calibri"/>
          <w:sz w:val="22"/>
          <w:szCs w:val="22"/>
        </w:rPr>
        <w:t>Full time student enrollment decreased 5% for masters candidates from FY2004 to FY2007 (2007-2008 Data Digest, p. 9).</w:t>
      </w:r>
    </w:p>
    <w:p w:rsidR="00401CFC" w:rsidRDefault="00401CFC" w:rsidP="003400A3">
      <w:pPr>
        <w:rPr>
          <w:rFonts w:ascii="Calibri" w:hAnsi="Calibri"/>
          <w:b/>
          <w:sz w:val="22"/>
          <w:szCs w:val="22"/>
        </w:rPr>
      </w:pPr>
    </w:p>
    <w:p w:rsidR="003400A3" w:rsidRPr="00B41B14" w:rsidRDefault="003400A3" w:rsidP="003400A3">
      <w:pPr>
        <w:rPr>
          <w:rFonts w:ascii="Calibri" w:hAnsi="Calibri"/>
          <w:b/>
          <w:sz w:val="22"/>
          <w:szCs w:val="22"/>
        </w:rPr>
      </w:pPr>
      <w:r w:rsidRPr="00B41B14">
        <w:rPr>
          <w:rFonts w:ascii="Calibri" w:hAnsi="Calibri"/>
          <w:b/>
          <w:sz w:val="22"/>
          <w:szCs w:val="22"/>
        </w:rPr>
        <w:t>Fall 2008 Trends:</w:t>
      </w:r>
    </w:p>
    <w:p w:rsidR="003400A3" w:rsidRPr="00B41B14" w:rsidRDefault="003400A3" w:rsidP="00897845">
      <w:pPr>
        <w:numPr>
          <w:ilvl w:val="0"/>
          <w:numId w:val="15"/>
        </w:numPr>
        <w:rPr>
          <w:rFonts w:ascii="Calibri" w:hAnsi="Calibri"/>
          <w:sz w:val="22"/>
          <w:szCs w:val="22"/>
        </w:rPr>
      </w:pPr>
      <w:r w:rsidRPr="00B41B14">
        <w:rPr>
          <w:rFonts w:ascii="Calibri" w:hAnsi="Calibri"/>
          <w:sz w:val="22"/>
          <w:szCs w:val="22"/>
        </w:rPr>
        <w:t>Overall enrollment increased 34.9% for College of Technology students and remained consistent for all graduate students from FY2004 to FY2008 (200</w:t>
      </w:r>
      <w:r w:rsidR="00401CFC">
        <w:rPr>
          <w:rFonts w:ascii="Calibri" w:hAnsi="Calibri"/>
          <w:sz w:val="22"/>
          <w:szCs w:val="22"/>
        </w:rPr>
        <w:t>8</w:t>
      </w:r>
      <w:r w:rsidRPr="00B41B14">
        <w:rPr>
          <w:rFonts w:ascii="Calibri" w:hAnsi="Calibri"/>
          <w:sz w:val="22"/>
          <w:szCs w:val="22"/>
        </w:rPr>
        <w:t>-200</w:t>
      </w:r>
      <w:r w:rsidR="00401CFC">
        <w:rPr>
          <w:rFonts w:ascii="Calibri" w:hAnsi="Calibri"/>
          <w:sz w:val="22"/>
          <w:szCs w:val="22"/>
        </w:rPr>
        <w:t>9</w:t>
      </w:r>
      <w:r w:rsidRPr="00B41B14">
        <w:rPr>
          <w:rFonts w:ascii="Calibri" w:hAnsi="Calibri"/>
          <w:sz w:val="22"/>
          <w:szCs w:val="22"/>
        </w:rPr>
        <w:t xml:space="preserve"> Data Digest, p. </w:t>
      </w:r>
      <w:r w:rsidR="00401CFC">
        <w:rPr>
          <w:rFonts w:ascii="Calibri" w:hAnsi="Calibri"/>
          <w:sz w:val="22"/>
          <w:szCs w:val="22"/>
        </w:rPr>
        <w:t>2</w:t>
      </w:r>
      <w:r w:rsidRPr="00B41B14">
        <w:rPr>
          <w:rFonts w:ascii="Calibri" w:hAnsi="Calibri"/>
          <w:sz w:val="22"/>
          <w:szCs w:val="22"/>
        </w:rPr>
        <w:t>).</w:t>
      </w:r>
    </w:p>
    <w:p w:rsidR="003400A3" w:rsidRDefault="003400A3" w:rsidP="00897845">
      <w:pPr>
        <w:numPr>
          <w:ilvl w:val="0"/>
          <w:numId w:val="15"/>
        </w:numPr>
        <w:rPr>
          <w:rFonts w:ascii="Calibri" w:hAnsi="Calibri"/>
          <w:sz w:val="22"/>
          <w:szCs w:val="22"/>
        </w:rPr>
      </w:pPr>
      <w:r w:rsidRPr="00B41B14">
        <w:rPr>
          <w:rFonts w:ascii="Calibri" w:hAnsi="Calibri"/>
          <w:sz w:val="22"/>
          <w:szCs w:val="22"/>
        </w:rPr>
        <w:t xml:space="preserve">Overall enrollment increased slightly by 1.7% for undergraduate students, but decreased by 5.4% for all graduate students and 8.5% for masters candidates </w:t>
      </w:r>
      <w:r w:rsidR="00401CFC">
        <w:rPr>
          <w:rFonts w:ascii="Calibri" w:hAnsi="Calibri"/>
          <w:sz w:val="22"/>
          <w:szCs w:val="22"/>
        </w:rPr>
        <w:t xml:space="preserve">from </w:t>
      </w:r>
      <w:r w:rsidRPr="00B41B14">
        <w:rPr>
          <w:rFonts w:ascii="Calibri" w:hAnsi="Calibri"/>
          <w:sz w:val="22"/>
          <w:szCs w:val="22"/>
        </w:rPr>
        <w:t>FY2004 to FY2008 (200</w:t>
      </w:r>
      <w:r w:rsidR="00401CFC">
        <w:rPr>
          <w:rFonts w:ascii="Calibri" w:hAnsi="Calibri"/>
          <w:sz w:val="22"/>
          <w:szCs w:val="22"/>
        </w:rPr>
        <w:t>8</w:t>
      </w:r>
      <w:r w:rsidRPr="00B41B14">
        <w:rPr>
          <w:rFonts w:ascii="Calibri" w:hAnsi="Calibri"/>
          <w:sz w:val="22"/>
          <w:szCs w:val="22"/>
        </w:rPr>
        <w:t>-200</w:t>
      </w:r>
      <w:r w:rsidR="00401CFC">
        <w:rPr>
          <w:rFonts w:ascii="Calibri" w:hAnsi="Calibri"/>
          <w:sz w:val="22"/>
          <w:szCs w:val="22"/>
        </w:rPr>
        <w:t>8</w:t>
      </w:r>
      <w:r w:rsidRPr="00B41B14">
        <w:rPr>
          <w:rFonts w:ascii="Calibri" w:hAnsi="Calibri"/>
          <w:sz w:val="22"/>
          <w:szCs w:val="22"/>
        </w:rPr>
        <w:t xml:space="preserve"> Data Digest, p. </w:t>
      </w:r>
      <w:r w:rsidR="00401CFC">
        <w:rPr>
          <w:rFonts w:ascii="Calibri" w:hAnsi="Calibri"/>
          <w:sz w:val="22"/>
          <w:szCs w:val="22"/>
        </w:rPr>
        <w:t>2</w:t>
      </w:r>
      <w:r w:rsidRPr="00B41B14">
        <w:rPr>
          <w:rFonts w:ascii="Calibri" w:hAnsi="Calibri"/>
          <w:sz w:val="22"/>
          <w:szCs w:val="22"/>
        </w:rPr>
        <w:t>).</w:t>
      </w:r>
    </w:p>
    <w:p w:rsidR="00401CFC" w:rsidRPr="00B41B14" w:rsidRDefault="00401CFC" w:rsidP="00401CFC">
      <w:pPr>
        <w:ind w:left="720"/>
        <w:rPr>
          <w:rFonts w:ascii="Calibri" w:hAnsi="Calibri"/>
          <w:sz w:val="22"/>
          <w:szCs w:val="22"/>
        </w:rPr>
      </w:pPr>
    </w:p>
    <w:p w:rsidR="003400A3" w:rsidRPr="009164FC" w:rsidRDefault="00165E59" w:rsidP="003400A3">
      <w:pPr>
        <w:rPr>
          <w:rFonts w:ascii="Calibri" w:hAnsi="Calibri"/>
          <w:b/>
        </w:rPr>
      </w:pPr>
      <w:r>
        <w:rPr>
          <w:rFonts w:ascii="Calibri" w:hAnsi="Calibri"/>
          <w:noProof/>
        </w:rPr>
        <w:drawing>
          <wp:inline distT="0" distB="0" distL="0" distR="0">
            <wp:extent cx="6629400" cy="5095875"/>
            <wp:effectExtent l="19050" t="19050" r="19050" b="2857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srcRect/>
                    <a:stretch>
                      <a:fillRect/>
                    </a:stretch>
                  </pic:blipFill>
                  <pic:spPr bwMode="auto">
                    <a:xfrm>
                      <a:off x="0" y="0"/>
                      <a:ext cx="6629400" cy="5095875"/>
                    </a:xfrm>
                    <a:prstGeom prst="rect">
                      <a:avLst/>
                    </a:prstGeom>
                    <a:solidFill>
                      <a:srgbClr val="A5A5A5"/>
                    </a:solidFill>
                    <a:ln w="6350" cmpd="sng">
                      <a:solidFill>
                        <a:srgbClr val="000000"/>
                      </a:solidFill>
                      <a:miter lim="800000"/>
                      <a:headEnd/>
                      <a:tailEnd/>
                    </a:ln>
                    <a:effectLst/>
                  </pic:spPr>
                </pic:pic>
              </a:graphicData>
            </a:graphic>
          </wp:inline>
        </w:drawing>
      </w:r>
    </w:p>
    <w:p w:rsidR="003400A3" w:rsidRPr="009164FC" w:rsidRDefault="003400A3" w:rsidP="003400A3">
      <w:pPr>
        <w:rPr>
          <w:rFonts w:ascii="Calibri" w:hAnsi="Calibri"/>
          <w:b/>
        </w:rPr>
      </w:pPr>
      <w:r w:rsidRPr="009164FC">
        <w:rPr>
          <w:rFonts w:ascii="Calibri" w:hAnsi="Calibri"/>
          <w:b/>
        </w:rPr>
        <w:br w:type="page"/>
      </w:r>
      <w:r w:rsidRPr="009164FC">
        <w:rPr>
          <w:rFonts w:ascii="Calibri" w:hAnsi="Calibri"/>
          <w:b/>
        </w:rPr>
        <w:lastRenderedPageBreak/>
        <w:t>Blackboard</w:t>
      </w:r>
    </w:p>
    <w:p w:rsidR="007A540E" w:rsidRDefault="007A540E" w:rsidP="003400A3">
      <w:pPr>
        <w:rPr>
          <w:rFonts w:ascii="Calibri" w:hAnsi="Calibri"/>
        </w:rPr>
      </w:pPr>
    </w:p>
    <w:p w:rsidR="003400A3" w:rsidRPr="009164FC" w:rsidRDefault="003400A3" w:rsidP="003400A3">
      <w:pPr>
        <w:rPr>
          <w:rFonts w:ascii="Calibri" w:hAnsi="Calibri"/>
        </w:rPr>
      </w:pPr>
      <w:r w:rsidRPr="009164FC">
        <w:rPr>
          <w:rFonts w:ascii="Calibri" w:hAnsi="Calibri"/>
        </w:rPr>
        <w:t>Blackboard course management system increased 97% overall for fully online courses from FY2005 to FY2008, and 111% overall for use of the system as a course supplement (</w:t>
      </w:r>
      <w:r w:rsidR="00401CFC">
        <w:rPr>
          <w:rFonts w:ascii="Calibri" w:hAnsi="Calibri"/>
        </w:rPr>
        <w:t>Table</w:t>
      </w:r>
      <w:r w:rsidRPr="009164FC">
        <w:rPr>
          <w:rFonts w:ascii="Calibri" w:hAnsi="Calibri"/>
        </w:rPr>
        <w:t xml:space="preserve"> 1).</w:t>
      </w:r>
    </w:p>
    <w:p w:rsidR="007A540E" w:rsidRDefault="007A540E" w:rsidP="003400A3">
      <w:pPr>
        <w:rPr>
          <w:rFonts w:ascii="Calibri" w:hAnsi="Calibri"/>
          <w:b/>
        </w:rPr>
      </w:pPr>
    </w:p>
    <w:p w:rsidR="003400A3" w:rsidRPr="007A540E" w:rsidRDefault="00401CFC" w:rsidP="003400A3">
      <w:pPr>
        <w:rPr>
          <w:rFonts w:ascii="Calibri" w:hAnsi="Calibri"/>
        </w:rPr>
      </w:pPr>
      <w:r>
        <w:rPr>
          <w:rFonts w:ascii="Calibri" w:hAnsi="Calibri"/>
        </w:rPr>
        <w:t>Table</w:t>
      </w:r>
      <w:r w:rsidR="003400A3" w:rsidRPr="007A540E">
        <w:rPr>
          <w:rFonts w:ascii="Calibri" w:hAnsi="Calibri"/>
        </w:rPr>
        <w:t xml:space="preserve"> 1. Course Sections in Blackboard, Both Supplements and Fully Online Courses, FY 2005 – FY 2008</w:t>
      </w:r>
    </w:p>
    <w:p w:rsidR="003400A3" w:rsidRPr="00834972" w:rsidRDefault="003400A3" w:rsidP="003400A3">
      <w:pPr>
        <w:rPr>
          <w:rFonts w:ascii="Calibri" w:hAnsi="Calibr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8"/>
        <w:gridCol w:w="976"/>
        <w:gridCol w:w="976"/>
        <w:gridCol w:w="976"/>
        <w:gridCol w:w="976"/>
      </w:tblGrid>
      <w:tr w:rsidR="003400A3" w:rsidRPr="00602E9A" w:rsidTr="00F01230">
        <w:trPr>
          <w:trHeight w:val="300"/>
          <w:jc w:val="center"/>
        </w:trPr>
        <w:tc>
          <w:tcPr>
            <w:tcW w:w="1578" w:type="dxa"/>
            <w:noWrap/>
          </w:tcPr>
          <w:p w:rsidR="003400A3" w:rsidRPr="00F01230" w:rsidRDefault="003400A3" w:rsidP="00F01230">
            <w:pPr>
              <w:pStyle w:val="NoSpacing"/>
              <w:rPr>
                <w:b/>
              </w:rPr>
            </w:pPr>
            <w:r w:rsidRPr="00F01230">
              <w:rPr>
                <w:b/>
              </w:rPr>
              <w:t>Supplement</w:t>
            </w:r>
          </w:p>
        </w:tc>
        <w:tc>
          <w:tcPr>
            <w:tcW w:w="976" w:type="dxa"/>
            <w:noWrap/>
          </w:tcPr>
          <w:p w:rsidR="003400A3" w:rsidRPr="00F01230" w:rsidRDefault="003400A3" w:rsidP="00F01230">
            <w:pPr>
              <w:pStyle w:val="NoSpacing"/>
              <w:rPr>
                <w:b/>
              </w:rPr>
            </w:pPr>
            <w:r w:rsidRPr="00F01230">
              <w:rPr>
                <w:b/>
              </w:rPr>
              <w:t>FY05</w:t>
            </w:r>
          </w:p>
        </w:tc>
        <w:tc>
          <w:tcPr>
            <w:tcW w:w="976" w:type="dxa"/>
            <w:noWrap/>
          </w:tcPr>
          <w:p w:rsidR="003400A3" w:rsidRPr="00F01230" w:rsidRDefault="003400A3" w:rsidP="00F01230">
            <w:pPr>
              <w:pStyle w:val="NoSpacing"/>
              <w:rPr>
                <w:b/>
              </w:rPr>
            </w:pPr>
            <w:r w:rsidRPr="00F01230">
              <w:rPr>
                <w:b/>
              </w:rPr>
              <w:t>FY06</w:t>
            </w:r>
          </w:p>
        </w:tc>
        <w:tc>
          <w:tcPr>
            <w:tcW w:w="976" w:type="dxa"/>
            <w:noWrap/>
          </w:tcPr>
          <w:p w:rsidR="003400A3" w:rsidRPr="00F01230" w:rsidRDefault="003400A3" w:rsidP="00F01230">
            <w:pPr>
              <w:pStyle w:val="NoSpacing"/>
              <w:rPr>
                <w:b/>
              </w:rPr>
            </w:pPr>
            <w:r w:rsidRPr="00F01230">
              <w:rPr>
                <w:b/>
              </w:rPr>
              <w:t>FY07</w:t>
            </w:r>
          </w:p>
        </w:tc>
        <w:tc>
          <w:tcPr>
            <w:tcW w:w="976" w:type="dxa"/>
            <w:noWrap/>
          </w:tcPr>
          <w:p w:rsidR="003400A3" w:rsidRPr="00F01230" w:rsidRDefault="003400A3" w:rsidP="00F01230">
            <w:pPr>
              <w:pStyle w:val="NoSpacing"/>
              <w:rPr>
                <w:b/>
              </w:rPr>
            </w:pPr>
            <w:r w:rsidRPr="00F01230">
              <w:rPr>
                <w:b/>
              </w:rPr>
              <w:t>FY08</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Summer</w:t>
            </w:r>
          </w:p>
        </w:tc>
        <w:tc>
          <w:tcPr>
            <w:tcW w:w="976" w:type="dxa"/>
            <w:noWrap/>
          </w:tcPr>
          <w:p w:rsidR="003400A3" w:rsidRPr="00602E9A" w:rsidRDefault="003400A3" w:rsidP="00F01230">
            <w:pPr>
              <w:pStyle w:val="NoSpacing"/>
              <w:jc w:val="right"/>
            </w:pPr>
            <w:r w:rsidRPr="00602E9A">
              <w:t>61</w:t>
            </w:r>
          </w:p>
        </w:tc>
        <w:tc>
          <w:tcPr>
            <w:tcW w:w="976" w:type="dxa"/>
            <w:noWrap/>
          </w:tcPr>
          <w:p w:rsidR="003400A3" w:rsidRPr="00602E9A" w:rsidRDefault="003400A3" w:rsidP="00F01230">
            <w:pPr>
              <w:pStyle w:val="NoSpacing"/>
              <w:jc w:val="right"/>
            </w:pPr>
            <w:r w:rsidRPr="00602E9A">
              <w:t>38</w:t>
            </w:r>
          </w:p>
        </w:tc>
        <w:tc>
          <w:tcPr>
            <w:tcW w:w="976" w:type="dxa"/>
            <w:noWrap/>
          </w:tcPr>
          <w:p w:rsidR="003400A3" w:rsidRPr="00602E9A" w:rsidRDefault="003400A3" w:rsidP="00F01230">
            <w:pPr>
              <w:pStyle w:val="NoSpacing"/>
              <w:jc w:val="right"/>
            </w:pPr>
            <w:r w:rsidRPr="00602E9A">
              <w:t>95</w:t>
            </w:r>
          </w:p>
        </w:tc>
        <w:tc>
          <w:tcPr>
            <w:tcW w:w="976" w:type="dxa"/>
            <w:noWrap/>
          </w:tcPr>
          <w:p w:rsidR="003400A3" w:rsidRPr="00602E9A" w:rsidRDefault="003400A3" w:rsidP="00F01230">
            <w:pPr>
              <w:pStyle w:val="NoSpacing"/>
              <w:jc w:val="right"/>
            </w:pPr>
            <w:r w:rsidRPr="00602E9A">
              <w:t>114</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Fall</w:t>
            </w:r>
          </w:p>
        </w:tc>
        <w:tc>
          <w:tcPr>
            <w:tcW w:w="976" w:type="dxa"/>
            <w:noWrap/>
          </w:tcPr>
          <w:p w:rsidR="003400A3" w:rsidRPr="00602E9A" w:rsidRDefault="003400A3" w:rsidP="00F01230">
            <w:pPr>
              <w:pStyle w:val="NoSpacing"/>
              <w:jc w:val="right"/>
            </w:pPr>
            <w:r w:rsidRPr="00602E9A">
              <w:t>449</w:t>
            </w:r>
          </w:p>
        </w:tc>
        <w:tc>
          <w:tcPr>
            <w:tcW w:w="976" w:type="dxa"/>
            <w:noWrap/>
          </w:tcPr>
          <w:p w:rsidR="003400A3" w:rsidRPr="00602E9A" w:rsidRDefault="003400A3" w:rsidP="00F01230">
            <w:pPr>
              <w:pStyle w:val="NoSpacing"/>
              <w:jc w:val="right"/>
            </w:pPr>
            <w:r w:rsidRPr="00602E9A">
              <w:t>529</w:t>
            </w:r>
          </w:p>
        </w:tc>
        <w:tc>
          <w:tcPr>
            <w:tcW w:w="976" w:type="dxa"/>
            <w:noWrap/>
          </w:tcPr>
          <w:p w:rsidR="003400A3" w:rsidRPr="00602E9A" w:rsidRDefault="003400A3" w:rsidP="00F01230">
            <w:pPr>
              <w:pStyle w:val="NoSpacing"/>
              <w:jc w:val="right"/>
            </w:pPr>
            <w:r w:rsidRPr="00602E9A">
              <w:t>782</w:t>
            </w:r>
          </w:p>
        </w:tc>
        <w:tc>
          <w:tcPr>
            <w:tcW w:w="976" w:type="dxa"/>
            <w:noWrap/>
          </w:tcPr>
          <w:p w:rsidR="003400A3" w:rsidRPr="00602E9A" w:rsidRDefault="003400A3" w:rsidP="00F01230">
            <w:pPr>
              <w:pStyle w:val="NoSpacing"/>
              <w:jc w:val="right"/>
            </w:pPr>
            <w:r w:rsidRPr="00602E9A">
              <w:t>970</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Spring</w:t>
            </w:r>
          </w:p>
        </w:tc>
        <w:tc>
          <w:tcPr>
            <w:tcW w:w="976" w:type="dxa"/>
            <w:noWrap/>
          </w:tcPr>
          <w:p w:rsidR="003400A3" w:rsidRPr="00602E9A" w:rsidRDefault="003400A3" w:rsidP="00F01230">
            <w:pPr>
              <w:pStyle w:val="NoSpacing"/>
              <w:jc w:val="right"/>
            </w:pPr>
            <w:r w:rsidRPr="00602E9A">
              <w:t>495</w:t>
            </w:r>
          </w:p>
        </w:tc>
        <w:tc>
          <w:tcPr>
            <w:tcW w:w="976" w:type="dxa"/>
            <w:noWrap/>
          </w:tcPr>
          <w:p w:rsidR="003400A3" w:rsidRPr="00602E9A" w:rsidRDefault="003400A3" w:rsidP="00F01230">
            <w:pPr>
              <w:pStyle w:val="NoSpacing"/>
              <w:jc w:val="right"/>
            </w:pPr>
            <w:r w:rsidRPr="00602E9A">
              <w:t>658</w:t>
            </w:r>
          </w:p>
        </w:tc>
        <w:tc>
          <w:tcPr>
            <w:tcW w:w="976" w:type="dxa"/>
            <w:noWrap/>
          </w:tcPr>
          <w:p w:rsidR="003400A3" w:rsidRPr="00602E9A" w:rsidRDefault="003400A3" w:rsidP="00F01230">
            <w:pPr>
              <w:pStyle w:val="NoSpacing"/>
              <w:jc w:val="right"/>
            </w:pPr>
            <w:r w:rsidRPr="00602E9A">
              <w:t>780</w:t>
            </w:r>
          </w:p>
        </w:tc>
        <w:tc>
          <w:tcPr>
            <w:tcW w:w="976" w:type="dxa"/>
            <w:noWrap/>
          </w:tcPr>
          <w:p w:rsidR="003400A3" w:rsidRPr="00602E9A" w:rsidRDefault="003400A3" w:rsidP="00F01230">
            <w:pPr>
              <w:pStyle w:val="NoSpacing"/>
              <w:jc w:val="right"/>
            </w:pPr>
            <w:r w:rsidRPr="00602E9A">
              <w:t>1,035</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Totals</w:t>
            </w:r>
          </w:p>
        </w:tc>
        <w:tc>
          <w:tcPr>
            <w:tcW w:w="976" w:type="dxa"/>
            <w:noWrap/>
          </w:tcPr>
          <w:p w:rsidR="003400A3" w:rsidRPr="00602E9A" w:rsidRDefault="003400A3" w:rsidP="00F01230">
            <w:pPr>
              <w:pStyle w:val="NoSpacing"/>
              <w:jc w:val="right"/>
            </w:pPr>
            <w:r w:rsidRPr="00602E9A">
              <w:t>1,005</w:t>
            </w:r>
          </w:p>
        </w:tc>
        <w:tc>
          <w:tcPr>
            <w:tcW w:w="976" w:type="dxa"/>
            <w:noWrap/>
          </w:tcPr>
          <w:p w:rsidR="003400A3" w:rsidRPr="00602E9A" w:rsidRDefault="003400A3" w:rsidP="00F01230">
            <w:pPr>
              <w:pStyle w:val="NoSpacing"/>
              <w:jc w:val="right"/>
            </w:pPr>
            <w:r w:rsidRPr="00602E9A">
              <w:t>1,225</w:t>
            </w:r>
          </w:p>
        </w:tc>
        <w:tc>
          <w:tcPr>
            <w:tcW w:w="976" w:type="dxa"/>
            <w:noWrap/>
          </w:tcPr>
          <w:p w:rsidR="003400A3" w:rsidRPr="00602E9A" w:rsidRDefault="003400A3" w:rsidP="00F01230">
            <w:pPr>
              <w:pStyle w:val="NoSpacing"/>
              <w:jc w:val="right"/>
            </w:pPr>
            <w:r w:rsidRPr="00602E9A">
              <w:t>1,657</w:t>
            </w:r>
          </w:p>
        </w:tc>
        <w:tc>
          <w:tcPr>
            <w:tcW w:w="976" w:type="dxa"/>
            <w:noWrap/>
          </w:tcPr>
          <w:p w:rsidR="003400A3" w:rsidRPr="00602E9A" w:rsidRDefault="003400A3" w:rsidP="00F01230">
            <w:pPr>
              <w:pStyle w:val="NoSpacing"/>
              <w:jc w:val="right"/>
            </w:pPr>
            <w:r w:rsidRPr="00602E9A">
              <w:t>2,119</w:t>
            </w:r>
          </w:p>
        </w:tc>
      </w:tr>
      <w:tr w:rsidR="00F01230" w:rsidRPr="00602E9A" w:rsidTr="000E6620">
        <w:trPr>
          <w:trHeight w:val="300"/>
          <w:jc w:val="center"/>
        </w:trPr>
        <w:tc>
          <w:tcPr>
            <w:tcW w:w="5482" w:type="dxa"/>
            <w:gridSpan w:val="5"/>
            <w:noWrap/>
          </w:tcPr>
          <w:p w:rsidR="00F01230" w:rsidRPr="00602E9A" w:rsidRDefault="00F01230" w:rsidP="00F01230">
            <w:pPr>
              <w:pStyle w:val="NoSpacing"/>
            </w:pPr>
          </w:p>
        </w:tc>
      </w:tr>
      <w:tr w:rsidR="003400A3" w:rsidRPr="00602E9A" w:rsidTr="00F01230">
        <w:trPr>
          <w:trHeight w:val="300"/>
          <w:jc w:val="center"/>
        </w:trPr>
        <w:tc>
          <w:tcPr>
            <w:tcW w:w="1578" w:type="dxa"/>
            <w:noWrap/>
          </w:tcPr>
          <w:p w:rsidR="003400A3" w:rsidRPr="00F01230" w:rsidRDefault="003400A3" w:rsidP="00F01230">
            <w:pPr>
              <w:pStyle w:val="NoSpacing"/>
              <w:rPr>
                <w:b/>
              </w:rPr>
            </w:pPr>
            <w:r w:rsidRPr="00F01230">
              <w:rPr>
                <w:b/>
              </w:rPr>
              <w:t>Online</w:t>
            </w:r>
          </w:p>
        </w:tc>
        <w:tc>
          <w:tcPr>
            <w:tcW w:w="976" w:type="dxa"/>
            <w:noWrap/>
          </w:tcPr>
          <w:p w:rsidR="003400A3" w:rsidRPr="00F01230" w:rsidRDefault="003400A3" w:rsidP="00F01230">
            <w:pPr>
              <w:pStyle w:val="NoSpacing"/>
              <w:rPr>
                <w:b/>
              </w:rPr>
            </w:pPr>
            <w:r w:rsidRPr="00F01230">
              <w:rPr>
                <w:b/>
              </w:rPr>
              <w:t>FY05</w:t>
            </w:r>
          </w:p>
        </w:tc>
        <w:tc>
          <w:tcPr>
            <w:tcW w:w="976" w:type="dxa"/>
            <w:noWrap/>
          </w:tcPr>
          <w:p w:rsidR="003400A3" w:rsidRPr="00F01230" w:rsidRDefault="003400A3" w:rsidP="00F01230">
            <w:pPr>
              <w:pStyle w:val="NoSpacing"/>
              <w:rPr>
                <w:b/>
              </w:rPr>
            </w:pPr>
            <w:r w:rsidRPr="00F01230">
              <w:rPr>
                <w:b/>
              </w:rPr>
              <w:t>FY06</w:t>
            </w:r>
          </w:p>
        </w:tc>
        <w:tc>
          <w:tcPr>
            <w:tcW w:w="976" w:type="dxa"/>
            <w:noWrap/>
          </w:tcPr>
          <w:p w:rsidR="003400A3" w:rsidRPr="00F01230" w:rsidRDefault="003400A3" w:rsidP="00F01230">
            <w:pPr>
              <w:pStyle w:val="NoSpacing"/>
              <w:rPr>
                <w:b/>
              </w:rPr>
            </w:pPr>
            <w:r w:rsidRPr="00F01230">
              <w:rPr>
                <w:b/>
              </w:rPr>
              <w:t>FY07</w:t>
            </w:r>
          </w:p>
        </w:tc>
        <w:tc>
          <w:tcPr>
            <w:tcW w:w="976" w:type="dxa"/>
            <w:noWrap/>
          </w:tcPr>
          <w:p w:rsidR="003400A3" w:rsidRPr="00F01230" w:rsidRDefault="003400A3" w:rsidP="00F01230">
            <w:pPr>
              <w:pStyle w:val="NoSpacing"/>
              <w:rPr>
                <w:b/>
              </w:rPr>
            </w:pPr>
            <w:r w:rsidRPr="00F01230">
              <w:rPr>
                <w:b/>
              </w:rPr>
              <w:t>FY08</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Summer</w:t>
            </w:r>
          </w:p>
        </w:tc>
        <w:tc>
          <w:tcPr>
            <w:tcW w:w="976" w:type="dxa"/>
            <w:noWrap/>
          </w:tcPr>
          <w:p w:rsidR="003400A3" w:rsidRPr="00602E9A" w:rsidRDefault="003400A3" w:rsidP="00F01230">
            <w:pPr>
              <w:pStyle w:val="NoSpacing"/>
              <w:jc w:val="right"/>
            </w:pPr>
            <w:r w:rsidRPr="00602E9A">
              <w:t>37</w:t>
            </w:r>
          </w:p>
        </w:tc>
        <w:tc>
          <w:tcPr>
            <w:tcW w:w="976" w:type="dxa"/>
            <w:noWrap/>
          </w:tcPr>
          <w:p w:rsidR="003400A3" w:rsidRPr="00602E9A" w:rsidRDefault="003400A3" w:rsidP="00F01230">
            <w:pPr>
              <w:pStyle w:val="NoSpacing"/>
              <w:jc w:val="right"/>
            </w:pPr>
            <w:r w:rsidRPr="00602E9A">
              <w:t>46</w:t>
            </w:r>
          </w:p>
        </w:tc>
        <w:tc>
          <w:tcPr>
            <w:tcW w:w="976" w:type="dxa"/>
            <w:noWrap/>
          </w:tcPr>
          <w:p w:rsidR="003400A3" w:rsidRPr="00602E9A" w:rsidRDefault="003400A3" w:rsidP="00F01230">
            <w:pPr>
              <w:pStyle w:val="NoSpacing"/>
              <w:jc w:val="right"/>
            </w:pPr>
            <w:r w:rsidRPr="00602E9A">
              <w:t>57</w:t>
            </w:r>
          </w:p>
        </w:tc>
        <w:tc>
          <w:tcPr>
            <w:tcW w:w="976" w:type="dxa"/>
            <w:noWrap/>
          </w:tcPr>
          <w:p w:rsidR="003400A3" w:rsidRPr="00602E9A" w:rsidRDefault="003400A3" w:rsidP="00F01230">
            <w:pPr>
              <w:pStyle w:val="NoSpacing"/>
              <w:jc w:val="right"/>
            </w:pPr>
            <w:r w:rsidRPr="00602E9A">
              <w:t>82</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Fall</w:t>
            </w:r>
          </w:p>
        </w:tc>
        <w:tc>
          <w:tcPr>
            <w:tcW w:w="976" w:type="dxa"/>
            <w:noWrap/>
          </w:tcPr>
          <w:p w:rsidR="003400A3" w:rsidRPr="00602E9A" w:rsidRDefault="003400A3" w:rsidP="00F01230">
            <w:pPr>
              <w:pStyle w:val="NoSpacing"/>
              <w:jc w:val="right"/>
            </w:pPr>
            <w:r w:rsidRPr="00602E9A">
              <w:t>69</w:t>
            </w:r>
          </w:p>
        </w:tc>
        <w:tc>
          <w:tcPr>
            <w:tcW w:w="976" w:type="dxa"/>
            <w:noWrap/>
          </w:tcPr>
          <w:p w:rsidR="003400A3" w:rsidRPr="00602E9A" w:rsidRDefault="003400A3" w:rsidP="00F01230">
            <w:pPr>
              <w:pStyle w:val="NoSpacing"/>
              <w:jc w:val="right"/>
            </w:pPr>
            <w:r w:rsidRPr="00602E9A">
              <w:t>78</w:t>
            </w:r>
          </w:p>
        </w:tc>
        <w:tc>
          <w:tcPr>
            <w:tcW w:w="976" w:type="dxa"/>
            <w:noWrap/>
          </w:tcPr>
          <w:p w:rsidR="003400A3" w:rsidRPr="00602E9A" w:rsidRDefault="003400A3" w:rsidP="00F01230">
            <w:pPr>
              <w:pStyle w:val="NoSpacing"/>
              <w:jc w:val="right"/>
            </w:pPr>
            <w:r w:rsidRPr="00602E9A">
              <w:t>99</w:t>
            </w:r>
          </w:p>
        </w:tc>
        <w:tc>
          <w:tcPr>
            <w:tcW w:w="976" w:type="dxa"/>
            <w:noWrap/>
          </w:tcPr>
          <w:p w:rsidR="003400A3" w:rsidRPr="00602E9A" w:rsidRDefault="003400A3" w:rsidP="00F01230">
            <w:pPr>
              <w:pStyle w:val="NoSpacing"/>
              <w:jc w:val="right"/>
            </w:pPr>
            <w:r w:rsidRPr="00602E9A">
              <w:t>130</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Spring</w:t>
            </w:r>
          </w:p>
        </w:tc>
        <w:tc>
          <w:tcPr>
            <w:tcW w:w="976" w:type="dxa"/>
            <w:noWrap/>
          </w:tcPr>
          <w:p w:rsidR="003400A3" w:rsidRPr="00602E9A" w:rsidRDefault="003400A3" w:rsidP="00F01230">
            <w:pPr>
              <w:pStyle w:val="NoSpacing"/>
              <w:jc w:val="right"/>
            </w:pPr>
            <w:r w:rsidRPr="00602E9A">
              <w:t>85</w:t>
            </w:r>
          </w:p>
        </w:tc>
        <w:tc>
          <w:tcPr>
            <w:tcW w:w="976" w:type="dxa"/>
            <w:noWrap/>
          </w:tcPr>
          <w:p w:rsidR="003400A3" w:rsidRPr="00602E9A" w:rsidRDefault="003400A3" w:rsidP="00F01230">
            <w:pPr>
              <w:pStyle w:val="NoSpacing"/>
              <w:jc w:val="right"/>
            </w:pPr>
            <w:r w:rsidRPr="00602E9A">
              <w:t>86</w:t>
            </w:r>
          </w:p>
        </w:tc>
        <w:tc>
          <w:tcPr>
            <w:tcW w:w="976" w:type="dxa"/>
            <w:noWrap/>
          </w:tcPr>
          <w:p w:rsidR="003400A3" w:rsidRPr="00602E9A" w:rsidRDefault="003400A3" w:rsidP="00F01230">
            <w:pPr>
              <w:pStyle w:val="NoSpacing"/>
              <w:jc w:val="right"/>
            </w:pPr>
            <w:r w:rsidRPr="00602E9A">
              <w:t>108</w:t>
            </w:r>
          </w:p>
        </w:tc>
        <w:tc>
          <w:tcPr>
            <w:tcW w:w="976" w:type="dxa"/>
            <w:noWrap/>
          </w:tcPr>
          <w:p w:rsidR="003400A3" w:rsidRPr="00602E9A" w:rsidRDefault="003400A3" w:rsidP="00F01230">
            <w:pPr>
              <w:pStyle w:val="NoSpacing"/>
              <w:jc w:val="right"/>
            </w:pPr>
            <w:r w:rsidRPr="00602E9A">
              <w:t>164</w:t>
            </w:r>
          </w:p>
        </w:tc>
      </w:tr>
      <w:tr w:rsidR="003400A3" w:rsidRPr="00602E9A" w:rsidTr="00F01230">
        <w:trPr>
          <w:trHeight w:val="300"/>
          <w:jc w:val="center"/>
        </w:trPr>
        <w:tc>
          <w:tcPr>
            <w:tcW w:w="1578" w:type="dxa"/>
            <w:noWrap/>
          </w:tcPr>
          <w:p w:rsidR="003400A3" w:rsidRPr="00602E9A" w:rsidRDefault="003400A3" w:rsidP="00F01230">
            <w:pPr>
              <w:pStyle w:val="NoSpacing"/>
            </w:pPr>
            <w:r w:rsidRPr="00602E9A">
              <w:t>Totals</w:t>
            </w:r>
          </w:p>
        </w:tc>
        <w:tc>
          <w:tcPr>
            <w:tcW w:w="976" w:type="dxa"/>
            <w:noWrap/>
          </w:tcPr>
          <w:p w:rsidR="003400A3" w:rsidRPr="00602E9A" w:rsidRDefault="003400A3" w:rsidP="00F01230">
            <w:pPr>
              <w:pStyle w:val="NoSpacing"/>
              <w:jc w:val="right"/>
            </w:pPr>
            <w:r w:rsidRPr="00602E9A">
              <w:t>191</w:t>
            </w:r>
          </w:p>
        </w:tc>
        <w:tc>
          <w:tcPr>
            <w:tcW w:w="976" w:type="dxa"/>
            <w:noWrap/>
          </w:tcPr>
          <w:p w:rsidR="003400A3" w:rsidRPr="00602E9A" w:rsidRDefault="003400A3" w:rsidP="00F01230">
            <w:pPr>
              <w:pStyle w:val="NoSpacing"/>
              <w:jc w:val="right"/>
            </w:pPr>
            <w:r w:rsidRPr="00602E9A">
              <w:t>210</w:t>
            </w:r>
          </w:p>
        </w:tc>
        <w:tc>
          <w:tcPr>
            <w:tcW w:w="976" w:type="dxa"/>
            <w:noWrap/>
          </w:tcPr>
          <w:p w:rsidR="003400A3" w:rsidRPr="00602E9A" w:rsidRDefault="003400A3" w:rsidP="00F01230">
            <w:pPr>
              <w:pStyle w:val="NoSpacing"/>
              <w:jc w:val="right"/>
            </w:pPr>
            <w:r w:rsidRPr="00602E9A">
              <w:t>264</w:t>
            </w:r>
          </w:p>
        </w:tc>
        <w:tc>
          <w:tcPr>
            <w:tcW w:w="976" w:type="dxa"/>
            <w:noWrap/>
          </w:tcPr>
          <w:p w:rsidR="003400A3" w:rsidRPr="00602E9A" w:rsidRDefault="003400A3" w:rsidP="00F01230">
            <w:pPr>
              <w:pStyle w:val="NoSpacing"/>
              <w:jc w:val="right"/>
            </w:pPr>
            <w:r w:rsidRPr="00602E9A">
              <w:t>376</w:t>
            </w:r>
          </w:p>
        </w:tc>
      </w:tr>
    </w:tbl>
    <w:p w:rsidR="003400A3" w:rsidRPr="009164FC" w:rsidRDefault="003400A3" w:rsidP="003400A3">
      <w:pPr>
        <w:rPr>
          <w:rFonts w:ascii="Calibri" w:hAnsi="Calibri"/>
        </w:rPr>
      </w:pPr>
    </w:p>
    <w:p w:rsidR="003400A3" w:rsidRDefault="003400A3" w:rsidP="003400A3">
      <w:pPr>
        <w:rPr>
          <w:rFonts w:ascii="Geneva" w:hAnsi="Geneva"/>
        </w:rPr>
      </w:pPr>
    </w:p>
    <w:p w:rsidR="003400A3" w:rsidRDefault="003400A3" w:rsidP="003400A3">
      <w:pPr>
        <w:rPr>
          <w:rFonts w:ascii="Geneva" w:hAnsi="Geneva"/>
        </w:rPr>
      </w:pPr>
    </w:p>
    <w:p w:rsidR="003400A3" w:rsidRDefault="003400A3" w:rsidP="003400A3">
      <w:pPr>
        <w:rPr>
          <w:rFonts w:ascii="Geneva" w:hAnsi="Geneva"/>
        </w:rPr>
      </w:pPr>
    </w:p>
    <w:p w:rsidR="003400A3" w:rsidRDefault="003400A3" w:rsidP="003400A3">
      <w:pPr>
        <w:rPr>
          <w:rFonts w:ascii="Geneva" w:hAnsi="Geneva"/>
        </w:rPr>
      </w:pPr>
    </w:p>
    <w:p w:rsidR="003400A3" w:rsidRDefault="003400A3" w:rsidP="003400A3">
      <w:pPr>
        <w:rPr>
          <w:rFonts w:ascii="Geneva" w:hAnsi="Geneva"/>
        </w:rPr>
      </w:pPr>
    </w:p>
    <w:p w:rsidR="003400A3" w:rsidRDefault="003400A3" w:rsidP="003400A3">
      <w:pPr>
        <w:rPr>
          <w:rFonts w:ascii="Geneva" w:hAnsi="Geneva"/>
        </w:rPr>
      </w:pPr>
    </w:p>
    <w:p w:rsidR="003400A3" w:rsidRDefault="003400A3" w:rsidP="003400A3">
      <w:pPr>
        <w:rPr>
          <w:rFonts w:ascii="Geneva" w:hAnsi="Geneva"/>
        </w:rPr>
      </w:pPr>
    </w:p>
    <w:p w:rsidR="00F72F27" w:rsidRPr="00526024" w:rsidRDefault="00F72F27" w:rsidP="003400A3">
      <w:pPr>
        <w:rPr>
          <w:rFonts w:ascii="Geneva" w:hAnsi="Geneva"/>
        </w:rPr>
      </w:pPr>
    </w:p>
    <w:sectPr w:rsidR="00F72F27" w:rsidRPr="00526024" w:rsidSect="00F72F27">
      <w:footerReference w:type="default" r:id="rId33"/>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DF" w:rsidRDefault="002358DF" w:rsidP="00F72F27">
      <w:r>
        <w:separator/>
      </w:r>
    </w:p>
  </w:endnote>
  <w:endnote w:type="continuationSeparator" w:id="0">
    <w:p w:rsidR="002358DF" w:rsidRDefault="002358DF" w:rsidP="00F72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20" w:rsidRPr="00526024" w:rsidRDefault="000E6620" w:rsidP="00F72F27">
    <w:pPr>
      <w:pStyle w:val="Footer"/>
      <w:pBdr>
        <w:top w:val="thinThickSmallGap" w:sz="24" w:space="1" w:color="auto"/>
      </w:pBdr>
      <w:tabs>
        <w:tab w:val="clear" w:pos="4680"/>
      </w:tabs>
      <w:rPr>
        <w:rFonts w:ascii="Geneva" w:hAnsi="Geneva"/>
      </w:rPr>
    </w:pPr>
    <w:r w:rsidRPr="00526024">
      <w:rPr>
        <w:rFonts w:ascii="Geneva" w:hAnsi="Geneva"/>
        <w:sz w:val="20"/>
        <w:szCs w:val="20"/>
      </w:rPr>
      <w:t xml:space="preserve">Samson and Zoellner, </w:t>
    </w:r>
    <w:r>
      <w:rPr>
        <w:rFonts w:ascii="Geneva" w:hAnsi="Geneva"/>
        <w:sz w:val="20"/>
        <w:szCs w:val="20"/>
      </w:rPr>
      <w:t>October</w:t>
    </w:r>
    <w:r w:rsidRPr="00526024">
      <w:rPr>
        <w:rFonts w:ascii="Geneva" w:hAnsi="Geneva"/>
        <w:sz w:val="20"/>
        <w:szCs w:val="20"/>
      </w:rPr>
      <w:t xml:space="preserve"> 2008</w:t>
    </w:r>
    <w:r w:rsidRPr="00526024">
      <w:rPr>
        <w:rFonts w:ascii="Geneva" w:hAnsi="Geneva"/>
        <w:sz w:val="20"/>
        <w:szCs w:val="20"/>
      </w:rPr>
      <w:tab/>
      <w:t xml:space="preserve">Page </w:t>
    </w:r>
    <w:r w:rsidR="004E660C" w:rsidRPr="00526024">
      <w:rPr>
        <w:sz w:val="20"/>
        <w:szCs w:val="20"/>
      </w:rPr>
      <w:fldChar w:fldCharType="begin"/>
    </w:r>
    <w:r w:rsidRPr="00526024">
      <w:rPr>
        <w:rFonts w:ascii="Geneva" w:hAnsi="Geneva"/>
        <w:sz w:val="20"/>
        <w:szCs w:val="20"/>
      </w:rPr>
      <w:instrText xml:space="preserve"> PAGE   \* MERGEFORMAT </w:instrText>
    </w:r>
    <w:r w:rsidR="004E660C" w:rsidRPr="00526024">
      <w:rPr>
        <w:sz w:val="20"/>
        <w:szCs w:val="20"/>
      </w:rPr>
      <w:fldChar w:fldCharType="separate"/>
    </w:r>
    <w:r w:rsidR="00674554">
      <w:rPr>
        <w:rFonts w:ascii="Geneva" w:hAnsi="Geneva"/>
        <w:noProof/>
        <w:sz w:val="20"/>
        <w:szCs w:val="20"/>
      </w:rPr>
      <w:t>6</w:t>
    </w:r>
    <w:r w:rsidR="004E660C" w:rsidRPr="0052602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DF" w:rsidRDefault="002358DF" w:rsidP="00F72F27">
      <w:r>
        <w:separator/>
      </w:r>
    </w:p>
  </w:footnote>
  <w:footnote w:type="continuationSeparator" w:id="0">
    <w:p w:rsidR="002358DF" w:rsidRDefault="002358DF" w:rsidP="00F72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0F"/>
    <w:multiLevelType w:val="hybridMultilevel"/>
    <w:tmpl w:val="4634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2CC3"/>
    <w:multiLevelType w:val="hybridMultilevel"/>
    <w:tmpl w:val="C04240D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72299"/>
    <w:multiLevelType w:val="hybridMultilevel"/>
    <w:tmpl w:val="F7DE8D2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B47E7B"/>
    <w:multiLevelType w:val="hybridMultilevel"/>
    <w:tmpl w:val="15CA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8171E"/>
    <w:multiLevelType w:val="hybridMultilevel"/>
    <w:tmpl w:val="228E1768"/>
    <w:lvl w:ilvl="0" w:tplc="00050409">
      <w:start w:val="1"/>
      <w:numFmt w:val="bullet"/>
      <w:lvlText w:val=""/>
      <w:lvlJc w:val="left"/>
      <w:pPr>
        <w:tabs>
          <w:tab w:val="num" w:pos="720"/>
        </w:tabs>
        <w:ind w:left="720" w:hanging="360"/>
      </w:pPr>
      <w:rPr>
        <w:rFonts w:ascii="Wingdings" w:hAnsi="Wingding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E23BF2"/>
    <w:multiLevelType w:val="hybridMultilevel"/>
    <w:tmpl w:val="EDF8DF9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E6676C7"/>
    <w:multiLevelType w:val="hybridMultilevel"/>
    <w:tmpl w:val="06C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511BF"/>
    <w:multiLevelType w:val="hybridMultilevel"/>
    <w:tmpl w:val="0FEC1E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8C0014E"/>
    <w:multiLevelType w:val="hybridMultilevel"/>
    <w:tmpl w:val="788E49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BDE11C6"/>
    <w:multiLevelType w:val="hybridMultilevel"/>
    <w:tmpl w:val="2A4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62722"/>
    <w:multiLevelType w:val="hybridMultilevel"/>
    <w:tmpl w:val="DCC4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90DF0"/>
    <w:multiLevelType w:val="hybridMultilevel"/>
    <w:tmpl w:val="BF8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84DA6"/>
    <w:multiLevelType w:val="hybridMultilevel"/>
    <w:tmpl w:val="292AA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E5A0E"/>
    <w:multiLevelType w:val="hybridMultilevel"/>
    <w:tmpl w:val="8A4E645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74D1E22"/>
    <w:multiLevelType w:val="hybridMultilevel"/>
    <w:tmpl w:val="843A45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B9A24EA"/>
    <w:multiLevelType w:val="hybridMultilevel"/>
    <w:tmpl w:val="BF887A7A"/>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21CFF"/>
    <w:multiLevelType w:val="hybridMultilevel"/>
    <w:tmpl w:val="32AE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67DA8"/>
    <w:multiLevelType w:val="hybridMultilevel"/>
    <w:tmpl w:val="D00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A3BC9"/>
    <w:multiLevelType w:val="hybridMultilevel"/>
    <w:tmpl w:val="8998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D1453"/>
    <w:multiLevelType w:val="hybridMultilevel"/>
    <w:tmpl w:val="EC9A9962"/>
    <w:lvl w:ilvl="0" w:tplc="000F0409">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2BE6145"/>
    <w:multiLevelType w:val="hybridMultilevel"/>
    <w:tmpl w:val="CDF6DF4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21133"/>
    <w:multiLevelType w:val="hybridMultilevel"/>
    <w:tmpl w:val="0EF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3518C"/>
    <w:multiLevelType w:val="hybridMultilevel"/>
    <w:tmpl w:val="774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62D23"/>
    <w:multiLevelType w:val="hybridMultilevel"/>
    <w:tmpl w:val="AFB8C5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BBD0803"/>
    <w:multiLevelType w:val="hybridMultilevel"/>
    <w:tmpl w:val="F562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4779D"/>
    <w:multiLevelType w:val="hybridMultilevel"/>
    <w:tmpl w:val="2EE6A3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80A6B36"/>
    <w:multiLevelType w:val="hybridMultilevel"/>
    <w:tmpl w:val="7C64A6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DEE728E"/>
    <w:multiLevelType w:val="hybridMultilevel"/>
    <w:tmpl w:val="21F891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6"/>
  </w:num>
  <w:num w:numId="4">
    <w:abstractNumId w:val="19"/>
  </w:num>
  <w:num w:numId="5">
    <w:abstractNumId w:val="23"/>
  </w:num>
  <w:num w:numId="6">
    <w:abstractNumId w:val="26"/>
  </w:num>
  <w:num w:numId="7">
    <w:abstractNumId w:val="4"/>
  </w:num>
  <w:num w:numId="8">
    <w:abstractNumId w:val="27"/>
  </w:num>
  <w:num w:numId="9">
    <w:abstractNumId w:val="24"/>
  </w:num>
  <w:num w:numId="10">
    <w:abstractNumId w:val="22"/>
  </w:num>
  <w:num w:numId="11">
    <w:abstractNumId w:val="8"/>
  </w:num>
  <w:num w:numId="12">
    <w:abstractNumId w:val="25"/>
  </w:num>
  <w:num w:numId="13">
    <w:abstractNumId w:val="9"/>
  </w:num>
  <w:num w:numId="14">
    <w:abstractNumId w:val="0"/>
  </w:num>
  <w:num w:numId="15">
    <w:abstractNumId w:val="7"/>
  </w:num>
  <w:num w:numId="16">
    <w:abstractNumId w:val="14"/>
  </w:num>
  <w:num w:numId="17">
    <w:abstractNumId w:val="13"/>
  </w:num>
  <w:num w:numId="18">
    <w:abstractNumId w:val="15"/>
  </w:num>
  <w:num w:numId="19">
    <w:abstractNumId w:val="1"/>
  </w:num>
  <w:num w:numId="20">
    <w:abstractNumId w:val="20"/>
  </w:num>
  <w:num w:numId="21">
    <w:abstractNumId w:val="17"/>
  </w:num>
  <w:num w:numId="22">
    <w:abstractNumId w:val="21"/>
  </w:num>
  <w:num w:numId="23">
    <w:abstractNumId w:val="2"/>
  </w:num>
  <w:num w:numId="24">
    <w:abstractNumId w:val="5"/>
  </w:num>
  <w:num w:numId="25">
    <w:abstractNumId w:val="10"/>
  </w:num>
  <w:num w:numId="26">
    <w:abstractNumId w:val="12"/>
  </w:num>
  <w:num w:numId="27">
    <w:abstractNumId w:val="6"/>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2D7362"/>
    <w:rsid w:val="00021963"/>
    <w:rsid w:val="0006788D"/>
    <w:rsid w:val="000B4E82"/>
    <w:rsid w:val="000E6620"/>
    <w:rsid w:val="001031E2"/>
    <w:rsid w:val="00137F09"/>
    <w:rsid w:val="00165E59"/>
    <w:rsid w:val="001A5D11"/>
    <w:rsid w:val="001B6C8B"/>
    <w:rsid w:val="001C66A1"/>
    <w:rsid w:val="002358DF"/>
    <w:rsid w:val="0026075B"/>
    <w:rsid w:val="00267143"/>
    <w:rsid w:val="002D0AE6"/>
    <w:rsid w:val="002D7362"/>
    <w:rsid w:val="002E159A"/>
    <w:rsid w:val="002F1D76"/>
    <w:rsid w:val="003400A3"/>
    <w:rsid w:val="00380BE3"/>
    <w:rsid w:val="00401CFC"/>
    <w:rsid w:val="00405559"/>
    <w:rsid w:val="00455279"/>
    <w:rsid w:val="004578D0"/>
    <w:rsid w:val="004E660C"/>
    <w:rsid w:val="004F7D01"/>
    <w:rsid w:val="00501CC4"/>
    <w:rsid w:val="005055AA"/>
    <w:rsid w:val="005378E8"/>
    <w:rsid w:val="005743BF"/>
    <w:rsid w:val="00592031"/>
    <w:rsid w:val="005B4888"/>
    <w:rsid w:val="006224D9"/>
    <w:rsid w:val="00662DEB"/>
    <w:rsid w:val="00674554"/>
    <w:rsid w:val="006A4250"/>
    <w:rsid w:val="006A75D2"/>
    <w:rsid w:val="006D1E6C"/>
    <w:rsid w:val="006F0516"/>
    <w:rsid w:val="00764BB0"/>
    <w:rsid w:val="0078238D"/>
    <w:rsid w:val="00795D3D"/>
    <w:rsid w:val="007A540E"/>
    <w:rsid w:val="008537C6"/>
    <w:rsid w:val="00897845"/>
    <w:rsid w:val="008C6A3C"/>
    <w:rsid w:val="008D703E"/>
    <w:rsid w:val="0091382D"/>
    <w:rsid w:val="0092119B"/>
    <w:rsid w:val="0094378E"/>
    <w:rsid w:val="00954463"/>
    <w:rsid w:val="0099518D"/>
    <w:rsid w:val="009D7F4C"/>
    <w:rsid w:val="00A460D7"/>
    <w:rsid w:val="00A62437"/>
    <w:rsid w:val="00AC681B"/>
    <w:rsid w:val="00B07E54"/>
    <w:rsid w:val="00BB1F48"/>
    <w:rsid w:val="00BE7DA9"/>
    <w:rsid w:val="00C03DEF"/>
    <w:rsid w:val="00C53A3D"/>
    <w:rsid w:val="00CC29C9"/>
    <w:rsid w:val="00CF3B3C"/>
    <w:rsid w:val="00D354D6"/>
    <w:rsid w:val="00D361EE"/>
    <w:rsid w:val="00DA32BC"/>
    <w:rsid w:val="00DA670C"/>
    <w:rsid w:val="00E37975"/>
    <w:rsid w:val="00E518D5"/>
    <w:rsid w:val="00E601B7"/>
    <w:rsid w:val="00E81694"/>
    <w:rsid w:val="00EF32BF"/>
    <w:rsid w:val="00F01230"/>
    <w:rsid w:val="00F070E8"/>
    <w:rsid w:val="00F172FC"/>
    <w:rsid w:val="00F72F27"/>
    <w:rsid w:val="00FA3690"/>
    <w:rsid w:val="00FB4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32E"/>
    <w:rPr>
      <w:rFonts w:ascii="Tahoma" w:hAnsi="Tahoma" w:cs="Tahoma"/>
      <w:sz w:val="16"/>
      <w:szCs w:val="16"/>
    </w:rPr>
  </w:style>
  <w:style w:type="character" w:customStyle="1" w:styleId="BalloonTextChar">
    <w:name w:val="Balloon Text Char"/>
    <w:basedOn w:val="DefaultParagraphFont"/>
    <w:link w:val="BalloonText"/>
    <w:uiPriority w:val="99"/>
    <w:semiHidden/>
    <w:rsid w:val="0009032E"/>
    <w:rPr>
      <w:rFonts w:ascii="Tahoma" w:hAnsi="Tahoma" w:cs="Tahoma"/>
      <w:sz w:val="16"/>
      <w:szCs w:val="16"/>
    </w:rPr>
  </w:style>
  <w:style w:type="paragraph" w:styleId="Header">
    <w:name w:val="header"/>
    <w:basedOn w:val="Normal"/>
    <w:link w:val="HeaderChar"/>
    <w:uiPriority w:val="99"/>
    <w:unhideWhenUsed/>
    <w:rsid w:val="00307FAC"/>
    <w:pPr>
      <w:tabs>
        <w:tab w:val="center" w:pos="4680"/>
        <w:tab w:val="right" w:pos="9360"/>
      </w:tabs>
    </w:pPr>
  </w:style>
  <w:style w:type="character" w:customStyle="1" w:styleId="HeaderChar">
    <w:name w:val="Header Char"/>
    <w:basedOn w:val="DefaultParagraphFont"/>
    <w:link w:val="Header"/>
    <w:uiPriority w:val="99"/>
    <w:rsid w:val="00307FAC"/>
    <w:rPr>
      <w:sz w:val="24"/>
      <w:szCs w:val="24"/>
    </w:rPr>
  </w:style>
  <w:style w:type="paragraph" w:styleId="Footer">
    <w:name w:val="footer"/>
    <w:basedOn w:val="Normal"/>
    <w:link w:val="FooterChar"/>
    <w:uiPriority w:val="99"/>
    <w:unhideWhenUsed/>
    <w:rsid w:val="00307FAC"/>
    <w:pPr>
      <w:tabs>
        <w:tab w:val="center" w:pos="4680"/>
        <w:tab w:val="right" w:pos="9360"/>
      </w:tabs>
    </w:pPr>
  </w:style>
  <w:style w:type="character" w:customStyle="1" w:styleId="FooterChar">
    <w:name w:val="Footer Char"/>
    <w:basedOn w:val="DefaultParagraphFont"/>
    <w:link w:val="Footer"/>
    <w:uiPriority w:val="99"/>
    <w:rsid w:val="00307FAC"/>
    <w:rPr>
      <w:sz w:val="24"/>
      <w:szCs w:val="24"/>
    </w:rPr>
  </w:style>
  <w:style w:type="table" w:styleId="TableGrid">
    <w:name w:val="Table Grid"/>
    <w:basedOn w:val="TableNormal"/>
    <w:uiPriority w:val="59"/>
    <w:rsid w:val="00C03D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00A3"/>
    <w:pPr>
      <w:spacing w:line="276" w:lineRule="auto"/>
      <w:ind w:left="720" w:firstLine="720"/>
      <w:contextualSpacing/>
    </w:pPr>
    <w:rPr>
      <w:rFonts w:ascii="Calibri" w:hAnsi="Calibri"/>
      <w:sz w:val="22"/>
      <w:szCs w:val="22"/>
    </w:rPr>
  </w:style>
  <w:style w:type="paragraph" w:styleId="NoSpacing">
    <w:name w:val="No Spacing"/>
    <w:uiPriority w:val="1"/>
    <w:qFormat/>
    <w:rsid w:val="004578D0"/>
    <w:rPr>
      <w:sz w:val="24"/>
      <w:szCs w:val="24"/>
    </w:rPr>
  </w:style>
</w:styles>
</file>

<file path=word/webSettings.xml><?xml version="1.0" encoding="utf-8"?>
<w:webSettings xmlns:r="http://schemas.openxmlformats.org/officeDocument/2006/relationships" xmlns:w="http://schemas.openxmlformats.org/wordprocessingml/2006/main">
  <w:divs>
    <w:div w:id="83113250">
      <w:bodyDiv w:val="1"/>
      <w:marLeft w:val="0"/>
      <w:marRight w:val="0"/>
      <w:marTop w:val="0"/>
      <w:marBottom w:val="0"/>
      <w:divBdr>
        <w:top w:val="none" w:sz="0" w:space="0" w:color="auto"/>
        <w:left w:val="none" w:sz="0" w:space="0" w:color="auto"/>
        <w:bottom w:val="none" w:sz="0" w:space="0" w:color="auto"/>
        <w:right w:val="none" w:sz="0" w:space="0" w:color="auto"/>
      </w:divBdr>
    </w:div>
    <w:div w:id="1104031449">
      <w:bodyDiv w:val="1"/>
      <w:marLeft w:val="0"/>
      <w:marRight w:val="0"/>
      <w:marTop w:val="0"/>
      <w:marBottom w:val="0"/>
      <w:divBdr>
        <w:top w:val="none" w:sz="0" w:space="0" w:color="auto"/>
        <w:left w:val="none" w:sz="0" w:space="0" w:color="auto"/>
        <w:bottom w:val="none" w:sz="0" w:space="0" w:color="auto"/>
        <w:right w:val="none" w:sz="0" w:space="0" w:color="auto"/>
      </w:divBdr>
    </w:div>
    <w:div w:id="1343161077">
      <w:bodyDiv w:val="1"/>
      <w:marLeft w:val="0"/>
      <w:marRight w:val="0"/>
      <w:marTop w:val="0"/>
      <w:marBottom w:val="0"/>
      <w:divBdr>
        <w:top w:val="none" w:sz="0" w:space="0" w:color="auto"/>
        <w:left w:val="none" w:sz="0" w:space="0" w:color="auto"/>
        <w:bottom w:val="none" w:sz="0" w:space="0" w:color="auto"/>
        <w:right w:val="none" w:sz="0" w:space="0" w:color="auto"/>
      </w:divBdr>
    </w:div>
    <w:div w:id="1555970960">
      <w:bodyDiv w:val="1"/>
      <w:marLeft w:val="0"/>
      <w:marRight w:val="0"/>
      <w:marTop w:val="0"/>
      <w:marBottom w:val="0"/>
      <w:divBdr>
        <w:top w:val="none" w:sz="0" w:space="0" w:color="auto"/>
        <w:left w:val="none" w:sz="0" w:space="0" w:color="auto"/>
        <w:bottom w:val="none" w:sz="0" w:space="0" w:color="auto"/>
        <w:right w:val="none" w:sz="0" w:space="0" w:color="auto"/>
      </w:divBdr>
    </w:div>
    <w:div w:id="1594125351">
      <w:bodyDiv w:val="1"/>
      <w:marLeft w:val="0"/>
      <w:marRight w:val="0"/>
      <w:marTop w:val="0"/>
      <w:marBottom w:val="0"/>
      <w:divBdr>
        <w:top w:val="none" w:sz="0" w:space="0" w:color="auto"/>
        <w:left w:val="none" w:sz="0" w:space="0" w:color="auto"/>
        <w:bottom w:val="none" w:sz="0" w:space="0" w:color="auto"/>
        <w:right w:val="none" w:sz="0" w:space="0" w:color="auto"/>
      </w:divBdr>
    </w:div>
    <w:div w:id="1603606064">
      <w:bodyDiv w:val="1"/>
      <w:marLeft w:val="0"/>
      <w:marRight w:val="0"/>
      <w:marTop w:val="0"/>
      <w:marBottom w:val="0"/>
      <w:divBdr>
        <w:top w:val="none" w:sz="0" w:space="0" w:color="auto"/>
        <w:left w:val="none" w:sz="0" w:space="0" w:color="auto"/>
        <w:bottom w:val="none" w:sz="0" w:space="0" w:color="auto"/>
        <w:right w:val="none" w:sz="0" w:space="0" w:color="auto"/>
      </w:divBdr>
    </w:div>
    <w:div w:id="1940139981">
      <w:bodyDiv w:val="1"/>
      <w:marLeft w:val="0"/>
      <w:marRight w:val="0"/>
      <w:marTop w:val="0"/>
      <w:marBottom w:val="0"/>
      <w:divBdr>
        <w:top w:val="none" w:sz="0" w:space="0" w:color="auto"/>
        <w:left w:val="none" w:sz="0" w:space="0" w:color="auto"/>
        <w:bottom w:val="none" w:sz="0" w:space="0" w:color="auto"/>
        <w:right w:val="none" w:sz="0" w:space="0" w:color="auto"/>
      </w:divBdr>
    </w:div>
    <w:div w:id="19493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10.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4.png"/><Relationship Id="rId27" Type="http://schemas.openxmlformats.org/officeDocument/2006/relationships/chart" Target="charts/chart17.xml"/><Relationship Id="rId30" Type="http://schemas.openxmlformats.org/officeDocument/2006/relationships/chart" Target="charts/chart1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Personal\Assessment%20Services%20Group\ML%20Trends%202004-200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Copy%20of%20MLTrendsDirectionsSection2FY0408%20Kate.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Copy%20of%20MLTrendsDirectionsSection2FY0408%20Kate.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Copy%20of%20MLTrendsDirectionsSection2FY0408%20Kat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Copy%20of%20MLTrendsDirectionsSection2FY0408%20Kate.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Copy%20of%20MLTrendsDirectionsSection2FY0408%20Kate.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Copy%20of%20MLTrendsDirectionsSection2FY0408%20Kate.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ib_ss\AppData\Local\Microsoft\Windows\Temporary%20Internet%20Files\Content.Outlook\4ZXXFG4A\Chart22Instru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ML%20Trends%202004-2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b_ss\Documents\Assessment%20Services%20Group\Trends%20Reports\ML%20Trends%202004-2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res\work\Zoellner\TRENDS04-\INSTITUTIONlevel\MLTrendsDirectionsSection2FY04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t>Chart 1. Staffing Levels</a:t>
            </a:r>
            <a:r>
              <a:rPr lang="en-US" sz="1200" baseline="0"/>
              <a:t> (FTE)</a:t>
            </a:r>
            <a:r>
              <a:rPr lang="en-US" sz="1200"/>
              <a:t>, FY 2005-2008 </a:t>
            </a:r>
          </a:p>
        </c:rich>
      </c:tx>
      <c:layout>
        <c:manualLayout>
          <c:xMode val="edge"/>
          <c:yMode val="edge"/>
          <c:x val="0.19298600174978137"/>
          <c:y val="2.7777777777777925E-2"/>
        </c:manualLayout>
      </c:layout>
    </c:title>
    <c:plotArea>
      <c:layout/>
      <c:lineChart>
        <c:grouping val="standard"/>
        <c:ser>
          <c:idx val="0"/>
          <c:order val="0"/>
          <c:tx>
            <c:strRef>
              <c:f>'Human Resources'!$A$3</c:f>
              <c:strCache>
                <c:ptCount val="1"/>
                <c:pt idx="0">
                  <c:v>Staff</c:v>
                </c:pt>
              </c:strCache>
            </c:strRef>
          </c:tx>
          <c:marker>
            <c:symbol val="none"/>
          </c:marker>
          <c:cat>
            <c:numRef>
              <c:f>'Human Resources'!$B$2:$E$2</c:f>
              <c:numCache>
                <c:formatCode>General</c:formatCode>
                <c:ptCount val="4"/>
                <c:pt idx="0">
                  <c:v>2005</c:v>
                </c:pt>
                <c:pt idx="1">
                  <c:v>2006</c:v>
                </c:pt>
                <c:pt idx="2">
                  <c:v>2007</c:v>
                </c:pt>
                <c:pt idx="3">
                  <c:v>2008</c:v>
                </c:pt>
              </c:numCache>
            </c:numRef>
          </c:cat>
          <c:val>
            <c:numRef>
              <c:f>'Human Resources'!$B$3:$E$3</c:f>
              <c:numCache>
                <c:formatCode>General</c:formatCode>
                <c:ptCount val="4"/>
                <c:pt idx="0">
                  <c:v>42.449999999999996</c:v>
                </c:pt>
                <c:pt idx="1">
                  <c:v>41.58</c:v>
                </c:pt>
                <c:pt idx="2">
                  <c:v>41.58</c:v>
                </c:pt>
                <c:pt idx="3">
                  <c:v>41.75</c:v>
                </c:pt>
              </c:numCache>
            </c:numRef>
          </c:val>
        </c:ser>
        <c:ser>
          <c:idx val="1"/>
          <c:order val="1"/>
          <c:tx>
            <c:strRef>
              <c:f>'Human Resources'!$A$4</c:f>
              <c:strCache>
                <c:ptCount val="1"/>
                <c:pt idx="0">
                  <c:v>Professional</c:v>
                </c:pt>
              </c:strCache>
            </c:strRef>
          </c:tx>
          <c:marker>
            <c:symbol val="none"/>
          </c:marker>
          <c:cat>
            <c:numRef>
              <c:f>'Human Resources'!$B$2:$E$2</c:f>
              <c:numCache>
                <c:formatCode>General</c:formatCode>
                <c:ptCount val="4"/>
                <c:pt idx="0">
                  <c:v>2005</c:v>
                </c:pt>
                <c:pt idx="1">
                  <c:v>2006</c:v>
                </c:pt>
                <c:pt idx="2">
                  <c:v>2007</c:v>
                </c:pt>
                <c:pt idx="3">
                  <c:v>2008</c:v>
                </c:pt>
              </c:numCache>
            </c:numRef>
          </c:cat>
          <c:val>
            <c:numRef>
              <c:f>'Human Resources'!$B$4:$E$4</c:f>
              <c:numCache>
                <c:formatCode>General</c:formatCode>
                <c:ptCount val="4"/>
                <c:pt idx="0">
                  <c:v>19.959999999999987</c:v>
                </c:pt>
                <c:pt idx="1">
                  <c:v>19.91</c:v>
                </c:pt>
                <c:pt idx="2">
                  <c:v>19.16</c:v>
                </c:pt>
                <c:pt idx="3">
                  <c:v>20.5</c:v>
                </c:pt>
              </c:numCache>
            </c:numRef>
          </c:val>
        </c:ser>
        <c:ser>
          <c:idx val="2"/>
          <c:order val="2"/>
          <c:tx>
            <c:strRef>
              <c:f>'Human Resources'!$A$5</c:f>
              <c:strCache>
                <c:ptCount val="1"/>
                <c:pt idx="0">
                  <c:v>Students</c:v>
                </c:pt>
              </c:strCache>
            </c:strRef>
          </c:tx>
          <c:marker>
            <c:symbol val="none"/>
          </c:marker>
          <c:cat>
            <c:numRef>
              <c:f>'Human Resources'!$B$2:$E$2</c:f>
              <c:numCache>
                <c:formatCode>General</c:formatCode>
                <c:ptCount val="4"/>
                <c:pt idx="0">
                  <c:v>2005</c:v>
                </c:pt>
                <c:pt idx="1">
                  <c:v>2006</c:v>
                </c:pt>
                <c:pt idx="2">
                  <c:v>2007</c:v>
                </c:pt>
                <c:pt idx="3">
                  <c:v>2008</c:v>
                </c:pt>
              </c:numCache>
            </c:numRef>
          </c:cat>
          <c:val>
            <c:numRef>
              <c:f>'Human Resources'!$B$5:$E$5</c:f>
              <c:numCache>
                <c:formatCode>General</c:formatCode>
                <c:ptCount val="4"/>
                <c:pt idx="0">
                  <c:v>17.54</c:v>
                </c:pt>
                <c:pt idx="1">
                  <c:v>16.630000000000031</c:v>
                </c:pt>
                <c:pt idx="2">
                  <c:v>19.14</c:v>
                </c:pt>
                <c:pt idx="3">
                  <c:v>18.57</c:v>
                </c:pt>
              </c:numCache>
            </c:numRef>
          </c:val>
        </c:ser>
        <c:marker val="1"/>
        <c:axId val="75229056"/>
        <c:axId val="75230592"/>
      </c:lineChart>
      <c:catAx>
        <c:axId val="75229056"/>
        <c:scaling>
          <c:orientation val="minMax"/>
        </c:scaling>
        <c:axPos val="b"/>
        <c:numFmt formatCode="General" sourceLinked="1"/>
        <c:tickLblPos val="nextTo"/>
        <c:crossAx val="75230592"/>
        <c:crosses val="autoZero"/>
        <c:auto val="1"/>
        <c:lblAlgn val="ctr"/>
        <c:lblOffset val="100"/>
      </c:catAx>
      <c:valAx>
        <c:axId val="75230592"/>
        <c:scaling>
          <c:orientation val="minMax"/>
        </c:scaling>
        <c:axPos val="l"/>
        <c:majorGridlines/>
        <c:numFmt formatCode="General" sourceLinked="1"/>
        <c:tickLblPos val="nextTo"/>
        <c:crossAx val="75229056"/>
        <c:crosses val="autoZero"/>
        <c:crossBetween val="between"/>
      </c:valAx>
    </c:plotArea>
    <c:legend>
      <c:legendPos val="r"/>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a:t>Chart 8. ML@COT Circulation Transactions by Week of</a:t>
            </a:r>
            <a:r>
              <a:rPr lang="en-US" sz="1200" b="1" baseline="0"/>
              <a:t> </a:t>
            </a:r>
            <a:r>
              <a:rPr lang="en-US" sz="1200" b="1"/>
              <a:t>Semester, Fall 2007 &amp; 2008</a:t>
            </a:r>
          </a:p>
        </c:rich>
      </c:tx>
      <c:layout>
        <c:manualLayout>
          <c:xMode val="edge"/>
          <c:yMode val="edge"/>
          <c:x val="0.15641047586443155"/>
          <c:y val="3.9801048490985896E-2"/>
        </c:manualLayout>
      </c:layout>
      <c:spPr>
        <a:noFill/>
        <a:ln w="25400">
          <a:noFill/>
        </a:ln>
      </c:spPr>
    </c:title>
    <c:plotArea>
      <c:layout>
        <c:manualLayout>
          <c:layoutTarget val="inner"/>
          <c:xMode val="edge"/>
          <c:yMode val="edge"/>
          <c:x val="9.9637857432237728E-2"/>
          <c:y val="0.20822534978403359"/>
          <c:w val="0.87500154799583263"/>
          <c:h val="0.55205654411308824"/>
        </c:manualLayout>
      </c:layout>
      <c:lineChart>
        <c:grouping val="standard"/>
        <c:ser>
          <c:idx val="0"/>
          <c:order val="0"/>
          <c:tx>
            <c:strRef>
              <c:f>'COT Circulation'!$B$49</c:f>
              <c:strCache>
                <c:ptCount val="1"/>
                <c:pt idx="0">
                  <c:v>Transactions at COT 07</c:v>
                </c:pt>
              </c:strCache>
            </c:strRef>
          </c:tx>
          <c:spPr>
            <a:ln w="25400">
              <a:solidFill>
                <a:srgbClr val="666699"/>
              </a:solidFill>
              <a:prstDash val="solid"/>
            </a:ln>
          </c:spPr>
          <c:marker>
            <c:spPr>
              <a:solidFill>
                <a:srgbClr val="4F81BD"/>
              </a:solidFill>
              <a:ln>
                <a:solidFill>
                  <a:srgbClr val="666699"/>
                </a:solidFill>
                <a:prstDash val="solid"/>
              </a:ln>
            </c:spPr>
          </c:marker>
          <c:cat>
            <c:strRef>
              <c:f>'COT Circulation'!$A$50:$A$65</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'COT Circulation'!$B$50:$B$65</c:f>
              <c:numCache>
                <c:formatCode>General</c:formatCode>
                <c:ptCount val="16"/>
                <c:pt idx="0">
                  <c:v>155</c:v>
                </c:pt>
                <c:pt idx="1">
                  <c:v>132</c:v>
                </c:pt>
                <c:pt idx="2">
                  <c:v>190</c:v>
                </c:pt>
                <c:pt idx="3">
                  <c:v>112</c:v>
                </c:pt>
                <c:pt idx="4">
                  <c:v>173</c:v>
                </c:pt>
                <c:pt idx="5">
                  <c:v>118</c:v>
                </c:pt>
                <c:pt idx="6">
                  <c:v>136</c:v>
                </c:pt>
                <c:pt idx="7">
                  <c:v>164</c:v>
                </c:pt>
                <c:pt idx="8">
                  <c:v>116</c:v>
                </c:pt>
                <c:pt idx="9">
                  <c:v>124</c:v>
                </c:pt>
                <c:pt idx="10">
                  <c:v>110</c:v>
                </c:pt>
                <c:pt idx="11">
                  <c:v>100</c:v>
                </c:pt>
                <c:pt idx="12">
                  <c:v>64</c:v>
                </c:pt>
                <c:pt idx="13">
                  <c:v>115</c:v>
                </c:pt>
                <c:pt idx="14">
                  <c:v>142</c:v>
                </c:pt>
                <c:pt idx="15">
                  <c:v>64</c:v>
                </c:pt>
              </c:numCache>
            </c:numRef>
          </c:val>
        </c:ser>
        <c:ser>
          <c:idx val="1"/>
          <c:order val="1"/>
          <c:tx>
            <c:strRef>
              <c:f>'COT Circulation'!$C$49</c:f>
              <c:strCache>
                <c:ptCount val="1"/>
                <c:pt idx="0">
                  <c:v>Transactions at COT 08</c:v>
                </c:pt>
              </c:strCache>
            </c:strRef>
          </c:tx>
          <c:spPr>
            <a:ln w="25400">
              <a:solidFill>
                <a:srgbClr val="993366"/>
              </a:solidFill>
              <a:prstDash val="solid"/>
            </a:ln>
          </c:spPr>
          <c:marker>
            <c:spPr>
              <a:solidFill>
                <a:srgbClr val="C0504D"/>
              </a:solidFill>
              <a:ln>
                <a:solidFill>
                  <a:srgbClr val="993366"/>
                </a:solidFill>
                <a:prstDash val="solid"/>
              </a:ln>
            </c:spPr>
          </c:marker>
          <c:cat>
            <c:strRef>
              <c:f>'COT Circulation'!$A$50:$A$65</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'COT Circulation'!$C$50:$C$65</c:f>
              <c:numCache>
                <c:formatCode>General</c:formatCode>
                <c:ptCount val="16"/>
                <c:pt idx="0">
                  <c:v>209</c:v>
                </c:pt>
                <c:pt idx="1">
                  <c:v>131</c:v>
                </c:pt>
                <c:pt idx="2">
                  <c:v>152</c:v>
                </c:pt>
                <c:pt idx="3">
                  <c:v>117</c:v>
                </c:pt>
                <c:pt idx="4">
                  <c:v>102</c:v>
                </c:pt>
                <c:pt idx="5">
                  <c:v>111</c:v>
                </c:pt>
                <c:pt idx="6">
                  <c:v>128</c:v>
                </c:pt>
                <c:pt idx="7">
                  <c:v>116</c:v>
                </c:pt>
                <c:pt idx="8">
                  <c:v>126</c:v>
                </c:pt>
                <c:pt idx="9">
                  <c:v>111</c:v>
                </c:pt>
                <c:pt idx="10">
                  <c:v>69</c:v>
                </c:pt>
                <c:pt idx="11">
                  <c:v>81</c:v>
                </c:pt>
                <c:pt idx="12">
                  <c:v>112</c:v>
                </c:pt>
                <c:pt idx="13">
                  <c:v>45</c:v>
                </c:pt>
                <c:pt idx="14">
                  <c:v>104</c:v>
                </c:pt>
                <c:pt idx="15">
                  <c:v>73</c:v>
                </c:pt>
              </c:numCache>
            </c:numRef>
          </c:val>
        </c:ser>
        <c:marker val="1"/>
        <c:axId val="75904128"/>
        <c:axId val="75906048"/>
      </c:lineChart>
      <c:catAx>
        <c:axId val="75904128"/>
        <c:scaling>
          <c:orientation val="minMax"/>
        </c:scaling>
        <c:axPos val="b"/>
        <c:numFmt formatCode="General" sourceLinked="1"/>
        <c:tickLblPos val="nextTo"/>
        <c:spPr>
          <a:ln w="3175">
            <a:solidFill>
              <a:srgbClr val="808080"/>
            </a:solidFill>
            <a:prstDash val="solid"/>
          </a:ln>
        </c:spPr>
        <c:crossAx val="75906048"/>
        <c:crosses val="autoZero"/>
        <c:auto val="1"/>
        <c:lblAlgn val="ctr"/>
        <c:lblOffset val="100"/>
      </c:catAx>
      <c:valAx>
        <c:axId val="75906048"/>
        <c:scaling>
          <c:orientation val="minMax"/>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5904128"/>
        <c:crosses val="autoZero"/>
        <c:crossBetween val="between"/>
      </c:valAx>
      <c:spPr>
        <a:solidFill>
          <a:srgbClr val="FFFFFF"/>
        </a:solidFill>
        <a:ln w="25400">
          <a:noFill/>
        </a:ln>
      </c:spPr>
    </c:plotArea>
    <c:legend>
      <c:legendPos val="r"/>
      <c:layout>
        <c:manualLayout>
          <c:xMode val="edge"/>
          <c:yMode val="edge"/>
          <c:x val="6.521758149796493E-2"/>
          <c:y val="0.92651166635666549"/>
          <c:w val="0.88405949256343352"/>
          <c:h val="6.2992401540359066E-2"/>
        </c:manualLayout>
      </c:layout>
      <c:spPr>
        <a:noFill/>
        <a:ln w="25400">
          <a:noFill/>
        </a:ln>
      </c:spPr>
      <c:txPr>
        <a:bodyPr/>
        <a:lstStyle/>
        <a:p>
          <a:pPr>
            <a:defRPr sz="84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9. Interlibrary Loan Transactions by Week of Semester,</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Fall 2007 &amp; 2008</a:t>
            </a:r>
          </a:p>
        </c:rich>
      </c:tx>
      <c:spPr>
        <a:noFill/>
        <a:ln w="25400">
          <a:noFill/>
        </a:ln>
      </c:spPr>
    </c:title>
    <c:plotArea>
      <c:layout>
        <c:manualLayout>
          <c:layoutTarget val="inner"/>
          <c:xMode val="edge"/>
          <c:yMode val="edge"/>
          <c:x val="9.2783660840281432E-2"/>
          <c:y val="0.21540859206070812"/>
          <c:w val="0.88144477798267351"/>
          <c:h val="0.50849128962506629"/>
        </c:manualLayout>
      </c:layout>
      <c:lineChart>
        <c:grouping val="standard"/>
        <c:ser>
          <c:idx val="0"/>
          <c:order val="0"/>
          <c:tx>
            <c:strRef>
              <c:f>'ML Circulation'!$B$203</c:f>
              <c:strCache>
                <c:ptCount val="1"/>
                <c:pt idx="0">
                  <c:v>Transactions 07</c:v>
                </c:pt>
              </c:strCache>
            </c:strRef>
          </c:tx>
          <c:spPr>
            <a:ln w="25400">
              <a:solidFill>
                <a:srgbClr val="666699"/>
              </a:solidFill>
              <a:prstDash val="solid"/>
            </a:ln>
          </c:spPr>
          <c:marker>
            <c:spPr>
              <a:solidFill>
                <a:srgbClr val="4F81BD"/>
              </a:solidFill>
              <a:ln>
                <a:solidFill>
                  <a:srgbClr val="666699"/>
                </a:solidFill>
                <a:prstDash val="solid"/>
              </a:ln>
            </c:spPr>
          </c:marker>
          <c:cat>
            <c:strRef>
              <c:f>'ML Circulation'!$A$204:$A$219</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'ML Circulation'!$B$204:$B$219</c:f>
              <c:numCache>
                <c:formatCode>General</c:formatCode>
                <c:ptCount val="16"/>
                <c:pt idx="0">
                  <c:v>536</c:v>
                </c:pt>
                <c:pt idx="1">
                  <c:v>563</c:v>
                </c:pt>
                <c:pt idx="2">
                  <c:v>661</c:v>
                </c:pt>
                <c:pt idx="3">
                  <c:v>745</c:v>
                </c:pt>
                <c:pt idx="4">
                  <c:v>784</c:v>
                </c:pt>
                <c:pt idx="5">
                  <c:v>760</c:v>
                </c:pt>
                <c:pt idx="6">
                  <c:v>933</c:v>
                </c:pt>
                <c:pt idx="7">
                  <c:v>843</c:v>
                </c:pt>
                <c:pt idx="8">
                  <c:v>982</c:v>
                </c:pt>
                <c:pt idx="9">
                  <c:v>864</c:v>
                </c:pt>
                <c:pt idx="10">
                  <c:v>1086</c:v>
                </c:pt>
                <c:pt idx="11">
                  <c:v>898</c:v>
                </c:pt>
                <c:pt idx="12">
                  <c:v>753</c:v>
                </c:pt>
                <c:pt idx="13">
                  <c:v>978</c:v>
                </c:pt>
                <c:pt idx="14">
                  <c:v>975</c:v>
                </c:pt>
                <c:pt idx="15">
                  <c:v>912</c:v>
                </c:pt>
              </c:numCache>
            </c:numRef>
          </c:val>
        </c:ser>
        <c:ser>
          <c:idx val="1"/>
          <c:order val="1"/>
          <c:tx>
            <c:strRef>
              <c:f>'ML Circulation'!$C$203</c:f>
              <c:strCache>
                <c:ptCount val="1"/>
                <c:pt idx="0">
                  <c:v>Transactions 08</c:v>
                </c:pt>
              </c:strCache>
            </c:strRef>
          </c:tx>
          <c:spPr>
            <a:ln w="25400">
              <a:solidFill>
                <a:srgbClr val="993366"/>
              </a:solidFill>
              <a:prstDash val="solid"/>
            </a:ln>
          </c:spPr>
          <c:marker>
            <c:spPr>
              <a:solidFill>
                <a:srgbClr val="C0504D"/>
              </a:solidFill>
              <a:ln>
                <a:solidFill>
                  <a:srgbClr val="993366"/>
                </a:solidFill>
                <a:prstDash val="solid"/>
              </a:ln>
            </c:spPr>
          </c:marker>
          <c:cat>
            <c:strRef>
              <c:f>'ML Circulation'!$A$204:$A$219</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'ML Circulation'!$C$204:$C$219</c:f>
              <c:numCache>
                <c:formatCode>General</c:formatCode>
                <c:ptCount val="16"/>
                <c:pt idx="0">
                  <c:v>456</c:v>
                </c:pt>
                <c:pt idx="1">
                  <c:v>568</c:v>
                </c:pt>
                <c:pt idx="2">
                  <c:v>506</c:v>
                </c:pt>
                <c:pt idx="3">
                  <c:v>683</c:v>
                </c:pt>
                <c:pt idx="4">
                  <c:v>752</c:v>
                </c:pt>
                <c:pt idx="5">
                  <c:v>790</c:v>
                </c:pt>
                <c:pt idx="6">
                  <c:v>820</c:v>
                </c:pt>
                <c:pt idx="7">
                  <c:v>778</c:v>
                </c:pt>
                <c:pt idx="8">
                  <c:v>872</c:v>
                </c:pt>
                <c:pt idx="9">
                  <c:v>903</c:v>
                </c:pt>
                <c:pt idx="10">
                  <c:v>826</c:v>
                </c:pt>
                <c:pt idx="11">
                  <c:v>915</c:v>
                </c:pt>
                <c:pt idx="12">
                  <c:v>964</c:v>
                </c:pt>
                <c:pt idx="13">
                  <c:v>639</c:v>
                </c:pt>
                <c:pt idx="14">
                  <c:v>1172</c:v>
                </c:pt>
                <c:pt idx="15">
                  <c:v>1098</c:v>
                </c:pt>
              </c:numCache>
            </c:numRef>
          </c:val>
        </c:ser>
        <c:marker val="1"/>
        <c:axId val="75934720"/>
        <c:axId val="76027008"/>
      </c:lineChart>
      <c:catAx>
        <c:axId val="75934720"/>
        <c:scaling>
          <c:orientation val="minMax"/>
        </c:scaling>
        <c:axPos val="b"/>
        <c:numFmt formatCode="General" sourceLinked="1"/>
        <c:majorTickMark val="none"/>
        <c:minorTickMark val="out"/>
        <c:tickLblPos val="nextTo"/>
        <c:spPr>
          <a:ln w="3175">
            <a:solidFill>
              <a:srgbClr val="808080"/>
            </a:solidFill>
            <a:prstDash val="solid"/>
          </a:ln>
        </c:spPr>
        <c:crossAx val="76027008"/>
        <c:crosses val="autoZero"/>
        <c:auto val="1"/>
        <c:lblAlgn val="ctr"/>
        <c:lblOffset val="100"/>
      </c:catAx>
      <c:valAx>
        <c:axId val="76027008"/>
        <c:scaling>
          <c:orientation val="minMax"/>
          <c:max val="1200"/>
        </c:scaling>
        <c:axPos val="l"/>
        <c:majorGridlines>
          <c:spPr>
            <a:ln w="3175">
              <a:solidFill>
                <a:srgbClr val="808080"/>
              </a:solidFill>
              <a:prstDash val="solid"/>
            </a:ln>
          </c:spPr>
        </c:majorGridlines>
        <c:numFmt formatCode="General" sourceLinked="1"/>
        <c:tickLblPos val="nextTo"/>
        <c:spPr>
          <a:ln w="12700">
            <a:solidFill>
              <a:srgbClr val="969696"/>
            </a:solidFill>
            <a:prstDash val="solid"/>
          </a:ln>
        </c:spPr>
        <c:crossAx val="75934720"/>
        <c:crosses val="autoZero"/>
        <c:crossBetween val="between"/>
      </c:valAx>
      <c:spPr>
        <a:solidFill>
          <a:srgbClr val="FFFFFF"/>
        </a:solidFill>
        <a:ln w="25400">
          <a:noFill/>
        </a:ln>
      </c:spPr>
    </c:plotArea>
    <c:legend>
      <c:legendPos val="r"/>
      <c:layout>
        <c:manualLayout>
          <c:xMode val="edge"/>
          <c:yMode val="edge"/>
          <c:x val="0.27663284357496581"/>
          <c:y val="0.90883430169519464"/>
          <c:w val="0.46220003427406631"/>
          <c:h val="6.8376367483979017E-2"/>
        </c:manualLayout>
      </c:layout>
      <c:spPr>
        <a:noFill/>
        <a:ln w="25400">
          <a:noFill/>
        </a:ln>
      </c:spPr>
      <c:txPr>
        <a:bodyPr/>
        <a:lstStyle/>
        <a:p>
          <a:pPr>
            <a:defRPr sz="84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Chart 10. Web Site Visit</a:t>
            </a:r>
            <a:r>
              <a:rPr lang="en-US" sz="1100" baseline="0"/>
              <a:t> Monthly Averages Measured by Hits, FY 2007 &amp; FY 2008</a:t>
            </a:r>
            <a:endParaRPr lang="en-US" sz="1100"/>
          </a:p>
        </c:rich>
      </c:tx>
    </c:title>
    <c:plotArea>
      <c:layout>
        <c:manualLayout>
          <c:layoutTarget val="inner"/>
          <c:xMode val="edge"/>
          <c:yMode val="edge"/>
          <c:x val="0.10635487548291019"/>
          <c:y val="0.11724657232531288"/>
          <c:w val="0.87056820271085278"/>
          <c:h val="0.62154259126700051"/>
        </c:manualLayout>
      </c:layout>
      <c:lineChart>
        <c:grouping val="standard"/>
        <c:ser>
          <c:idx val="0"/>
          <c:order val="0"/>
          <c:tx>
            <c:strRef>
              <c:f>'WebSite Hits'!$B$39</c:f>
              <c:strCache>
                <c:ptCount val="1"/>
                <c:pt idx="0">
                  <c:v>FY2007 Hits</c:v>
                </c:pt>
              </c:strCache>
            </c:strRef>
          </c:tx>
          <c:cat>
            <c:strRef>
              <c:f>'WebSite Hits'!$A$40:$A$51</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'WebSite Hits'!$B$40:$B$51</c:f>
              <c:numCache>
                <c:formatCode>General</c:formatCode>
                <c:ptCount val="12"/>
                <c:pt idx="0">
                  <c:v>453825</c:v>
                </c:pt>
                <c:pt idx="1">
                  <c:v>458183</c:v>
                </c:pt>
                <c:pt idx="2">
                  <c:v>719482</c:v>
                </c:pt>
                <c:pt idx="3">
                  <c:v>770240</c:v>
                </c:pt>
                <c:pt idx="4">
                  <c:v>665555</c:v>
                </c:pt>
                <c:pt idx="5">
                  <c:v>605611</c:v>
                </c:pt>
                <c:pt idx="6">
                  <c:v>633488</c:v>
                </c:pt>
                <c:pt idx="7">
                  <c:v>743755</c:v>
                </c:pt>
                <c:pt idx="8">
                  <c:v>755353</c:v>
                </c:pt>
                <c:pt idx="9">
                  <c:v>895413</c:v>
                </c:pt>
                <c:pt idx="10">
                  <c:v>631851</c:v>
                </c:pt>
                <c:pt idx="11">
                  <c:v>517076</c:v>
                </c:pt>
              </c:numCache>
            </c:numRef>
          </c:val>
        </c:ser>
        <c:ser>
          <c:idx val="1"/>
          <c:order val="1"/>
          <c:tx>
            <c:strRef>
              <c:f>'WebSite Hits'!$C$39</c:f>
              <c:strCache>
                <c:ptCount val="1"/>
                <c:pt idx="0">
                  <c:v>FY2008 Hits</c:v>
                </c:pt>
              </c:strCache>
            </c:strRef>
          </c:tx>
          <c:cat>
            <c:strRef>
              <c:f>'WebSite Hits'!$A$40:$A$51</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'WebSite Hits'!$C$40:$C$51</c:f>
              <c:numCache>
                <c:formatCode>General</c:formatCode>
                <c:ptCount val="12"/>
                <c:pt idx="0">
                  <c:v>442381</c:v>
                </c:pt>
                <c:pt idx="1">
                  <c:v>382483</c:v>
                </c:pt>
                <c:pt idx="2">
                  <c:v>651246</c:v>
                </c:pt>
                <c:pt idx="3">
                  <c:v>684401</c:v>
                </c:pt>
                <c:pt idx="4">
                  <c:v>582356</c:v>
                </c:pt>
                <c:pt idx="5">
                  <c:v>410169</c:v>
                </c:pt>
                <c:pt idx="6">
                  <c:v>473506</c:v>
                </c:pt>
                <c:pt idx="7">
                  <c:v>653473</c:v>
                </c:pt>
                <c:pt idx="8">
                  <c:v>607076</c:v>
                </c:pt>
                <c:pt idx="9">
                  <c:v>706856</c:v>
                </c:pt>
                <c:pt idx="10">
                  <c:v>533025</c:v>
                </c:pt>
                <c:pt idx="11">
                  <c:v>418468</c:v>
                </c:pt>
              </c:numCache>
            </c:numRef>
          </c:val>
        </c:ser>
        <c:marker val="1"/>
        <c:axId val="76042624"/>
        <c:axId val="76044160"/>
      </c:lineChart>
      <c:catAx>
        <c:axId val="76042624"/>
        <c:scaling>
          <c:orientation val="minMax"/>
        </c:scaling>
        <c:axPos val="b"/>
        <c:tickLblPos val="nextTo"/>
        <c:crossAx val="76044160"/>
        <c:crosses val="autoZero"/>
        <c:auto val="1"/>
        <c:lblAlgn val="ctr"/>
        <c:lblOffset val="100"/>
      </c:catAx>
      <c:valAx>
        <c:axId val="76044160"/>
        <c:scaling>
          <c:orientation val="minMax"/>
          <c:max val="900000"/>
          <c:min val="0"/>
        </c:scaling>
        <c:axPos val="l"/>
        <c:majorGridlines/>
        <c:numFmt formatCode="General" sourceLinked="1"/>
        <c:tickLblPos val="nextTo"/>
        <c:spPr>
          <a:ln w="9525">
            <a:solidFill>
              <a:srgbClr val="808080"/>
            </a:solidFill>
          </a:ln>
        </c:spPr>
        <c:crossAx val="76042624"/>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Calibri"/>
                <a:ea typeface="Calibri"/>
                <a:cs typeface="Calibri"/>
              </a:defRPr>
            </a:pPr>
            <a:r>
              <a:rPr lang="en-US"/>
              <a:t>Chart 13. Group Study Room Bookings, Fall Semester 2007 &amp; 2008</a:t>
            </a:r>
          </a:p>
        </c:rich>
      </c:tx>
      <c:spPr>
        <a:noFill/>
        <a:ln w="25400">
          <a:noFill/>
        </a:ln>
      </c:spPr>
    </c:title>
    <c:plotArea>
      <c:layout>
        <c:manualLayout>
          <c:layoutTarget val="inner"/>
          <c:xMode val="edge"/>
          <c:yMode val="edge"/>
          <c:x val="0.11879453193312982"/>
          <c:y val="0.21161048689138612"/>
          <c:w val="0.86524972512488518"/>
          <c:h val="0.51310861423220977"/>
        </c:manualLayout>
      </c:layout>
      <c:lineChart>
        <c:grouping val="standard"/>
        <c:ser>
          <c:idx val="0"/>
          <c:order val="0"/>
          <c:tx>
            <c:strRef>
              <c:f>'Study Rooms'!$C$5</c:f>
              <c:strCache>
                <c:ptCount val="1"/>
                <c:pt idx="0">
                  <c:v>Fall 07</c:v>
                </c:pt>
              </c:strCache>
            </c:strRef>
          </c:tx>
          <c:spPr>
            <a:ln w="25400">
              <a:solidFill>
                <a:srgbClr val="666699"/>
              </a:solidFill>
              <a:prstDash val="solid"/>
            </a:ln>
          </c:spPr>
          <c:marker>
            <c:spPr>
              <a:solidFill>
                <a:srgbClr val="4F81BD"/>
              </a:solidFill>
              <a:ln>
                <a:solidFill>
                  <a:srgbClr val="666699"/>
                </a:solidFill>
                <a:prstDash val="solid"/>
              </a:ln>
            </c:spPr>
          </c:marker>
          <c:cat>
            <c:strRef>
              <c:f>'Study Rooms'!$A$6:$A$21</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'Study Rooms'!$C$6:$C$21</c:f>
              <c:numCache>
                <c:formatCode>General</c:formatCode>
                <c:ptCount val="16"/>
                <c:pt idx="0">
                  <c:v>128</c:v>
                </c:pt>
                <c:pt idx="1">
                  <c:v>237</c:v>
                </c:pt>
                <c:pt idx="2">
                  <c:v>336</c:v>
                </c:pt>
                <c:pt idx="3">
                  <c:v>488</c:v>
                </c:pt>
                <c:pt idx="4">
                  <c:v>596</c:v>
                </c:pt>
                <c:pt idx="5">
                  <c:v>542</c:v>
                </c:pt>
                <c:pt idx="6">
                  <c:v>565</c:v>
                </c:pt>
                <c:pt idx="7">
                  <c:v>582</c:v>
                </c:pt>
                <c:pt idx="8">
                  <c:v>586</c:v>
                </c:pt>
                <c:pt idx="9">
                  <c:v>531</c:v>
                </c:pt>
                <c:pt idx="10">
                  <c:v>555</c:v>
                </c:pt>
                <c:pt idx="11">
                  <c:v>571</c:v>
                </c:pt>
                <c:pt idx="12">
                  <c:v>274</c:v>
                </c:pt>
                <c:pt idx="13">
                  <c:v>585</c:v>
                </c:pt>
                <c:pt idx="14">
                  <c:v>844</c:v>
                </c:pt>
                <c:pt idx="15">
                  <c:v>811</c:v>
                </c:pt>
              </c:numCache>
            </c:numRef>
          </c:val>
        </c:ser>
        <c:ser>
          <c:idx val="1"/>
          <c:order val="1"/>
          <c:tx>
            <c:strRef>
              <c:f>'Study Rooms'!$D$5</c:f>
              <c:strCache>
                <c:ptCount val="1"/>
                <c:pt idx="0">
                  <c:v>Fall 08</c:v>
                </c:pt>
              </c:strCache>
            </c:strRef>
          </c:tx>
          <c:spPr>
            <a:ln w="25400">
              <a:solidFill>
                <a:srgbClr val="993366"/>
              </a:solidFill>
              <a:prstDash val="solid"/>
            </a:ln>
          </c:spPr>
          <c:marker>
            <c:spPr>
              <a:solidFill>
                <a:srgbClr val="C0504D"/>
              </a:solidFill>
              <a:ln>
                <a:solidFill>
                  <a:srgbClr val="993366"/>
                </a:solidFill>
                <a:prstDash val="solid"/>
              </a:ln>
            </c:spPr>
          </c:marker>
          <c:cat>
            <c:strRef>
              <c:f>'Study Rooms'!$A$6:$A$21</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'Study Rooms'!$D$6:$D$21</c:f>
              <c:numCache>
                <c:formatCode>General</c:formatCode>
                <c:ptCount val="16"/>
                <c:pt idx="0">
                  <c:v>54</c:v>
                </c:pt>
                <c:pt idx="1">
                  <c:v>97</c:v>
                </c:pt>
                <c:pt idx="2">
                  <c:v>262</c:v>
                </c:pt>
                <c:pt idx="3">
                  <c:v>391</c:v>
                </c:pt>
                <c:pt idx="4">
                  <c:v>504</c:v>
                </c:pt>
                <c:pt idx="5">
                  <c:v>545</c:v>
                </c:pt>
                <c:pt idx="6">
                  <c:v>560</c:v>
                </c:pt>
                <c:pt idx="7">
                  <c:v>550</c:v>
                </c:pt>
                <c:pt idx="8">
                  <c:v>505</c:v>
                </c:pt>
                <c:pt idx="9">
                  <c:v>569</c:v>
                </c:pt>
                <c:pt idx="10">
                  <c:v>373</c:v>
                </c:pt>
                <c:pt idx="11">
                  <c:v>428</c:v>
                </c:pt>
                <c:pt idx="12">
                  <c:v>552</c:v>
                </c:pt>
                <c:pt idx="13">
                  <c:v>217</c:v>
                </c:pt>
                <c:pt idx="14">
                  <c:v>736</c:v>
                </c:pt>
                <c:pt idx="15">
                  <c:v>782</c:v>
                </c:pt>
              </c:numCache>
            </c:numRef>
          </c:val>
        </c:ser>
        <c:marker val="1"/>
        <c:axId val="76078080"/>
        <c:axId val="76092544"/>
      </c:lineChart>
      <c:catAx>
        <c:axId val="76078080"/>
        <c:scaling>
          <c:orientation val="minMax"/>
        </c:scaling>
        <c:axPos val="b"/>
        <c:numFmt formatCode="General" sourceLinked="1"/>
        <c:tickLblPos val="nextTo"/>
        <c:spPr>
          <a:ln w="3175">
            <a:solidFill>
              <a:srgbClr val="808080"/>
            </a:solidFill>
            <a:prstDash val="solid"/>
          </a:ln>
        </c:spPr>
        <c:crossAx val="76092544"/>
        <c:crosses val="autoZero"/>
        <c:auto val="1"/>
        <c:lblAlgn val="ctr"/>
        <c:lblOffset val="100"/>
      </c:catAx>
      <c:valAx>
        <c:axId val="76092544"/>
        <c:scaling>
          <c:orientation val="minMax"/>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6078080"/>
        <c:crosses val="autoZero"/>
        <c:crossBetween val="between"/>
      </c:valAx>
      <c:spPr>
        <a:solidFill>
          <a:srgbClr val="FFFFFF"/>
        </a:solidFill>
        <a:ln w="25400">
          <a:noFill/>
        </a:ln>
      </c:spPr>
    </c:plotArea>
    <c:legend>
      <c:legendPos val="r"/>
      <c:layout>
        <c:manualLayout>
          <c:xMode val="edge"/>
          <c:yMode val="edge"/>
          <c:x val="0.35992963645501758"/>
          <c:y val="0.9129213483146067"/>
          <c:w val="0.28368850170324517"/>
          <c:h val="6.741573033707883E-2"/>
        </c:manualLayout>
      </c:layout>
      <c:spPr>
        <a:noFill/>
        <a:ln w="25400">
          <a:noFill/>
        </a:ln>
      </c:sp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14. Number of Classes by Week of Semester,</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Fall Semester 2006-2008</a:t>
            </a:r>
          </a:p>
        </c:rich>
      </c:tx>
      <c:spPr>
        <a:noFill/>
        <a:ln w="25400">
          <a:noFill/>
        </a:ln>
      </c:spPr>
    </c:title>
    <c:plotArea>
      <c:layout>
        <c:manualLayout>
          <c:layoutTarget val="inner"/>
          <c:xMode val="edge"/>
          <c:yMode val="edge"/>
          <c:x val="9.4142355581479445E-2"/>
          <c:y val="0.18577479229514859"/>
          <c:w val="0.87447788073462906"/>
          <c:h val="0.5370824708598716"/>
        </c:manualLayout>
      </c:layout>
      <c:lineChart>
        <c:grouping val="standard"/>
        <c:ser>
          <c:idx val="0"/>
          <c:order val="0"/>
          <c:tx>
            <c:strRef>
              <c:f>Instruction!$B$131</c:f>
              <c:strCache>
                <c:ptCount val="1"/>
                <c:pt idx="0">
                  <c:v>Classes Fall 06</c:v>
                </c:pt>
              </c:strCache>
            </c:strRef>
          </c:tx>
          <c:spPr>
            <a:ln w="25400">
              <a:solidFill>
                <a:srgbClr val="666699"/>
              </a:solidFill>
              <a:prstDash val="solid"/>
            </a:ln>
          </c:spPr>
          <c:marker>
            <c:spPr>
              <a:solidFill>
                <a:srgbClr val="4F81BD"/>
              </a:solidFill>
              <a:ln>
                <a:solidFill>
                  <a:srgbClr val="666699"/>
                </a:solidFill>
                <a:prstDash val="solid"/>
              </a:ln>
            </c:spPr>
          </c:marker>
          <c:cat>
            <c:strRef>
              <c:f>Instruction!$A$132:$A$147</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Instruction!$B$132:$B$147</c:f>
              <c:numCache>
                <c:formatCode>General</c:formatCode>
                <c:ptCount val="16"/>
                <c:pt idx="0">
                  <c:v>10</c:v>
                </c:pt>
                <c:pt idx="1">
                  <c:v>21</c:v>
                </c:pt>
                <c:pt idx="2">
                  <c:v>28</c:v>
                </c:pt>
                <c:pt idx="3">
                  <c:v>30</c:v>
                </c:pt>
                <c:pt idx="4">
                  <c:v>32</c:v>
                </c:pt>
                <c:pt idx="5">
                  <c:v>23</c:v>
                </c:pt>
                <c:pt idx="6">
                  <c:v>14</c:v>
                </c:pt>
                <c:pt idx="7">
                  <c:v>13</c:v>
                </c:pt>
                <c:pt idx="8">
                  <c:v>14</c:v>
                </c:pt>
                <c:pt idx="9">
                  <c:v>11</c:v>
                </c:pt>
                <c:pt idx="10">
                  <c:v>14</c:v>
                </c:pt>
                <c:pt idx="11">
                  <c:v>12</c:v>
                </c:pt>
                <c:pt idx="12">
                  <c:v>5</c:v>
                </c:pt>
                <c:pt idx="13">
                  <c:v>3</c:v>
                </c:pt>
                <c:pt idx="14">
                  <c:v>3</c:v>
                </c:pt>
                <c:pt idx="15">
                  <c:v>2</c:v>
                </c:pt>
              </c:numCache>
            </c:numRef>
          </c:val>
        </c:ser>
        <c:ser>
          <c:idx val="1"/>
          <c:order val="1"/>
          <c:tx>
            <c:strRef>
              <c:f>Instruction!$C$131</c:f>
              <c:strCache>
                <c:ptCount val="1"/>
                <c:pt idx="0">
                  <c:v>Classes Fall 07</c:v>
                </c:pt>
              </c:strCache>
            </c:strRef>
          </c:tx>
          <c:spPr>
            <a:ln w="25400">
              <a:solidFill>
                <a:srgbClr val="993366"/>
              </a:solidFill>
              <a:prstDash val="solid"/>
            </a:ln>
          </c:spPr>
          <c:marker>
            <c:spPr>
              <a:solidFill>
                <a:srgbClr val="C0504D"/>
              </a:solidFill>
              <a:ln>
                <a:solidFill>
                  <a:srgbClr val="993366"/>
                </a:solidFill>
                <a:prstDash val="solid"/>
              </a:ln>
            </c:spPr>
          </c:marker>
          <c:cat>
            <c:strRef>
              <c:f>Instruction!$A$132:$A$147</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Instruction!$C$132:$C$147</c:f>
              <c:numCache>
                <c:formatCode>General</c:formatCode>
                <c:ptCount val="16"/>
                <c:pt idx="0">
                  <c:v>1</c:v>
                </c:pt>
                <c:pt idx="1">
                  <c:v>9</c:v>
                </c:pt>
                <c:pt idx="2">
                  <c:v>39</c:v>
                </c:pt>
                <c:pt idx="3">
                  <c:v>21</c:v>
                </c:pt>
                <c:pt idx="4">
                  <c:v>25</c:v>
                </c:pt>
                <c:pt idx="5">
                  <c:v>27</c:v>
                </c:pt>
                <c:pt idx="6">
                  <c:v>40</c:v>
                </c:pt>
                <c:pt idx="7">
                  <c:v>15</c:v>
                </c:pt>
                <c:pt idx="8">
                  <c:v>13</c:v>
                </c:pt>
                <c:pt idx="9">
                  <c:v>13</c:v>
                </c:pt>
                <c:pt idx="10">
                  <c:v>16</c:v>
                </c:pt>
                <c:pt idx="11">
                  <c:v>8</c:v>
                </c:pt>
                <c:pt idx="12">
                  <c:v>2</c:v>
                </c:pt>
                <c:pt idx="13">
                  <c:v>0</c:v>
                </c:pt>
                <c:pt idx="14">
                  <c:v>4</c:v>
                </c:pt>
                <c:pt idx="15">
                  <c:v>1</c:v>
                </c:pt>
              </c:numCache>
            </c:numRef>
          </c:val>
        </c:ser>
        <c:ser>
          <c:idx val="2"/>
          <c:order val="2"/>
          <c:tx>
            <c:strRef>
              <c:f>Instruction!$D$131</c:f>
              <c:strCache>
                <c:ptCount val="1"/>
                <c:pt idx="0">
                  <c:v>Classes Fall 08</c:v>
                </c:pt>
              </c:strCache>
            </c:strRef>
          </c:tx>
          <c:spPr>
            <a:ln w="25400">
              <a:solidFill>
                <a:srgbClr val="90713A"/>
              </a:solidFill>
              <a:prstDash val="solid"/>
            </a:ln>
          </c:spPr>
          <c:marker>
            <c:spPr>
              <a:solidFill>
                <a:srgbClr val="9BBB59"/>
              </a:solidFill>
              <a:ln>
                <a:solidFill>
                  <a:srgbClr val="90713A"/>
                </a:solidFill>
                <a:prstDash val="solid"/>
              </a:ln>
            </c:spPr>
          </c:marker>
          <c:cat>
            <c:strRef>
              <c:f>Instruction!$A$132:$A$147</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Instruction!$D$132:$D$147</c:f>
              <c:numCache>
                <c:formatCode>General</c:formatCode>
                <c:ptCount val="16"/>
                <c:pt idx="0">
                  <c:v>3</c:v>
                </c:pt>
                <c:pt idx="1">
                  <c:v>4</c:v>
                </c:pt>
                <c:pt idx="2">
                  <c:v>9</c:v>
                </c:pt>
                <c:pt idx="3">
                  <c:v>26</c:v>
                </c:pt>
                <c:pt idx="4">
                  <c:v>36</c:v>
                </c:pt>
                <c:pt idx="5">
                  <c:v>25</c:v>
                </c:pt>
                <c:pt idx="6">
                  <c:v>24</c:v>
                </c:pt>
                <c:pt idx="7">
                  <c:v>18</c:v>
                </c:pt>
                <c:pt idx="8">
                  <c:v>16</c:v>
                </c:pt>
                <c:pt idx="9">
                  <c:v>10</c:v>
                </c:pt>
                <c:pt idx="10">
                  <c:v>8</c:v>
                </c:pt>
                <c:pt idx="11">
                  <c:v>16</c:v>
                </c:pt>
                <c:pt idx="12">
                  <c:v>14</c:v>
                </c:pt>
                <c:pt idx="13">
                  <c:v>2</c:v>
                </c:pt>
                <c:pt idx="14">
                  <c:v>3</c:v>
                </c:pt>
                <c:pt idx="15">
                  <c:v>4</c:v>
                </c:pt>
              </c:numCache>
            </c:numRef>
          </c:val>
        </c:ser>
        <c:marker val="1"/>
        <c:axId val="76137984"/>
        <c:axId val="76139904"/>
      </c:lineChart>
      <c:catAx>
        <c:axId val="76137984"/>
        <c:scaling>
          <c:orientation val="minMax"/>
        </c:scaling>
        <c:axPos val="b"/>
        <c:numFmt formatCode="General" sourceLinked="1"/>
        <c:tickLblPos val="nextTo"/>
        <c:spPr>
          <a:ln w="3175">
            <a:solidFill>
              <a:srgbClr val="808080"/>
            </a:solidFill>
            <a:prstDash val="solid"/>
          </a:ln>
        </c:spPr>
        <c:crossAx val="76139904"/>
        <c:crosses val="autoZero"/>
        <c:auto val="1"/>
        <c:lblAlgn val="ctr"/>
        <c:lblOffset val="100"/>
      </c:catAx>
      <c:valAx>
        <c:axId val="76139904"/>
        <c:scaling>
          <c:orientation val="minMax"/>
          <c:max val="42"/>
          <c:min val="0"/>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6137984"/>
        <c:crosses val="autoZero"/>
        <c:crossBetween val="between"/>
        <c:majorUnit val="7"/>
      </c:valAx>
      <c:spPr>
        <a:solidFill>
          <a:srgbClr val="FFFFFF"/>
        </a:solidFill>
        <a:ln w="25400">
          <a:noFill/>
        </a:ln>
      </c:spPr>
    </c:plotArea>
    <c:legend>
      <c:legendPos val="r"/>
      <c:layout>
        <c:manualLayout>
          <c:xMode val="edge"/>
          <c:yMode val="edge"/>
          <c:x val="0.10041848935549708"/>
          <c:y val="0.9057143873275999"/>
          <c:w val="0.81380827396575461"/>
          <c:h val="6.8571509862080271E-2"/>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Calibri"/>
                <a:ea typeface="Calibri"/>
                <a:cs typeface="Calibri"/>
              </a:defRPr>
            </a:pPr>
            <a:r>
              <a:rPr lang="en-US"/>
              <a:t>Chart 15. Circulation Transactions by Patron Group, FY 2007 &amp; FY 2008</a:t>
            </a:r>
          </a:p>
        </c:rich>
      </c:tx>
      <c:layout>
        <c:manualLayout>
          <c:xMode val="edge"/>
          <c:yMode val="edge"/>
          <c:x val="0.17606313978685176"/>
          <c:y val="4.8538663436301317E-2"/>
        </c:manualLayout>
      </c:layout>
      <c:spPr>
        <a:noFill/>
        <a:ln w="25400">
          <a:noFill/>
        </a:ln>
      </c:spPr>
    </c:title>
    <c:plotArea>
      <c:layout>
        <c:manualLayout>
          <c:layoutTarget val="inner"/>
          <c:xMode val="edge"/>
          <c:yMode val="edge"/>
          <c:x val="8.7011402882769942E-2"/>
          <c:y val="0.16727832097910836"/>
          <c:w val="0.86681932368852477"/>
          <c:h val="0.4240638643012084"/>
        </c:manualLayout>
      </c:layout>
      <c:lineChart>
        <c:grouping val="standard"/>
        <c:ser>
          <c:idx val="0"/>
          <c:order val="0"/>
          <c:tx>
            <c:strRef>
              <c:f>'ML Circulation'!$B$10</c:f>
              <c:strCache>
                <c:ptCount val="1"/>
                <c:pt idx="0">
                  <c:v>Transactions FY07</c:v>
                </c:pt>
              </c:strCache>
            </c:strRef>
          </c:tx>
          <c:spPr>
            <a:ln w="25400">
              <a:solidFill>
                <a:srgbClr val="666699"/>
              </a:solidFill>
              <a:prstDash val="solid"/>
            </a:ln>
          </c:spPr>
          <c:marker>
            <c:spPr>
              <a:solidFill>
                <a:srgbClr val="4F81BD"/>
              </a:solidFill>
              <a:ln>
                <a:solidFill>
                  <a:srgbClr val="666699"/>
                </a:solidFill>
                <a:prstDash val="solid"/>
              </a:ln>
            </c:spPr>
          </c:marker>
          <c:cat>
            <c:strRef>
              <c:f>'ML Circulation'!$A$11:$A$19</c:f>
              <c:strCache>
                <c:ptCount val="9"/>
                <c:pt idx="0">
                  <c:v>Other</c:v>
                </c:pt>
                <c:pt idx="1">
                  <c:v>Faculty</c:v>
                </c:pt>
                <c:pt idx="2">
                  <c:v>Graduate</c:v>
                </c:pt>
                <c:pt idx="3">
                  <c:v>ILL</c:v>
                </c:pt>
                <c:pt idx="4">
                  <c:v>MT Borrower</c:v>
                </c:pt>
                <c:pt idx="5">
                  <c:v>Professional</c:v>
                </c:pt>
                <c:pt idx="6">
                  <c:v>Staff</c:v>
                </c:pt>
                <c:pt idx="7">
                  <c:v>Alum/Vstg Scholar/Comm </c:v>
                </c:pt>
                <c:pt idx="8">
                  <c:v>Undergraduate</c:v>
                </c:pt>
              </c:strCache>
            </c:strRef>
          </c:cat>
          <c:val>
            <c:numRef>
              <c:f>'ML Circulation'!$B$11:$B$19</c:f>
              <c:numCache>
                <c:formatCode>#,##0</c:formatCode>
                <c:ptCount val="9"/>
                <c:pt idx="0" formatCode="General">
                  <c:v>136</c:v>
                </c:pt>
                <c:pt idx="1">
                  <c:v>12071</c:v>
                </c:pt>
                <c:pt idx="2">
                  <c:v>20447</c:v>
                </c:pt>
                <c:pt idx="3">
                  <c:v>6781</c:v>
                </c:pt>
                <c:pt idx="4">
                  <c:v>3794</c:v>
                </c:pt>
                <c:pt idx="5">
                  <c:v>1144</c:v>
                </c:pt>
                <c:pt idx="6">
                  <c:v>4835</c:v>
                </c:pt>
                <c:pt idx="7">
                  <c:v>2095</c:v>
                </c:pt>
                <c:pt idx="8">
                  <c:v>63736</c:v>
                </c:pt>
              </c:numCache>
            </c:numRef>
          </c:val>
        </c:ser>
        <c:ser>
          <c:idx val="1"/>
          <c:order val="1"/>
          <c:tx>
            <c:strRef>
              <c:f>'ML Circulation'!$C$10</c:f>
              <c:strCache>
                <c:ptCount val="1"/>
                <c:pt idx="0">
                  <c:v>Transactions FY08</c:v>
                </c:pt>
              </c:strCache>
            </c:strRef>
          </c:tx>
          <c:spPr>
            <a:ln w="25400">
              <a:solidFill>
                <a:srgbClr val="993366"/>
              </a:solidFill>
              <a:prstDash val="solid"/>
            </a:ln>
          </c:spPr>
          <c:marker>
            <c:spPr>
              <a:solidFill>
                <a:srgbClr val="C0504D"/>
              </a:solidFill>
              <a:ln>
                <a:solidFill>
                  <a:srgbClr val="993366"/>
                </a:solidFill>
                <a:prstDash val="solid"/>
              </a:ln>
            </c:spPr>
          </c:marker>
          <c:cat>
            <c:strRef>
              <c:f>'ML Circulation'!$A$11:$A$19</c:f>
              <c:strCache>
                <c:ptCount val="9"/>
                <c:pt idx="0">
                  <c:v>Other</c:v>
                </c:pt>
                <c:pt idx="1">
                  <c:v>Faculty</c:v>
                </c:pt>
                <c:pt idx="2">
                  <c:v>Graduate</c:v>
                </c:pt>
                <c:pt idx="3">
                  <c:v>ILL</c:v>
                </c:pt>
                <c:pt idx="4">
                  <c:v>MT Borrower</c:v>
                </c:pt>
                <c:pt idx="5">
                  <c:v>Professional</c:v>
                </c:pt>
                <c:pt idx="6">
                  <c:v>Staff</c:v>
                </c:pt>
                <c:pt idx="7">
                  <c:v>Alum/Vstg Scholar/Comm </c:v>
                </c:pt>
                <c:pt idx="8">
                  <c:v>Undergraduate</c:v>
                </c:pt>
              </c:strCache>
            </c:strRef>
          </c:cat>
          <c:val>
            <c:numRef>
              <c:f>'ML Circulation'!$C$11:$C$19</c:f>
              <c:numCache>
                <c:formatCode>#,##0</c:formatCode>
                <c:ptCount val="9"/>
                <c:pt idx="0">
                  <c:v>146</c:v>
                </c:pt>
                <c:pt idx="1">
                  <c:v>12443</c:v>
                </c:pt>
                <c:pt idx="2">
                  <c:v>20134</c:v>
                </c:pt>
                <c:pt idx="3">
                  <c:v>6878</c:v>
                </c:pt>
                <c:pt idx="4">
                  <c:v>4478</c:v>
                </c:pt>
                <c:pt idx="5">
                  <c:v>1130</c:v>
                </c:pt>
                <c:pt idx="6">
                  <c:v>4952</c:v>
                </c:pt>
                <c:pt idx="7">
                  <c:v>3020</c:v>
                </c:pt>
                <c:pt idx="8">
                  <c:v>72421</c:v>
                </c:pt>
              </c:numCache>
            </c:numRef>
          </c:val>
        </c:ser>
        <c:marker val="1"/>
        <c:axId val="76173312"/>
        <c:axId val="76175232"/>
      </c:lineChart>
      <c:catAx>
        <c:axId val="76173312"/>
        <c:scaling>
          <c:orientation val="minMax"/>
        </c:scaling>
        <c:axPos val="b"/>
        <c:numFmt formatCode="General" sourceLinked="1"/>
        <c:tickLblPos val="nextTo"/>
        <c:spPr>
          <a:ln w="3175">
            <a:solidFill>
              <a:srgbClr val="808080"/>
            </a:solidFill>
            <a:prstDash val="solid"/>
          </a:ln>
        </c:spPr>
        <c:crossAx val="76175232"/>
        <c:crosses val="autoZero"/>
        <c:auto val="1"/>
        <c:lblAlgn val="ctr"/>
        <c:lblOffset val="100"/>
      </c:catAx>
      <c:valAx>
        <c:axId val="76175232"/>
        <c:scaling>
          <c:orientation val="minMax"/>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6173312"/>
        <c:crosses val="autoZero"/>
        <c:crossBetween val="between"/>
        <c:majorUnit val="20000"/>
      </c:valAx>
      <c:spPr>
        <a:solidFill>
          <a:srgbClr val="FFFFFF"/>
        </a:solidFill>
        <a:ln w="25400">
          <a:noFill/>
        </a:ln>
      </c:spPr>
    </c:plotArea>
    <c:legend>
      <c:legendPos val="b"/>
      <c:layout>
        <c:manualLayout>
          <c:xMode val="edge"/>
          <c:yMode val="edge"/>
          <c:x val="0.28238959581529166"/>
          <c:y val="0.90721905915606649"/>
          <c:w val="0.43725838067709888"/>
          <c:h val="9.2732889158086099E-2"/>
        </c:manualLayout>
      </c:layout>
    </c:legend>
    <c:plotVisOnly val="1"/>
    <c:dispBlanksAs val="gap"/>
  </c:chart>
  <c:spPr>
    <a:solidFill>
      <a:srgbClr val="FFFFFF"/>
    </a:solidFill>
    <a:ln w="3175">
      <a:solidFill>
        <a:srgbClr val="969696"/>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16. ML@COT Circulation Transactions by Patron Group,</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FY 2007 &amp; FY 2008</a:t>
            </a:r>
          </a:p>
        </c:rich>
      </c:tx>
      <c:spPr>
        <a:noFill/>
        <a:ln w="25400">
          <a:noFill/>
        </a:ln>
      </c:spPr>
    </c:title>
    <c:plotArea>
      <c:layout/>
      <c:lineChart>
        <c:grouping val="standard"/>
        <c:ser>
          <c:idx val="0"/>
          <c:order val="0"/>
          <c:tx>
            <c:strRef>
              <c:f>'COT Circulation'!$B$196</c:f>
              <c:strCache>
                <c:ptCount val="1"/>
                <c:pt idx="0">
                  <c:v>COT FY07</c:v>
                </c:pt>
              </c:strCache>
            </c:strRef>
          </c:tx>
          <c:spPr>
            <a:ln w="25400">
              <a:solidFill>
                <a:srgbClr val="666699"/>
              </a:solidFill>
              <a:prstDash val="solid"/>
            </a:ln>
          </c:spPr>
          <c:marker>
            <c:spPr>
              <a:solidFill>
                <a:srgbClr val="4F81BD"/>
              </a:solidFill>
              <a:ln>
                <a:solidFill>
                  <a:srgbClr val="666699"/>
                </a:solidFill>
                <a:prstDash val="solid"/>
              </a:ln>
            </c:spPr>
          </c:marker>
          <c:cat>
            <c:strRef>
              <c:f>'COT Circulation'!$A$197:$A$205</c:f>
              <c:strCache>
                <c:ptCount val="9"/>
                <c:pt idx="0">
                  <c:v>Other</c:v>
                </c:pt>
                <c:pt idx="1">
                  <c:v>Alum/Vst Schol/Comm Bor</c:v>
                </c:pt>
                <c:pt idx="2">
                  <c:v>Faculty</c:v>
                </c:pt>
                <c:pt idx="3">
                  <c:v>Graduate</c:v>
                </c:pt>
                <c:pt idx="4">
                  <c:v>ILL</c:v>
                </c:pt>
                <c:pt idx="5">
                  <c:v>MT Borrower</c:v>
                </c:pt>
                <c:pt idx="6">
                  <c:v>Professional</c:v>
                </c:pt>
                <c:pt idx="7">
                  <c:v>Staff</c:v>
                </c:pt>
                <c:pt idx="8">
                  <c:v>Undergraduate</c:v>
                </c:pt>
              </c:strCache>
            </c:strRef>
          </c:cat>
          <c:val>
            <c:numRef>
              <c:f>'COT Circulation'!$B$197:$B$205</c:f>
              <c:numCache>
                <c:formatCode>General</c:formatCode>
                <c:ptCount val="9"/>
                <c:pt idx="0">
                  <c:v>10</c:v>
                </c:pt>
                <c:pt idx="1">
                  <c:v>1</c:v>
                </c:pt>
                <c:pt idx="2">
                  <c:v>1129</c:v>
                </c:pt>
                <c:pt idx="3">
                  <c:v>60</c:v>
                </c:pt>
                <c:pt idx="4">
                  <c:v>395</c:v>
                </c:pt>
                <c:pt idx="5">
                  <c:v>113</c:v>
                </c:pt>
                <c:pt idx="6">
                  <c:v>132</c:v>
                </c:pt>
                <c:pt idx="7">
                  <c:v>401</c:v>
                </c:pt>
                <c:pt idx="8">
                  <c:v>3226</c:v>
                </c:pt>
              </c:numCache>
            </c:numRef>
          </c:val>
        </c:ser>
        <c:ser>
          <c:idx val="1"/>
          <c:order val="1"/>
          <c:tx>
            <c:strRef>
              <c:f>'COT Circulation'!$C$196</c:f>
              <c:strCache>
                <c:ptCount val="1"/>
                <c:pt idx="0">
                  <c:v>COT FY08</c:v>
                </c:pt>
              </c:strCache>
            </c:strRef>
          </c:tx>
          <c:spPr>
            <a:ln w="25400">
              <a:solidFill>
                <a:srgbClr val="993366"/>
              </a:solidFill>
              <a:prstDash val="solid"/>
            </a:ln>
          </c:spPr>
          <c:marker>
            <c:spPr>
              <a:solidFill>
                <a:srgbClr val="C0504D"/>
              </a:solidFill>
              <a:ln>
                <a:solidFill>
                  <a:srgbClr val="993366"/>
                </a:solidFill>
                <a:prstDash val="solid"/>
              </a:ln>
            </c:spPr>
          </c:marker>
          <c:cat>
            <c:strRef>
              <c:f>'COT Circulation'!$A$197:$A$205</c:f>
              <c:strCache>
                <c:ptCount val="9"/>
                <c:pt idx="0">
                  <c:v>Other</c:v>
                </c:pt>
                <c:pt idx="1">
                  <c:v>Alum/Vst Schol/Comm Bor</c:v>
                </c:pt>
                <c:pt idx="2">
                  <c:v>Faculty</c:v>
                </c:pt>
                <c:pt idx="3">
                  <c:v>Graduate</c:v>
                </c:pt>
                <c:pt idx="4">
                  <c:v>ILL</c:v>
                </c:pt>
                <c:pt idx="5">
                  <c:v>MT Borrower</c:v>
                </c:pt>
                <c:pt idx="6">
                  <c:v>Professional</c:v>
                </c:pt>
                <c:pt idx="7">
                  <c:v>Staff</c:v>
                </c:pt>
                <c:pt idx="8">
                  <c:v>Undergraduate</c:v>
                </c:pt>
              </c:strCache>
            </c:strRef>
          </c:cat>
          <c:val>
            <c:numRef>
              <c:f>'COT Circulation'!$C$197:$C$205</c:f>
              <c:numCache>
                <c:formatCode>General</c:formatCode>
                <c:ptCount val="9"/>
                <c:pt idx="0">
                  <c:v>14</c:v>
                </c:pt>
                <c:pt idx="1">
                  <c:v>3</c:v>
                </c:pt>
                <c:pt idx="2">
                  <c:v>1126</c:v>
                </c:pt>
                <c:pt idx="3">
                  <c:v>86</c:v>
                </c:pt>
                <c:pt idx="4">
                  <c:v>422</c:v>
                </c:pt>
                <c:pt idx="5">
                  <c:v>86</c:v>
                </c:pt>
                <c:pt idx="6">
                  <c:v>284</c:v>
                </c:pt>
                <c:pt idx="7">
                  <c:v>284</c:v>
                </c:pt>
                <c:pt idx="8">
                  <c:v>2711</c:v>
                </c:pt>
              </c:numCache>
            </c:numRef>
          </c:val>
        </c:ser>
        <c:marker val="1"/>
        <c:axId val="76208000"/>
        <c:axId val="76226560"/>
      </c:lineChart>
      <c:catAx>
        <c:axId val="76208000"/>
        <c:scaling>
          <c:orientation val="minMax"/>
        </c:scaling>
        <c:axPos val="b"/>
        <c:numFmt formatCode="General" sourceLinked="1"/>
        <c:majorTickMark val="none"/>
        <c:tickLblPos val="nextTo"/>
        <c:spPr>
          <a:ln w="3175">
            <a:solidFill>
              <a:srgbClr val="808080"/>
            </a:solidFill>
            <a:prstDash val="solid"/>
          </a:ln>
        </c:spPr>
        <c:crossAx val="76226560"/>
        <c:crosses val="autoZero"/>
        <c:auto val="1"/>
        <c:lblAlgn val="ctr"/>
        <c:lblOffset val="100"/>
      </c:catAx>
      <c:valAx>
        <c:axId val="76226560"/>
        <c:scaling>
          <c:orientation val="minMax"/>
        </c:scaling>
        <c:axPos val="l"/>
        <c:majorGridlines>
          <c:spPr>
            <a:ln w="3175">
              <a:solidFill>
                <a:srgbClr val="808080"/>
              </a:solidFill>
              <a:prstDash val="solid"/>
            </a:ln>
          </c:spPr>
        </c:majorGridlines>
        <c:numFmt formatCode="General" sourceLinked="1"/>
        <c:majorTickMark val="none"/>
        <c:tickLblPos val="nextTo"/>
        <c:spPr>
          <a:ln w="9525">
            <a:noFill/>
          </a:ln>
        </c:spPr>
        <c:crossAx val="76208000"/>
        <c:crosses val="autoZero"/>
        <c:crossBetween val="between"/>
      </c:valAx>
      <c:spPr>
        <a:solidFill>
          <a:srgbClr val="FFFFFF"/>
        </a:solidFill>
        <a:ln w="25400">
          <a:noFill/>
        </a:ln>
      </c:spPr>
    </c:plotArea>
    <c:legend>
      <c:legendPos val="b"/>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Calibri"/>
                <a:ea typeface="Calibri"/>
                <a:cs typeface="Calibri"/>
              </a:defRPr>
            </a:pPr>
            <a:r>
              <a:rPr lang="en-US"/>
              <a:t>Chart 17. ILL Transactions by Patron Status, FY 2007 &amp; FY 2008</a:t>
            </a:r>
          </a:p>
        </c:rich>
      </c:tx>
      <c:spPr>
        <a:noFill/>
        <a:ln w="25400">
          <a:noFill/>
        </a:ln>
      </c:spPr>
    </c:title>
    <c:plotArea>
      <c:layout/>
      <c:lineChart>
        <c:grouping val="standard"/>
        <c:ser>
          <c:idx val="0"/>
          <c:order val="0"/>
          <c:tx>
            <c:strRef>
              <c:f>'ML Circulation'!$B$1</c:f>
              <c:strCache>
                <c:ptCount val="1"/>
                <c:pt idx="0">
                  <c:v>Transactions 07</c:v>
                </c:pt>
              </c:strCache>
            </c:strRef>
          </c:tx>
          <c:spPr>
            <a:ln w="25400">
              <a:solidFill>
                <a:srgbClr val="666699"/>
              </a:solidFill>
              <a:prstDash val="solid"/>
            </a:ln>
          </c:spPr>
          <c:marker>
            <c:spPr>
              <a:solidFill>
                <a:srgbClr val="4F81BD"/>
              </a:solidFill>
              <a:ln>
                <a:solidFill>
                  <a:srgbClr val="666699"/>
                </a:solidFill>
                <a:prstDash val="solid"/>
              </a:ln>
            </c:spPr>
          </c:marker>
          <c:cat>
            <c:strRef>
              <c:f>'ML Circulation'!$A$2:$A$7</c:f>
              <c:strCache>
                <c:ptCount val="6"/>
                <c:pt idx="0">
                  <c:v>Other</c:v>
                </c:pt>
                <c:pt idx="1">
                  <c:v>Distance Ed</c:v>
                </c:pt>
                <c:pt idx="2">
                  <c:v>Faculty</c:v>
                </c:pt>
                <c:pt idx="3">
                  <c:v>Graduate</c:v>
                </c:pt>
                <c:pt idx="4">
                  <c:v>Staff</c:v>
                </c:pt>
                <c:pt idx="5">
                  <c:v>Undergraduate</c:v>
                </c:pt>
              </c:strCache>
            </c:strRef>
          </c:cat>
          <c:val>
            <c:numRef>
              <c:f>'ML Circulation'!$B$2:$B$7</c:f>
              <c:numCache>
                <c:formatCode>General</c:formatCode>
                <c:ptCount val="6"/>
                <c:pt idx="0">
                  <c:v>60</c:v>
                </c:pt>
                <c:pt idx="1">
                  <c:v>167</c:v>
                </c:pt>
                <c:pt idx="2" formatCode="#,##0">
                  <c:v>3765</c:v>
                </c:pt>
                <c:pt idx="3" formatCode="#,##0">
                  <c:v>6469</c:v>
                </c:pt>
                <c:pt idx="4" formatCode="#,##0">
                  <c:v>1649</c:v>
                </c:pt>
                <c:pt idx="5" formatCode="#,##0">
                  <c:v>2873</c:v>
                </c:pt>
              </c:numCache>
            </c:numRef>
          </c:val>
        </c:ser>
        <c:ser>
          <c:idx val="1"/>
          <c:order val="1"/>
          <c:tx>
            <c:strRef>
              <c:f>'ML Circulation'!$C$1</c:f>
              <c:strCache>
                <c:ptCount val="1"/>
                <c:pt idx="0">
                  <c:v>Transactions 08</c:v>
                </c:pt>
              </c:strCache>
            </c:strRef>
          </c:tx>
          <c:spPr>
            <a:ln w="25400">
              <a:solidFill>
                <a:srgbClr val="993366"/>
              </a:solidFill>
              <a:prstDash val="solid"/>
            </a:ln>
          </c:spPr>
          <c:marker>
            <c:spPr>
              <a:solidFill>
                <a:srgbClr val="C0504D"/>
              </a:solidFill>
              <a:ln>
                <a:solidFill>
                  <a:srgbClr val="993366"/>
                </a:solidFill>
                <a:prstDash val="solid"/>
              </a:ln>
            </c:spPr>
          </c:marker>
          <c:cat>
            <c:strRef>
              <c:f>'ML Circulation'!$A$2:$A$7</c:f>
              <c:strCache>
                <c:ptCount val="6"/>
                <c:pt idx="0">
                  <c:v>Other</c:v>
                </c:pt>
                <c:pt idx="1">
                  <c:v>Distance Ed</c:v>
                </c:pt>
                <c:pt idx="2">
                  <c:v>Faculty</c:v>
                </c:pt>
                <c:pt idx="3">
                  <c:v>Graduate</c:v>
                </c:pt>
                <c:pt idx="4">
                  <c:v>Staff</c:v>
                </c:pt>
                <c:pt idx="5">
                  <c:v>Undergraduate</c:v>
                </c:pt>
              </c:strCache>
            </c:strRef>
          </c:cat>
          <c:val>
            <c:numRef>
              <c:f>'ML Circulation'!$C$2:$C$7</c:f>
              <c:numCache>
                <c:formatCode>General</c:formatCode>
                <c:ptCount val="6"/>
                <c:pt idx="0">
                  <c:v>4</c:v>
                </c:pt>
                <c:pt idx="1">
                  <c:v>287</c:v>
                </c:pt>
                <c:pt idx="2">
                  <c:v>4069</c:v>
                </c:pt>
                <c:pt idx="3">
                  <c:v>6812</c:v>
                </c:pt>
                <c:pt idx="4">
                  <c:v>1720</c:v>
                </c:pt>
                <c:pt idx="5">
                  <c:v>3557</c:v>
                </c:pt>
              </c:numCache>
            </c:numRef>
          </c:val>
        </c:ser>
        <c:marker val="1"/>
        <c:axId val="76251136"/>
        <c:axId val="76253056"/>
      </c:lineChart>
      <c:catAx>
        <c:axId val="76251136"/>
        <c:scaling>
          <c:orientation val="minMax"/>
        </c:scaling>
        <c:axPos val="b"/>
        <c:numFmt formatCode="General" sourceLinked="1"/>
        <c:majorTickMark val="none"/>
        <c:tickLblPos val="nextTo"/>
        <c:spPr>
          <a:ln w="3175">
            <a:solidFill>
              <a:srgbClr val="808080"/>
            </a:solidFill>
            <a:prstDash val="solid"/>
          </a:ln>
        </c:spPr>
        <c:crossAx val="76253056"/>
        <c:crosses val="autoZero"/>
        <c:auto val="1"/>
        <c:lblAlgn val="ctr"/>
        <c:lblOffset val="100"/>
      </c:catAx>
      <c:valAx>
        <c:axId val="76253056"/>
        <c:scaling>
          <c:orientation val="minMax"/>
          <c:max val="7000"/>
          <c:min val="0"/>
        </c:scaling>
        <c:axPos val="l"/>
        <c:majorGridlines>
          <c:spPr>
            <a:ln w="3175">
              <a:solidFill>
                <a:srgbClr val="808080"/>
              </a:solidFill>
              <a:prstDash val="solid"/>
            </a:ln>
          </c:spPr>
        </c:majorGridlines>
        <c:numFmt formatCode="General" sourceLinked="1"/>
        <c:majorTickMark val="none"/>
        <c:tickLblPos val="nextTo"/>
        <c:spPr>
          <a:ln w="9525">
            <a:noFill/>
          </a:ln>
        </c:spPr>
        <c:crossAx val="76251136"/>
        <c:crosses val="autoZero"/>
        <c:crossBetween val="between"/>
        <c:majorUnit val="1750"/>
        <c:minorUnit val="500"/>
      </c:valAx>
      <c:spPr>
        <a:solidFill>
          <a:srgbClr val="FFFFFF"/>
        </a:solidFill>
        <a:ln w="25400">
          <a:noFill/>
        </a:ln>
      </c:spPr>
    </c:plotArea>
    <c:legend>
      <c:legendPos val="b"/>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18. Instruction Classes by Academic Level,</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FY 2007 &amp; FY 2008</a:t>
            </a:r>
          </a:p>
        </c:rich>
      </c:tx>
      <c:layout>
        <c:manualLayout>
          <c:xMode val="edge"/>
          <c:yMode val="edge"/>
          <c:x val="0.2812331534400892"/>
          <c:y val="4.4872345502266764E-2"/>
        </c:manualLayout>
      </c:layout>
      <c:spPr>
        <a:noFill/>
        <a:ln w="25400">
          <a:noFill/>
        </a:ln>
      </c:spPr>
    </c:title>
    <c:plotArea>
      <c:layout>
        <c:manualLayout>
          <c:layoutTarget val="inner"/>
          <c:xMode val="edge"/>
          <c:yMode val="edge"/>
          <c:x val="8.767129151814769E-2"/>
          <c:y val="0.26344086021505425"/>
          <c:w val="0.81826541545320564"/>
          <c:h val="0.48130344616255388"/>
        </c:manualLayout>
      </c:layout>
      <c:lineChart>
        <c:grouping val="standard"/>
        <c:ser>
          <c:idx val="0"/>
          <c:order val="0"/>
          <c:tx>
            <c:strRef>
              <c:f>Instruction!$B$1</c:f>
              <c:strCache>
                <c:ptCount val="1"/>
                <c:pt idx="0">
                  <c:v>FY 07</c:v>
                </c:pt>
              </c:strCache>
            </c:strRef>
          </c:tx>
          <c:spPr>
            <a:ln w="25400">
              <a:solidFill>
                <a:srgbClr val="666699"/>
              </a:solidFill>
              <a:prstDash val="solid"/>
            </a:ln>
          </c:spPr>
          <c:marker>
            <c:spPr>
              <a:solidFill>
                <a:srgbClr val="4F81BD"/>
              </a:solidFill>
              <a:ln>
                <a:solidFill>
                  <a:srgbClr val="666699"/>
                </a:solidFill>
                <a:prstDash val="solid"/>
              </a:ln>
            </c:spPr>
          </c:marker>
          <c:cat>
            <c:strRef>
              <c:f>Instruction!$A$2:$A$7</c:f>
              <c:strCache>
                <c:ptCount val="6"/>
                <c:pt idx="0">
                  <c:v>Freshman</c:v>
                </c:pt>
                <c:pt idx="1">
                  <c:v>Sophomore</c:v>
                </c:pt>
                <c:pt idx="2">
                  <c:v>Junior</c:v>
                </c:pt>
                <c:pt idx="3">
                  <c:v>Senior</c:v>
                </c:pt>
                <c:pt idx="4">
                  <c:v>Graduate</c:v>
                </c:pt>
                <c:pt idx="5">
                  <c:v>High School</c:v>
                </c:pt>
              </c:strCache>
            </c:strRef>
          </c:cat>
          <c:val>
            <c:numRef>
              <c:f>Instruction!$B$2:$B$7</c:f>
              <c:numCache>
                <c:formatCode>General</c:formatCode>
                <c:ptCount val="6"/>
                <c:pt idx="0">
                  <c:v>164</c:v>
                </c:pt>
                <c:pt idx="1">
                  <c:v>51</c:v>
                </c:pt>
                <c:pt idx="2">
                  <c:v>82</c:v>
                </c:pt>
                <c:pt idx="3">
                  <c:v>44</c:v>
                </c:pt>
                <c:pt idx="4">
                  <c:v>71</c:v>
                </c:pt>
                <c:pt idx="5">
                  <c:v>19</c:v>
                </c:pt>
              </c:numCache>
            </c:numRef>
          </c:val>
        </c:ser>
        <c:ser>
          <c:idx val="1"/>
          <c:order val="1"/>
          <c:tx>
            <c:strRef>
              <c:f>Instruction!$C$1</c:f>
              <c:strCache>
                <c:ptCount val="1"/>
                <c:pt idx="0">
                  <c:v>FY 08</c:v>
                </c:pt>
              </c:strCache>
            </c:strRef>
          </c:tx>
          <c:spPr>
            <a:ln w="25400">
              <a:solidFill>
                <a:srgbClr val="993366"/>
              </a:solidFill>
              <a:prstDash val="solid"/>
            </a:ln>
          </c:spPr>
          <c:marker>
            <c:spPr>
              <a:solidFill>
                <a:srgbClr val="C0504D"/>
              </a:solidFill>
              <a:ln>
                <a:solidFill>
                  <a:srgbClr val="993366"/>
                </a:solidFill>
                <a:prstDash val="solid"/>
              </a:ln>
            </c:spPr>
          </c:marker>
          <c:cat>
            <c:strRef>
              <c:f>Instruction!$A$2:$A$7</c:f>
              <c:strCache>
                <c:ptCount val="6"/>
                <c:pt idx="0">
                  <c:v>Freshman</c:v>
                </c:pt>
                <c:pt idx="1">
                  <c:v>Sophomore</c:v>
                </c:pt>
                <c:pt idx="2">
                  <c:v>Junior</c:v>
                </c:pt>
                <c:pt idx="3">
                  <c:v>Senior</c:v>
                </c:pt>
                <c:pt idx="4">
                  <c:v>Graduate</c:v>
                </c:pt>
                <c:pt idx="5">
                  <c:v>High School</c:v>
                </c:pt>
              </c:strCache>
            </c:strRef>
          </c:cat>
          <c:val>
            <c:numRef>
              <c:f>Instruction!$C$2:$C$7</c:f>
              <c:numCache>
                <c:formatCode>General</c:formatCode>
                <c:ptCount val="6"/>
                <c:pt idx="0">
                  <c:v>206</c:v>
                </c:pt>
                <c:pt idx="1">
                  <c:v>55</c:v>
                </c:pt>
                <c:pt idx="2">
                  <c:v>85</c:v>
                </c:pt>
                <c:pt idx="3">
                  <c:v>40</c:v>
                </c:pt>
                <c:pt idx="4">
                  <c:v>36</c:v>
                </c:pt>
                <c:pt idx="5">
                  <c:v>22</c:v>
                </c:pt>
              </c:numCache>
            </c:numRef>
          </c:val>
        </c:ser>
        <c:marker val="1"/>
        <c:axId val="76285824"/>
        <c:axId val="76300288"/>
      </c:lineChart>
      <c:catAx>
        <c:axId val="76285824"/>
        <c:scaling>
          <c:orientation val="minMax"/>
        </c:scaling>
        <c:axPos val="b"/>
        <c:numFmt formatCode="General" sourceLinked="1"/>
        <c:tickLblPos val="nextTo"/>
        <c:spPr>
          <a:ln w="3175">
            <a:solidFill>
              <a:srgbClr val="808080"/>
            </a:solidFill>
            <a:prstDash val="solid"/>
          </a:ln>
        </c:spPr>
        <c:crossAx val="76300288"/>
        <c:crosses val="autoZero"/>
        <c:auto val="1"/>
        <c:lblAlgn val="ctr"/>
        <c:lblOffset val="100"/>
      </c:catAx>
      <c:valAx>
        <c:axId val="76300288"/>
        <c:scaling>
          <c:orientation val="minMax"/>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6285824"/>
        <c:crosses val="autoZero"/>
        <c:crossBetween val="between"/>
      </c:valAx>
      <c:spPr>
        <a:solidFill>
          <a:srgbClr val="FFFFFF"/>
        </a:solidFill>
        <a:ln w="25400">
          <a:noFill/>
        </a:ln>
      </c:spPr>
    </c:plotArea>
    <c:legend>
      <c:legendPos val="r"/>
      <c:layout>
        <c:manualLayout>
          <c:xMode val="edge"/>
          <c:yMode val="edge"/>
          <c:x val="0.39726060927777357"/>
          <c:y val="0.87499967462744965"/>
          <c:w val="0.20136999026807045"/>
          <c:h val="9.6774473438754005E-2"/>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969696"/>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1200"/>
              <a:t>Chart 22. Instruction Sessions by College or School, FY2007 &amp; FY2008 </a:t>
            </a:r>
          </a:p>
        </c:rich>
      </c:tx>
      <c:spPr>
        <a:noFill/>
        <a:ln w="25400">
          <a:noFill/>
        </a:ln>
      </c:spPr>
    </c:title>
    <c:plotArea>
      <c:layout>
        <c:manualLayout>
          <c:layoutTarget val="inner"/>
          <c:xMode val="edge"/>
          <c:yMode val="edge"/>
          <c:x val="6.8359433912632023E-2"/>
          <c:y val="0.11726410013080622"/>
          <c:w val="0.90625"/>
          <c:h val="0.51791613318806751"/>
        </c:manualLayout>
      </c:layout>
      <c:barChart>
        <c:barDir val="col"/>
        <c:grouping val="clustered"/>
        <c:ser>
          <c:idx val="2"/>
          <c:order val="2"/>
          <c:tx>
            <c:strRef>
              <c:f>Instruction!$B$13</c:f>
            </c:strRef>
          </c:tx>
          <c:cat>
            <c:multiLvlStrRef>
              <c:f>Instruction!$A$14:$A$24</c:f>
            </c:multiLvlStrRef>
          </c:cat>
          <c:val>
            <c:numRef>
              <c:f>Instruction!$B$14:$B$24</c:f>
            </c:numRef>
          </c:val>
        </c:ser>
        <c:ser>
          <c:idx val="3"/>
          <c:order val="3"/>
          <c:tx>
            <c:strRef>
              <c:f>Instruction!$C$13</c:f>
            </c:strRef>
          </c:tx>
          <c:cat>
            <c:multiLvlStrRef>
              <c:f>Instruction!$A$14:$A$24</c:f>
            </c:multiLvlStrRef>
          </c:cat>
          <c:val>
            <c:numRef>
              <c:f>Instruction!$C$14:$C$24</c:f>
            </c:numRef>
          </c:val>
        </c:ser>
        <c:ser>
          <c:idx val="0"/>
          <c:order val="0"/>
          <c:tx>
            <c:strRef>
              <c:f>[Chart22Instruction.xlsx]Instruction!$B$13</c:f>
              <c:strCache>
                <c:ptCount val="1"/>
                <c:pt idx="0">
                  <c:v>FY07</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dLbls>
            <c:spPr>
              <a:noFill/>
              <a:ln w="25400">
                <a:noFill/>
              </a:ln>
            </c:spPr>
            <c:txPr>
              <a:bodyPr rot="0" vert="horz" anchor="b" anchorCtr="0"/>
              <a:lstStyle/>
              <a:p>
                <a:pPr>
                  <a:defRPr/>
                </a:pPr>
                <a:endParaRPr lang="en-US"/>
              </a:p>
            </c:txPr>
            <c:showVal val="1"/>
          </c:dLbls>
          <c:cat>
            <c:strRef>
              <c:f>[Chart22Instruction.xlsx]Instruction!$A$14:$A$24</c:f>
              <c:strCache>
                <c:ptCount val="11"/>
                <c:pt idx="0">
                  <c:v>Arts and Sciences</c:v>
                </c:pt>
                <c:pt idx="1">
                  <c:v>Business Administration</c:v>
                </c:pt>
                <c:pt idx="2">
                  <c:v>College of Technology</c:v>
                </c:pt>
                <c:pt idx="3">
                  <c:v>Continuing Education</c:v>
                </c:pt>
                <c:pt idx="4">
                  <c:v>Davidson Honors College</c:v>
                </c:pt>
                <c:pt idx="5">
                  <c:v>Education</c:v>
                </c:pt>
                <c:pt idx="6">
                  <c:v>Fine Arts</c:v>
                </c:pt>
                <c:pt idx="7">
                  <c:v>Forestry and Conservation</c:v>
                </c:pt>
                <c:pt idx="8">
                  <c:v>Health Professions and Biomedical Sciences</c:v>
                </c:pt>
                <c:pt idx="9">
                  <c:v>Journalism</c:v>
                </c:pt>
                <c:pt idx="10">
                  <c:v>Office of Student Success</c:v>
                </c:pt>
              </c:strCache>
            </c:strRef>
          </c:cat>
          <c:val>
            <c:numRef>
              <c:f>[Chart22Instruction.xlsx]Instruction!$B$14:$B$24</c:f>
              <c:numCache>
                <c:formatCode>General</c:formatCode>
                <c:ptCount val="11"/>
                <c:pt idx="0">
                  <c:v>245</c:v>
                </c:pt>
                <c:pt idx="1">
                  <c:v>8</c:v>
                </c:pt>
                <c:pt idx="2">
                  <c:v>14</c:v>
                </c:pt>
                <c:pt idx="3">
                  <c:v>11</c:v>
                </c:pt>
                <c:pt idx="4">
                  <c:v>5</c:v>
                </c:pt>
                <c:pt idx="5">
                  <c:v>41</c:v>
                </c:pt>
                <c:pt idx="6">
                  <c:v>35</c:v>
                </c:pt>
                <c:pt idx="7">
                  <c:v>2</c:v>
                </c:pt>
                <c:pt idx="8">
                  <c:v>8</c:v>
                </c:pt>
                <c:pt idx="9">
                  <c:v>4</c:v>
                </c:pt>
                <c:pt idx="10">
                  <c:v>39</c:v>
                </c:pt>
              </c:numCache>
            </c:numRef>
          </c:val>
        </c:ser>
        <c:ser>
          <c:idx val="1"/>
          <c:order val="1"/>
          <c:tx>
            <c:strRef>
              <c:f>[Chart22Instruction.xlsx]Instruction!$C$13</c:f>
              <c:strCache>
                <c:ptCount val="1"/>
                <c:pt idx="0">
                  <c:v>FY08</c:v>
                </c:pt>
              </c:strCache>
            </c:strRef>
          </c:tx>
          <c:spPr>
            <a:gradFill rotWithShape="0">
              <a:gsLst>
                <a:gs pos="0">
                  <a:srgbClr val="FF9A99"/>
                </a:gs>
                <a:gs pos="100000">
                  <a:srgbClr val="D1403C"/>
                </a:gs>
              </a:gsLst>
              <a:lin ang="5400000"/>
            </a:gradFill>
            <a:ln w="25400">
              <a:noFill/>
            </a:ln>
            <a:effectLst>
              <a:outerShdw dist="35921" dir="2700000" algn="br">
                <a:srgbClr val="000000"/>
              </a:outerShdw>
            </a:effectLst>
          </c:spPr>
          <c:dLbls>
            <c:spPr>
              <a:noFill/>
              <a:ln w="25400">
                <a:noFill/>
              </a:ln>
            </c:spPr>
            <c:showVal val="1"/>
          </c:dLbls>
          <c:cat>
            <c:strRef>
              <c:f>[Chart22Instruction.xlsx]Instruction!$A$14:$A$24</c:f>
              <c:strCache>
                <c:ptCount val="11"/>
                <c:pt idx="0">
                  <c:v>Arts and Sciences</c:v>
                </c:pt>
                <c:pt idx="1">
                  <c:v>Business Administration</c:v>
                </c:pt>
                <c:pt idx="2">
                  <c:v>College of Technology</c:v>
                </c:pt>
                <c:pt idx="3">
                  <c:v>Continuing Education</c:v>
                </c:pt>
                <c:pt idx="4">
                  <c:v>Davidson Honors College</c:v>
                </c:pt>
                <c:pt idx="5">
                  <c:v>Education</c:v>
                </c:pt>
                <c:pt idx="6">
                  <c:v>Fine Arts</c:v>
                </c:pt>
                <c:pt idx="7">
                  <c:v>Forestry and Conservation</c:v>
                </c:pt>
                <c:pt idx="8">
                  <c:v>Health Professions and Biomedical Sciences</c:v>
                </c:pt>
                <c:pt idx="9">
                  <c:v>Journalism</c:v>
                </c:pt>
                <c:pt idx="10">
                  <c:v>Office of Student Success</c:v>
                </c:pt>
              </c:strCache>
            </c:strRef>
          </c:cat>
          <c:val>
            <c:numRef>
              <c:f>[Chart22Instruction.xlsx]Instruction!$C$14:$C$24</c:f>
              <c:numCache>
                <c:formatCode>General</c:formatCode>
                <c:ptCount val="11"/>
                <c:pt idx="0">
                  <c:v>256</c:v>
                </c:pt>
                <c:pt idx="1">
                  <c:v>5</c:v>
                </c:pt>
                <c:pt idx="2">
                  <c:v>21</c:v>
                </c:pt>
                <c:pt idx="3">
                  <c:v>3</c:v>
                </c:pt>
                <c:pt idx="4">
                  <c:v>8</c:v>
                </c:pt>
                <c:pt idx="5">
                  <c:v>37</c:v>
                </c:pt>
                <c:pt idx="6">
                  <c:v>15</c:v>
                </c:pt>
                <c:pt idx="7">
                  <c:v>10</c:v>
                </c:pt>
                <c:pt idx="8">
                  <c:v>10</c:v>
                </c:pt>
                <c:pt idx="9">
                  <c:v>2</c:v>
                </c:pt>
                <c:pt idx="10">
                  <c:v>54</c:v>
                </c:pt>
              </c:numCache>
            </c:numRef>
          </c:val>
        </c:ser>
        <c:axId val="76347648"/>
        <c:axId val="76361728"/>
      </c:barChart>
      <c:catAx>
        <c:axId val="76347648"/>
        <c:scaling>
          <c:orientation val="minMax"/>
        </c:scaling>
        <c:axPos val="b"/>
        <c:numFmt formatCode="General" sourceLinked="1"/>
        <c:tickLblPos val="nextTo"/>
        <c:spPr>
          <a:ln w="3175">
            <a:solidFill>
              <a:srgbClr val="808080"/>
            </a:solidFill>
            <a:prstDash val="solid"/>
          </a:ln>
        </c:spPr>
        <c:txPr>
          <a:bodyPr rot="-5400000" vert="horz" wrap="square">
            <a:noAutofit/>
          </a:bodyPr>
          <a:lstStyle/>
          <a:p>
            <a:pPr>
              <a:defRPr/>
            </a:pPr>
            <a:endParaRPr lang="en-US"/>
          </a:p>
        </c:txPr>
        <c:crossAx val="76361728"/>
        <c:crosses val="autoZero"/>
        <c:auto val="1"/>
        <c:lblAlgn val="ctr"/>
        <c:lblOffset val="100"/>
      </c:catAx>
      <c:valAx>
        <c:axId val="76361728"/>
        <c:scaling>
          <c:orientation val="minMax"/>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6347648"/>
        <c:crosses val="autoZero"/>
        <c:crossBetween val="between"/>
      </c:valAx>
      <c:spPr>
        <a:solidFill>
          <a:srgbClr val="FFFFFF"/>
        </a:solidFill>
        <a:ln w="25400">
          <a:noFill/>
        </a:ln>
      </c:spPr>
    </c:plotArea>
    <c:legend>
      <c:legendPos val="r"/>
      <c:layout>
        <c:manualLayout>
          <c:xMode val="edge"/>
          <c:yMode val="edge"/>
          <c:x val="0.42382812500000178"/>
          <c:y val="0.93485495909102601"/>
          <c:w val="0.142578125"/>
          <c:h val="5.8631921824104399E-2"/>
        </c:manualLayout>
      </c:layout>
      <c:spPr>
        <a:noFill/>
        <a:ln w="25400">
          <a:noFill/>
        </a:ln>
      </c:spPr>
    </c:legend>
    <c:plotVisOnly val="1"/>
    <c:dispBlanksAs val="gap"/>
  </c:chart>
  <c:spPr>
    <a:solidFill>
      <a:srgbClr val="FFFFFF"/>
    </a:solidFill>
    <a:ln w="3175">
      <a:solidFill>
        <a:srgbClr val="808080"/>
      </a:solidFill>
      <a:prstDash val="soli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Chart 2. Acquisitions allocations for</a:t>
            </a:r>
            <a:r>
              <a:rPr lang="en-US" sz="1200" baseline="0"/>
              <a:t> paper serials, electronic resources and monographs/media, FY2004-2009.</a:t>
            </a:r>
            <a:endParaRPr lang="en-US" sz="1200"/>
          </a:p>
        </c:rich>
      </c:tx>
    </c:title>
    <c:plotArea>
      <c:layout/>
      <c:lineChart>
        <c:grouping val="standard"/>
        <c:ser>
          <c:idx val="0"/>
          <c:order val="0"/>
          <c:tx>
            <c:strRef>
              <c:f>Collections!$A$27</c:f>
              <c:strCache>
                <c:ptCount val="1"/>
                <c:pt idx="0">
                  <c:v>Paper Serials</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Collections!$B$27:$G$27</c:f>
              <c:numCache>
                <c:formatCode>"$"#,##0_);[Red]\("$"#,##0\)</c:formatCode>
                <c:ptCount val="6"/>
                <c:pt idx="0">
                  <c:v>959692</c:v>
                </c:pt>
                <c:pt idx="1">
                  <c:v>1140000</c:v>
                </c:pt>
                <c:pt idx="2">
                  <c:v>1190000</c:v>
                </c:pt>
                <c:pt idx="3">
                  <c:v>1105000</c:v>
                </c:pt>
                <c:pt idx="4">
                  <c:v>740000</c:v>
                </c:pt>
                <c:pt idx="5">
                  <c:v>395000</c:v>
                </c:pt>
              </c:numCache>
            </c:numRef>
          </c:val>
        </c:ser>
        <c:ser>
          <c:idx val="1"/>
          <c:order val="1"/>
          <c:tx>
            <c:strRef>
              <c:f>Collections!$A$28</c:f>
              <c:strCache>
                <c:ptCount val="1"/>
                <c:pt idx="0">
                  <c:v>E Resources</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Collections!$B$28:$G$28</c:f>
              <c:numCache>
                <c:formatCode>"$"#,##0_);[Red]\("$"#,##0\)</c:formatCode>
                <c:ptCount val="6"/>
                <c:pt idx="0">
                  <c:v>689012</c:v>
                </c:pt>
                <c:pt idx="1">
                  <c:v>740000</c:v>
                </c:pt>
                <c:pt idx="2">
                  <c:v>888000</c:v>
                </c:pt>
                <c:pt idx="3">
                  <c:v>1079000</c:v>
                </c:pt>
                <c:pt idx="4">
                  <c:v>1778000</c:v>
                </c:pt>
                <c:pt idx="5">
                  <c:v>2236000</c:v>
                </c:pt>
              </c:numCache>
            </c:numRef>
          </c:val>
        </c:ser>
        <c:ser>
          <c:idx val="2"/>
          <c:order val="2"/>
          <c:tx>
            <c:strRef>
              <c:f>Collections!$A$29</c:f>
              <c:strCache>
                <c:ptCount val="1"/>
                <c:pt idx="0">
                  <c:v>Monographs/Media</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Collections!$B$29:$G$29</c:f>
              <c:numCache>
                <c:formatCode>"$"#,##0_);[Red]\("$"#,##0\)</c:formatCode>
                <c:ptCount val="6"/>
                <c:pt idx="0">
                  <c:v>649779</c:v>
                </c:pt>
                <c:pt idx="1">
                  <c:v>609606</c:v>
                </c:pt>
                <c:pt idx="2">
                  <c:v>690000</c:v>
                </c:pt>
                <c:pt idx="3">
                  <c:v>825670</c:v>
                </c:pt>
                <c:pt idx="4">
                  <c:v>672396</c:v>
                </c:pt>
                <c:pt idx="5">
                  <c:v>800925</c:v>
                </c:pt>
              </c:numCache>
            </c:numRef>
          </c:val>
        </c:ser>
        <c:marker val="1"/>
        <c:axId val="22414464"/>
        <c:axId val="22416000"/>
      </c:lineChart>
      <c:catAx>
        <c:axId val="22414464"/>
        <c:scaling>
          <c:orientation val="minMax"/>
        </c:scaling>
        <c:axPos val="b"/>
        <c:numFmt formatCode="General" sourceLinked="1"/>
        <c:tickLblPos val="nextTo"/>
        <c:crossAx val="22416000"/>
        <c:crosses val="autoZero"/>
        <c:auto val="1"/>
        <c:lblAlgn val="ctr"/>
        <c:lblOffset val="100"/>
      </c:catAx>
      <c:valAx>
        <c:axId val="22416000"/>
        <c:scaling>
          <c:orientation val="minMax"/>
        </c:scaling>
        <c:axPos val="l"/>
        <c:majorGridlines/>
        <c:numFmt formatCode="&quot;$&quot;#,##0_);[Red]\(&quot;$&quot;#,##0\)" sourceLinked="1"/>
        <c:tickLblPos val="nextTo"/>
        <c:crossAx val="224144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Chart 3. Acquisitions allocations by source of order, FY2004-FY2009</a:t>
            </a:r>
          </a:p>
        </c:rich>
      </c:tx>
    </c:title>
    <c:plotArea>
      <c:layout/>
      <c:lineChart>
        <c:grouping val="standard"/>
        <c:ser>
          <c:idx val="0"/>
          <c:order val="0"/>
          <c:tx>
            <c:strRef>
              <c:f>Collections!$A$31</c:f>
              <c:strCache>
                <c:ptCount val="1"/>
                <c:pt idx="0">
                  <c:v>Department Orders</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Collections!$B$31:$G$31</c:f>
              <c:numCache>
                <c:formatCode>"$"#,##0_);[Red]\("$"#,##0\)</c:formatCode>
                <c:ptCount val="6"/>
                <c:pt idx="0">
                  <c:v>312000</c:v>
                </c:pt>
                <c:pt idx="1">
                  <c:v>312000</c:v>
                </c:pt>
                <c:pt idx="2">
                  <c:v>340000</c:v>
                </c:pt>
                <c:pt idx="3">
                  <c:v>285000</c:v>
                </c:pt>
              </c:numCache>
            </c:numRef>
          </c:val>
        </c:ser>
        <c:ser>
          <c:idx val="1"/>
          <c:order val="1"/>
          <c:tx>
            <c:strRef>
              <c:f>Collections!$A$32</c:f>
              <c:strCache>
                <c:ptCount val="1"/>
                <c:pt idx="0">
                  <c:v>Librarian Orders</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Collections!$B$32:$G$32</c:f>
              <c:numCache>
                <c:formatCode>"$"#,##0_);[Red]\("$"#,##0\)</c:formatCode>
                <c:ptCount val="6"/>
                <c:pt idx="0">
                  <c:v>337779</c:v>
                </c:pt>
                <c:pt idx="1">
                  <c:v>297606</c:v>
                </c:pt>
                <c:pt idx="2">
                  <c:v>230000</c:v>
                </c:pt>
                <c:pt idx="3">
                  <c:v>169670</c:v>
                </c:pt>
              </c:numCache>
            </c:numRef>
          </c:val>
        </c:ser>
        <c:ser>
          <c:idx val="2"/>
          <c:order val="2"/>
          <c:tx>
            <c:strRef>
              <c:f>Collections!$A$33</c:f>
              <c:strCache>
                <c:ptCount val="1"/>
                <c:pt idx="0">
                  <c:v>Approval Plan</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Collections!$B$33:$G$33</c:f>
              <c:numCache>
                <c:formatCode>"$"#,##0_);[Red]\("$"#,##0\)</c:formatCode>
                <c:ptCount val="6"/>
                <c:pt idx="0">
                  <c:v>29898</c:v>
                </c:pt>
                <c:pt idx="1">
                  <c:v>110141</c:v>
                </c:pt>
                <c:pt idx="2">
                  <c:v>92890</c:v>
                </c:pt>
                <c:pt idx="3">
                  <c:v>289347</c:v>
                </c:pt>
                <c:pt idx="4" formatCode="&quot;$&quot;#,##0">
                  <c:v>323238</c:v>
                </c:pt>
                <c:pt idx="5" formatCode="&quot;$&quot;#,##0">
                  <c:v>295626</c:v>
                </c:pt>
              </c:numCache>
            </c:numRef>
          </c:val>
        </c:ser>
        <c:ser>
          <c:idx val="3"/>
          <c:order val="3"/>
          <c:tx>
            <c:strRef>
              <c:f>Collections!$A$35</c:f>
              <c:strCache>
                <c:ptCount val="1"/>
                <c:pt idx="0">
                  <c:v>Supplemental Fund</c:v>
                </c:pt>
              </c:strCache>
            </c:strRef>
          </c:tx>
          <c:cat>
            <c:numRef>
              <c:f>Collections!$B$25:$G$25</c:f>
              <c:numCache>
                <c:formatCode>General</c:formatCode>
                <c:ptCount val="6"/>
                <c:pt idx="0">
                  <c:v>2004</c:v>
                </c:pt>
                <c:pt idx="1">
                  <c:v>2005</c:v>
                </c:pt>
                <c:pt idx="2">
                  <c:v>2006</c:v>
                </c:pt>
                <c:pt idx="3">
                  <c:v>2007</c:v>
                </c:pt>
                <c:pt idx="4">
                  <c:v>2008</c:v>
                </c:pt>
                <c:pt idx="5">
                  <c:v>2009</c:v>
                </c:pt>
              </c:numCache>
            </c:numRef>
          </c:cat>
          <c:val>
            <c:numRef>
              <c:f>Collections!$B$35:$G$35</c:f>
              <c:numCache>
                <c:formatCode>General</c:formatCode>
                <c:ptCount val="6"/>
                <c:pt idx="4" formatCode="&quot;$&quot;#,##0_);[Red]\(&quot;$&quot;#,##0\)">
                  <c:v>217396</c:v>
                </c:pt>
                <c:pt idx="5" formatCode="&quot;$&quot;#,##0_);[Red]\(&quot;$&quot;#,##0\)">
                  <c:v>300925</c:v>
                </c:pt>
              </c:numCache>
            </c:numRef>
          </c:val>
        </c:ser>
        <c:marker val="1"/>
        <c:axId val="22442752"/>
        <c:axId val="22444288"/>
      </c:lineChart>
      <c:catAx>
        <c:axId val="22442752"/>
        <c:scaling>
          <c:orientation val="minMax"/>
        </c:scaling>
        <c:axPos val="b"/>
        <c:numFmt formatCode="General" sourceLinked="1"/>
        <c:tickLblPos val="nextTo"/>
        <c:crossAx val="22444288"/>
        <c:crosses val="autoZero"/>
        <c:auto val="1"/>
        <c:lblAlgn val="ctr"/>
        <c:lblOffset val="100"/>
      </c:catAx>
      <c:valAx>
        <c:axId val="22444288"/>
        <c:scaling>
          <c:orientation val="minMax"/>
        </c:scaling>
        <c:axPos val="l"/>
        <c:majorGridlines/>
        <c:numFmt formatCode="&quot;$&quot;#,##0_);[Red]\(&quot;$&quot;#,##0\)" sourceLinked="1"/>
        <c:tickLblPos val="nextTo"/>
        <c:crossAx val="224427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a:t>Chart 1. Gate Count, Daily Averages, Fall Semester 2007 &amp; 2008</a:t>
            </a:r>
          </a:p>
        </c:rich>
      </c:tx>
      <c:spPr>
        <a:noFill/>
        <a:ln w="25400">
          <a:noFill/>
        </a:ln>
      </c:spPr>
    </c:title>
    <c:plotArea>
      <c:layout>
        <c:manualLayout>
          <c:layoutTarget val="inner"/>
          <c:xMode val="edge"/>
          <c:yMode val="edge"/>
          <c:x val="0.19079293987334225"/>
          <c:y val="0.1776107532013044"/>
          <c:w val="0.68081180811808473"/>
          <c:h val="0.54046846416924899"/>
        </c:manualLayout>
      </c:layout>
      <c:lineChart>
        <c:grouping val="standard"/>
        <c:ser>
          <c:idx val="0"/>
          <c:order val="0"/>
          <c:tx>
            <c:strRef>
              <c:f>'Gate Count &amp; Hours'!$B$1</c:f>
              <c:strCache>
                <c:ptCount val="1"/>
                <c:pt idx="0">
                  <c:v>Averages 07</c:v>
                </c:pt>
              </c:strCache>
            </c:strRef>
          </c:tx>
          <c:spPr>
            <a:ln w="25400">
              <a:solidFill>
                <a:srgbClr val="666699"/>
              </a:solidFill>
              <a:prstDash val="solid"/>
            </a:ln>
          </c:spPr>
          <c:marker>
            <c:spPr>
              <a:solidFill>
                <a:srgbClr val="4F81BD"/>
              </a:solidFill>
              <a:ln>
                <a:solidFill>
                  <a:srgbClr val="666699"/>
                </a:solidFill>
                <a:prstDash val="solid"/>
              </a:ln>
            </c:spPr>
          </c:marker>
          <c:cat>
            <c:strRef>
              <c:f>'Gate Count &amp; Hours'!$A$2:$A$8</c:f>
              <c:strCache>
                <c:ptCount val="7"/>
                <c:pt idx="0">
                  <c:v>Sunday</c:v>
                </c:pt>
                <c:pt idx="1">
                  <c:v>Monday</c:v>
                </c:pt>
                <c:pt idx="2">
                  <c:v>Tuesday</c:v>
                </c:pt>
                <c:pt idx="3">
                  <c:v>Wednesday</c:v>
                </c:pt>
                <c:pt idx="4">
                  <c:v>Thursday</c:v>
                </c:pt>
                <c:pt idx="5">
                  <c:v>Friday</c:v>
                </c:pt>
                <c:pt idx="6">
                  <c:v>Saturday</c:v>
                </c:pt>
              </c:strCache>
            </c:strRef>
          </c:cat>
          <c:val>
            <c:numRef>
              <c:f>'Gate Count &amp; Hours'!$B$2:$B$8</c:f>
              <c:numCache>
                <c:formatCode>#,##0</c:formatCode>
                <c:ptCount val="7"/>
                <c:pt idx="0">
                  <c:v>1466</c:v>
                </c:pt>
                <c:pt idx="1">
                  <c:v>3221</c:v>
                </c:pt>
                <c:pt idx="2">
                  <c:v>3382</c:v>
                </c:pt>
                <c:pt idx="3">
                  <c:v>3215</c:v>
                </c:pt>
                <c:pt idx="4">
                  <c:v>3095</c:v>
                </c:pt>
                <c:pt idx="5">
                  <c:v>2135</c:v>
                </c:pt>
                <c:pt idx="6">
                  <c:v>646</c:v>
                </c:pt>
              </c:numCache>
            </c:numRef>
          </c:val>
        </c:ser>
        <c:ser>
          <c:idx val="1"/>
          <c:order val="1"/>
          <c:tx>
            <c:strRef>
              <c:f>'Gate Count &amp; Hours'!$C$1</c:f>
              <c:strCache>
                <c:ptCount val="1"/>
                <c:pt idx="0">
                  <c:v>Averages 08</c:v>
                </c:pt>
              </c:strCache>
            </c:strRef>
          </c:tx>
          <c:spPr>
            <a:ln w="25400">
              <a:solidFill>
                <a:srgbClr val="993366"/>
              </a:solidFill>
              <a:prstDash val="solid"/>
            </a:ln>
          </c:spPr>
          <c:marker>
            <c:spPr>
              <a:solidFill>
                <a:srgbClr val="C0504D"/>
              </a:solidFill>
              <a:ln>
                <a:solidFill>
                  <a:srgbClr val="993366"/>
                </a:solidFill>
                <a:prstDash val="solid"/>
              </a:ln>
            </c:spPr>
          </c:marker>
          <c:cat>
            <c:strRef>
              <c:f>'Gate Count &amp; Hours'!$A$2:$A$8</c:f>
              <c:strCache>
                <c:ptCount val="7"/>
                <c:pt idx="0">
                  <c:v>Sunday</c:v>
                </c:pt>
                <c:pt idx="1">
                  <c:v>Monday</c:v>
                </c:pt>
                <c:pt idx="2">
                  <c:v>Tuesday</c:v>
                </c:pt>
                <c:pt idx="3">
                  <c:v>Wednesday</c:v>
                </c:pt>
                <c:pt idx="4">
                  <c:v>Thursday</c:v>
                </c:pt>
                <c:pt idx="5">
                  <c:v>Friday</c:v>
                </c:pt>
                <c:pt idx="6">
                  <c:v>Saturday</c:v>
                </c:pt>
              </c:strCache>
            </c:strRef>
          </c:cat>
          <c:val>
            <c:numRef>
              <c:f>'Gate Count &amp; Hours'!$C$2:$C$8</c:f>
              <c:numCache>
                <c:formatCode>#,##0</c:formatCode>
                <c:ptCount val="7"/>
                <c:pt idx="0">
                  <c:v>1560</c:v>
                </c:pt>
                <c:pt idx="1">
                  <c:v>3128</c:v>
                </c:pt>
                <c:pt idx="2">
                  <c:v>3117</c:v>
                </c:pt>
                <c:pt idx="3">
                  <c:v>3217</c:v>
                </c:pt>
                <c:pt idx="4">
                  <c:v>2831</c:v>
                </c:pt>
                <c:pt idx="5">
                  <c:v>1821</c:v>
                </c:pt>
                <c:pt idx="6">
                  <c:v>599</c:v>
                </c:pt>
              </c:numCache>
            </c:numRef>
          </c:val>
        </c:ser>
        <c:marker val="1"/>
        <c:axId val="75809920"/>
        <c:axId val="75811840"/>
      </c:lineChart>
      <c:catAx>
        <c:axId val="75809920"/>
        <c:scaling>
          <c:orientation val="minMax"/>
        </c:scaling>
        <c:axPos val="b"/>
        <c:numFmt formatCode="General" sourceLinked="1"/>
        <c:tickLblPos val="nextTo"/>
        <c:spPr>
          <a:ln w="3175">
            <a:solidFill>
              <a:srgbClr val="808080"/>
            </a:solidFill>
            <a:prstDash val="solid"/>
          </a:ln>
        </c:spPr>
        <c:crossAx val="75811840"/>
        <c:crosses val="autoZero"/>
        <c:auto val="1"/>
        <c:lblAlgn val="ctr"/>
        <c:lblOffset val="100"/>
        <c:tickLblSkip val="1"/>
        <c:tickMarkSkip val="1"/>
      </c:catAx>
      <c:valAx>
        <c:axId val="75811840"/>
        <c:scaling>
          <c:orientation val="minMax"/>
          <c:max val="3500"/>
        </c:scaling>
        <c:axPos val="l"/>
        <c:majorGridlines>
          <c:spPr>
            <a:ln w="3175">
              <a:solidFill>
                <a:srgbClr val="808080"/>
              </a:solidFill>
              <a:prstDash val="solid"/>
            </a:ln>
          </c:spPr>
        </c:majorGridlines>
        <c:numFmt formatCode="#,##0" sourceLinked="1"/>
        <c:tickLblPos val="nextTo"/>
        <c:spPr>
          <a:ln w="3175">
            <a:solidFill>
              <a:srgbClr val="808080"/>
            </a:solidFill>
            <a:prstDash val="solid"/>
          </a:ln>
        </c:spPr>
        <c:crossAx val="75809920"/>
        <c:crosses val="autoZero"/>
        <c:crossBetween val="between"/>
      </c:valAx>
      <c:spPr>
        <a:solidFill>
          <a:srgbClr val="FFFFFF"/>
        </a:solidFill>
        <a:ln w="25400">
          <a:noFill/>
        </a:ln>
      </c:spPr>
    </c:plotArea>
    <c:legend>
      <c:legendPos val="b"/>
      <c:spPr>
        <a:noFill/>
        <a:ln w="25400">
          <a:noFill/>
        </a:ln>
      </c:spPr>
      <c:txPr>
        <a:bodyPr/>
        <a:lstStyle/>
        <a:p>
          <a:pPr>
            <a:defRPr sz="84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2. COT Gate Count, Daily Averages,</a:t>
            </a:r>
            <a:endParaRPr lang="en-US" sz="1200" b="1" i="0"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Fall Semester 2007 &amp; 2008</a:t>
            </a:r>
          </a:p>
        </c:rich>
      </c:tx>
      <c:spPr>
        <a:noFill/>
        <a:ln w="25400">
          <a:noFill/>
        </a:ln>
      </c:spPr>
    </c:title>
    <c:plotArea>
      <c:layout/>
      <c:lineChart>
        <c:grouping val="standard"/>
        <c:ser>
          <c:idx val="0"/>
          <c:order val="0"/>
          <c:tx>
            <c:strRef>
              <c:f>'Gate Count &amp; Hours'!$B$22</c:f>
              <c:strCache>
                <c:ptCount val="1"/>
                <c:pt idx="0">
                  <c:v>COT Averages 07</c:v>
                </c:pt>
              </c:strCache>
            </c:strRef>
          </c:tx>
          <c:spPr>
            <a:ln w="25400">
              <a:solidFill>
                <a:srgbClr val="666699"/>
              </a:solidFill>
              <a:prstDash val="solid"/>
            </a:ln>
          </c:spPr>
          <c:marker>
            <c:spPr>
              <a:solidFill>
                <a:srgbClr val="4F81BD"/>
              </a:solidFill>
              <a:ln>
                <a:solidFill>
                  <a:srgbClr val="666699"/>
                </a:solidFill>
                <a:prstDash val="solid"/>
              </a:ln>
            </c:spPr>
          </c:marker>
          <c:cat>
            <c:strRef>
              <c:f>'Gate Count &amp; Hours'!$A$23:$A$29</c:f>
              <c:strCache>
                <c:ptCount val="7"/>
                <c:pt idx="0">
                  <c:v>Sunday</c:v>
                </c:pt>
                <c:pt idx="1">
                  <c:v>Monday</c:v>
                </c:pt>
                <c:pt idx="2">
                  <c:v>Tuesday</c:v>
                </c:pt>
                <c:pt idx="3">
                  <c:v>Wednesday</c:v>
                </c:pt>
                <c:pt idx="4">
                  <c:v>Thursday</c:v>
                </c:pt>
                <c:pt idx="5">
                  <c:v>Friday</c:v>
                </c:pt>
                <c:pt idx="6">
                  <c:v>Saturday</c:v>
                </c:pt>
              </c:strCache>
            </c:strRef>
          </c:cat>
          <c:val>
            <c:numRef>
              <c:f>'Gate Count &amp; Hours'!$B$23:$B$29</c:f>
              <c:numCache>
                <c:formatCode>#,##0</c:formatCode>
                <c:ptCount val="7"/>
                <c:pt idx="0">
                  <c:v>0</c:v>
                </c:pt>
                <c:pt idx="1">
                  <c:v>351</c:v>
                </c:pt>
                <c:pt idx="2">
                  <c:v>292</c:v>
                </c:pt>
                <c:pt idx="3">
                  <c:v>315</c:v>
                </c:pt>
                <c:pt idx="4">
                  <c:v>265</c:v>
                </c:pt>
                <c:pt idx="5">
                  <c:v>196</c:v>
                </c:pt>
                <c:pt idx="6">
                  <c:v>0</c:v>
                </c:pt>
              </c:numCache>
            </c:numRef>
          </c:val>
        </c:ser>
        <c:ser>
          <c:idx val="1"/>
          <c:order val="1"/>
          <c:tx>
            <c:strRef>
              <c:f>'Gate Count &amp; Hours'!$C$22</c:f>
              <c:strCache>
                <c:ptCount val="1"/>
                <c:pt idx="0">
                  <c:v>COT Averages 08</c:v>
                </c:pt>
              </c:strCache>
            </c:strRef>
          </c:tx>
          <c:cat>
            <c:strRef>
              <c:f>'Gate Count &amp; Hours'!$A$23:$A$29</c:f>
              <c:strCache>
                <c:ptCount val="7"/>
                <c:pt idx="0">
                  <c:v>Sunday</c:v>
                </c:pt>
                <c:pt idx="1">
                  <c:v>Monday</c:v>
                </c:pt>
                <c:pt idx="2">
                  <c:v>Tuesday</c:v>
                </c:pt>
                <c:pt idx="3">
                  <c:v>Wednesday</c:v>
                </c:pt>
                <c:pt idx="4">
                  <c:v>Thursday</c:v>
                </c:pt>
                <c:pt idx="5">
                  <c:v>Friday</c:v>
                </c:pt>
                <c:pt idx="6">
                  <c:v>Saturday</c:v>
                </c:pt>
              </c:strCache>
            </c:strRef>
          </c:cat>
          <c:val>
            <c:numRef>
              <c:f>'Gate Count &amp; Hours'!$C$23:$C$29</c:f>
              <c:numCache>
                <c:formatCode>0</c:formatCode>
                <c:ptCount val="7"/>
                <c:pt idx="0">
                  <c:v>0</c:v>
                </c:pt>
                <c:pt idx="1">
                  <c:v>254.0625</c:v>
                </c:pt>
                <c:pt idx="2">
                  <c:v>201.6875</c:v>
                </c:pt>
                <c:pt idx="3">
                  <c:v>252</c:v>
                </c:pt>
                <c:pt idx="4">
                  <c:v>199.625</c:v>
                </c:pt>
                <c:pt idx="5">
                  <c:v>138.375</c:v>
                </c:pt>
                <c:pt idx="6">
                  <c:v>1.6666666666666667</c:v>
                </c:pt>
              </c:numCache>
            </c:numRef>
          </c:val>
        </c:ser>
        <c:marker val="1"/>
        <c:axId val="75700480"/>
        <c:axId val="75710464"/>
      </c:lineChart>
      <c:catAx>
        <c:axId val="75700480"/>
        <c:scaling>
          <c:orientation val="minMax"/>
        </c:scaling>
        <c:axPos val="b"/>
        <c:numFmt formatCode="General" sourceLinked="1"/>
        <c:majorTickMark val="none"/>
        <c:tickLblPos val="nextTo"/>
        <c:spPr>
          <a:ln w="3175">
            <a:solidFill>
              <a:srgbClr val="808080"/>
            </a:solidFill>
            <a:prstDash val="solid"/>
          </a:ln>
        </c:spPr>
        <c:crossAx val="75710464"/>
        <c:crosses val="autoZero"/>
        <c:auto val="1"/>
        <c:lblAlgn val="ctr"/>
        <c:lblOffset val="100"/>
      </c:catAx>
      <c:valAx>
        <c:axId val="75710464"/>
        <c:scaling>
          <c:orientation val="minMax"/>
        </c:scaling>
        <c:axPos val="l"/>
        <c:majorGridlines>
          <c:spPr>
            <a:ln w="3175">
              <a:solidFill>
                <a:srgbClr val="808080"/>
              </a:solidFill>
              <a:prstDash val="solid"/>
            </a:ln>
          </c:spPr>
        </c:majorGridlines>
        <c:numFmt formatCode="#,##0" sourceLinked="1"/>
        <c:majorTickMark val="none"/>
        <c:tickLblPos val="nextTo"/>
        <c:spPr>
          <a:ln w="25400">
            <a:noFill/>
          </a:ln>
        </c:spPr>
        <c:crossAx val="75700480"/>
        <c:crosses val="autoZero"/>
        <c:crossBetween val="between"/>
        <c:majorUnit val="100"/>
      </c:valAx>
      <c:spPr>
        <a:solidFill>
          <a:srgbClr val="FFFFFF"/>
        </a:solidFill>
        <a:ln w="25400">
          <a:noFill/>
        </a:ln>
      </c:spPr>
    </c:plotArea>
    <c:legend>
      <c:legendPos val="b"/>
    </c:legend>
    <c:plotVisOnly val="1"/>
    <c:dispBlanksAs val="gap"/>
  </c:chart>
  <c:spPr>
    <a:solidFill>
      <a:srgbClr val="FFFFFF"/>
    </a:solidFill>
    <a:ln w="3175">
      <a:solidFill>
        <a:srgbClr val="808080"/>
      </a:solidFill>
      <a:prstDash val="soli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4. Circulation Transactions by Day of Week,</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Fall 2007 &amp; 2008</a:t>
            </a:r>
          </a:p>
        </c:rich>
      </c:tx>
      <c:layout>
        <c:manualLayout>
          <c:xMode val="edge"/>
          <c:yMode val="edge"/>
          <c:x val="0.18766052680914885"/>
          <c:y val="3.9801000484695759E-2"/>
        </c:manualLayout>
      </c:layout>
      <c:spPr>
        <a:noFill/>
        <a:ln w="25400">
          <a:noFill/>
        </a:ln>
      </c:spPr>
    </c:title>
    <c:plotArea>
      <c:layout>
        <c:manualLayout>
          <c:layoutTarget val="inner"/>
          <c:xMode val="edge"/>
          <c:yMode val="edge"/>
          <c:x val="0.1283356767904012"/>
          <c:y val="0.25783972125435656"/>
          <c:w val="0.8571437913554506"/>
          <c:h val="0.43593953194875162"/>
        </c:manualLayout>
      </c:layout>
      <c:lineChart>
        <c:grouping val="standard"/>
        <c:ser>
          <c:idx val="0"/>
          <c:order val="0"/>
          <c:tx>
            <c:strRef>
              <c:f>'ML Circulation'!$B$22</c:f>
              <c:strCache>
                <c:ptCount val="1"/>
                <c:pt idx="0">
                  <c:v>Transactions 07</c:v>
                </c:pt>
              </c:strCache>
            </c:strRef>
          </c:tx>
          <c:spPr>
            <a:ln w="25400">
              <a:solidFill>
                <a:srgbClr val="666699"/>
              </a:solidFill>
              <a:prstDash val="solid"/>
            </a:ln>
          </c:spPr>
          <c:marker>
            <c:symbol val="diamond"/>
            <c:size val="7"/>
            <c:spPr>
              <a:solidFill>
                <a:srgbClr val="4F81BD"/>
              </a:solidFill>
              <a:ln>
                <a:solidFill>
                  <a:srgbClr val="666699"/>
                </a:solidFill>
                <a:prstDash val="solid"/>
              </a:ln>
            </c:spPr>
          </c:marker>
          <c:dLbls>
            <c:delete val="1"/>
          </c:dLbls>
          <c:cat>
            <c:strRef>
              <c:f>'ML Circulation'!$A$23:$A$29</c:f>
              <c:strCache>
                <c:ptCount val="7"/>
                <c:pt idx="0">
                  <c:v>Sunday</c:v>
                </c:pt>
                <c:pt idx="1">
                  <c:v>Monday</c:v>
                </c:pt>
                <c:pt idx="2">
                  <c:v>Tuesday</c:v>
                </c:pt>
                <c:pt idx="3">
                  <c:v>Wednesday</c:v>
                </c:pt>
                <c:pt idx="4">
                  <c:v>Thursday</c:v>
                </c:pt>
                <c:pt idx="5">
                  <c:v>Friday</c:v>
                </c:pt>
                <c:pt idx="6">
                  <c:v>Saturday</c:v>
                </c:pt>
              </c:strCache>
            </c:strRef>
          </c:cat>
          <c:val>
            <c:numRef>
              <c:f>'ML Circulation'!$B$23:$B$29</c:f>
              <c:numCache>
                <c:formatCode>#,##0</c:formatCode>
                <c:ptCount val="7"/>
                <c:pt idx="0">
                  <c:v>5539</c:v>
                </c:pt>
                <c:pt idx="1">
                  <c:v>9397</c:v>
                </c:pt>
                <c:pt idx="2">
                  <c:v>10091</c:v>
                </c:pt>
                <c:pt idx="3">
                  <c:v>9184</c:v>
                </c:pt>
                <c:pt idx="4">
                  <c:v>8407</c:v>
                </c:pt>
                <c:pt idx="5">
                  <c:v>6387</c:v>
                </c:pt>
                <c:pt idx="6">
                  <c:v>2694</c:v>
                </c:pt>
              </c:numCache>
            </c:numRef>
          </c:val>
        </c:ser>
        <c:ser>
          <c:idx val="1"/>
          <c:order val="1"/>
          <c:tx>
            <c:strRef>
              <c:f>'ML Circulation'!$C$22</c:f>
              <c:strCache>
                <c:ptCount val="1"/>
                <c:pt idx="0">
                  <c:v>Transactions 08</c:v>
                </c:pt>
              </c:strCache>
            </c:strRef>
          </c:tx>
          <c:spPr>
            <a:ln w="25400">
              <a:solidFill>
                <a:srgbClr val="993366"/>
              </a:solidFill>
              <a:prstDash val="solid"/>
            </a:ln>
          </c:spPr>
          <c:marker>
            <c:spPr>
              <a:solidFill>
                <a:srgbClr val="C0504D"/>
              </a:solidFill>
              <a:ln>
                <a:solidFill>
                  <a:srgbClr val="993366"/>
                </a:solidFill>
                <a:prstDash val="solid"/>
              </a:ln>
            </c:spPr>
          </c:marker>
          <c:dLbls>
            <c:delete val="1"/>
          </c:dLbls>
          <c:cat>
            <c:strRef>
              <c:f>'ML Circulation'!$A$23:$A$29</c:f>
              <c:strCache>
                <c:ptCount val="7"/>
                <c:pt idx="0">
                  <c:v>Sunday</c:v>
                </c:pt>
                <c:pt idx="1">
                  <c:v>Monday</c:v>
                </c:pt>
                <c:pt idx="2">
                  <c:v>Tuesday</c:v>
                </c:pt>
                <c:pt idx="3">
                  <c:v>Wednesday</c:v>
                </c:pt>
                <c:pt idx="4">
                  <c:v>Thursday</c:v>
                </c:pt>
                <c:pt idx="5">
                  <c:v>Friday</c:v>
                </c:pt>
                <c:pt idx="6">
                  <c:v>Saturday</c:v>
                </c:pt>
              </c:strCache>
            </c:strRef>
          </c:cat>
          <c:val>
            <c:numRef>
              <c:f>'ML Circulation'!$C$23:$C$29</c:f>
              <c:numCache>
                <c:formatCode>#,##0</c:formatCode>
                <c:ptCount val="7"/>
                <c:pt idx="0">
                  <c:v>6808</c:v>
                </c:pt>
                <c:pt idx="1">
                  <c:v>10499</c:v>
                </c:pt>
                <c:pt idx="2">
                  <c:v>10317</c:v>
                </c:pt>
                <c:pt idx="3">
                  <c:v>10308</c:v>
                </c:pt>
                <c:pt idx="4">
                  <c:v>8890</c:v>
                </c:pt>
                <c:pt idx="5">
                  <c:v>6220</c:v>
                </c:pt>
                <c:pt idx="6">
                  <c:v>2639</c:v>
                </c:pt>
              </c:numCache>
            </c:numRef>
          </c:val>
        </c:ser>
        <c:dLbls>
          <c:showCatName val="1"/>
        </c:dLbls>
        <c:marker val="1"/>
        <c:axId val="75748480"/>
        <c:axId val="75750400"/>
      </c:lineChart>
      <c:catAx>
        <c:axId val="75748480"/>
        <c:scaling>
          <c:orientation val="minMax"/>
        </c:scaling>
        <c:axPos val="b"/>
        <c:numFmt formatCode="General" sourceLinked="1"/>
        <c:tickLblPos val="nextTo"/>
        <c:spPr>
          <a:ln w="3175">
            <a:solidFill>
              <a:srgbClr val="808080"/>
            </a:solidFill>
            <a:prstDash val="solid"/>
          </a:ln>
        </c:spPr>
        <c:crossAx val="75750400"/>
        <c:crosses val="autoZero"/>
        <c:auto val="1"/>
        <c:lblAlgn val="ctr"/>
        <c:lblOffset val="100"/>
      </c:catAx>
      <c:valAx>
        <c:axId val="75750400"/>
        <c:scaling>
          <c:orientation val="minMax"/>
        </c:scaling>
        <c:axPos val="l"/>
        <c:majorGridlines>
          <c:spPr>
            <a:ln w="3175">
              <a:solidFill>
                <a:srgbClr val="808080"/>
              </a:solidFill>
              <a:prstDash val="solid"/>
            </a:ln>
          </c:spPr>
        </c:majorGridlines>
        <c:numFmt formatCode="#,##0" sourceLinked="1"/>
        <c:tickLblPos val="nextTo"/>
        <c:spPr>
          <a:ln w="3175">
            <a:solidFill>
              <a:srgbClr val="808080"/>
            </a:solidFill>
            <a:prstDash val="solid"/>
          </a:ln>
        </c:spPr>
        <c:crossAx val="75748480"/>
        <c:crosses val="autoZero"/>
        <c:crossBetween val="between"/>
        <c:majorUnit val="3000"/>
      </c:valAx>
      <c:spPr>
        <a:solidFill>
          <a:srgbClr val="FFFFFF"/>
        </a:solidFill>
        <a:ln w="25400">
          <a:noFill/>
        </a:ln>
      </c:spPr>
    </c:plotArea>
    <c:legend>
      <c:legendPos val="r"/>
      <c:layout>
        <c:manualLayout>
          <c:xMode val="edge"/>
          <c:yMode val="edge"/>
          <c:x val="0.16517880577427818"/>
          <c:y val="0.91637630662020908"/>
          <c:w val="0.68973284589426065"/>
          <c:h val="7.3170731707317027E-2"/>
        </c:manualLayout>
      </c:layout>
      <c:spPr>
        <a:noFill/>
        <a:ln w="25400">
          <a:noFill/>
        </a:ln>
      </c:spPr>
      <c:txPr>
        <a:bodyPr/>
        <a:lstStyle/>
        <a:p>
          <a:pPr>
            <a:defRPr sz="77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5. Circulation Transactions by Week of Semester,</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Fall 2007 &amp; 2008</a:t>
            </a:r>
          </a:p>
        </c:rich>
      </c:tx>
      <c:spPr>
        <a:noFill/>
        <a:ln w="25400">
          <a:noFill/>
        </a:ln>
      </c:spPr>
    </c:title>
    <c:plotArea>
      <c:layout>
        <c:manualLayout>
          <c:layoutTarget val="inner"/>
          <c:xMode val="edge"/>
          <c:yMode val="edge"/>
          <c:x val="0.10664335664335664"/>
          <c:y val="0.25205955737014357"/>
          <c:w val="0.87062937062937651"/>
          <c:h val="0.45899646803408944"/>
        </c:manualLayout>
      </c:layout>
      <c:lineChart>
        <c:grouping val="standard"/>
        <c:ser>
          <c:idx val="0"/>
          <c:order val="0"/>
          <c:tx>
            <c:strRef>
              <c:f>'ML Circulation'!$B$182</c:f>
              <c:strCache>
                <c:ptCount val="1"/>
                <c:pt idx="0">
                  <c:v>Transactions 07</c:v>
                </c:pt>
              </c:strCache>
            </c:strRef>
          </c:tx>
          <c:spPr>
            <a:ln w="25400">
              <a:solidFill>
                <a:srgbClr val="666699"/>
              </a:solidFill>
              <a:prstDash val="solid"/>
            </a:ln>
          </c:spPr>
          <c:marker>
            <c:spPr>
              <a:solidFill>
                <a:srgbClr val="4F81BD"/>
              </a:solidFill>
              <a:ln>
                <a:solidFill>
                  <a:srgbClr val="666699"/>
                </a:solidFill>
                <a:prstDash val="solid"/>
              </a:ln>
            </c:spPr>
          </c:marker>
          <c:cat>
            <c:strRef>
              <c:f>'ML Circulation'!$A$183:$A$198</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'ML Circulation'!$B$183:$B$198</c:f>
              <c:numCache>
                <c:formatCode>#,##0</c:formatCode>
                <c:ptCount val="16"/>
                <c:pt idx="0">
                  <c:v>2265</c:v>
                </c:pt>
                <c:pt idx="1">
                  <c:v>2193</c:v>
                </c:pt>
                <c:pt idx="2">
                  <c:v>2973</c:v>
                </c:pt>
                <c:pt idx="3">
                  <c:v>3106</c:v>
                </c:pt>
                <c:pt idx="4">
                  <c:v>3231</c:v>
                </c:pt>
                <c:pt idx="5">
                  <c:v>3426</c:v>
                </c:pt>
                <c:pt idx="6">
                  <c:v>3348</c:v>
                </c:pt>
                <c:pt idx="7">
                  <c:v>3586</c:v>
                </c:pt>
                <c:pt idx="8">
                  <c:v>3415</c:v>
                </c:pt>
                <c:pt idx="9">
                  <c:v>3358</c:v>
                </c:pt>
                <c:pt idx="10">
                  <c:v>4017</c:v>
                </c:pt>
                <c:pt idx="11">
                  <c:v>3662</c:v>
                </c:pt>
                <c:pt idx="12">
                  <c:v>2440</c:v>
                </c:pt>
                <c:pt idx="13">
                  <c:v>3599</c:v>
                </c:pt>
                <c:pt idx="14">
                  <c:v>3968</c:v>
                </c:pt>
                <c:pt idx="15">
                  <c:v>3112</c:v>
                </c:pt>
              </c:numCache>
            </c:numRef>
          </c:val>
        </c:ser>
        <c:ser>
          <c:idx val="1"/>
          <c:order val="1"/>
          <c:tx>
            <c:strRef>
              <c:f>'ML Circulation'!$C$182</c:f>
              <c:strCache>
                <c:ptCount val="1"/>
                <c:pt idx="0">
                  <c:v>Transactions 08</c:v>
                </c:pt>
              </c:strCache>
            </c:strRef>
          </c:tx>
          <c:spPr>
            <a:ln w="25400">
              <a:solidFill>
                <a:srgbClr val="993366"/>
              </a:solidFill>
              <a:prstDash val="solid"/>
            </a:ln>
          </c:spPr>
          <c:marker>
            <c:spPr>
              <a:solidFill>
                <a:srgbClr val="C0504D"/>
              </a:solidFill>
              <a:ln>
                <a:solidFill>
                  <a:srgbClr val="993366"/>
                </a:solidFill>
                <a:prstDash val="solid"/>
              </a:ln>
            </c:spPr>
          </c:marker>
          <c:cat>
            <c:strRef>
              <c:f>'ML Circulation'!$A$183:$A$198</c:f>
              <c:strCache>
                <c:ptCount val="16"/>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strCache>
            </c:strRef>
          </c:cat>
          <c:val>
            <c:numRef>
              <c:f>'ML Circulation'!$C$183:$C$198</c:f>
              <c:numCache>
                <c:formatCode>#,##0</c:formatCode>
                <c:ptCount val="16"/>
                <c:pt idx="0">
                  <c:v>2468</c:v>
                </c:pt>
                <c:pt idx="1">
                  <c:v>2532</c:v>
                </c:pt>
                <c:pt idx="2">
                  <c:v>2979</c:v>
                </c:pt>
                <c:pt idx="3">
                  <c:v>3273</c:v>
                </c:pt>
                <c:pt idx="4">
                  <c:v>3731</c:v>
                </c:pt>
                <c:pt idx="5">
                  <c:v>3354</c:v>
                </c:pt>
                <c:pt idx="6">
                  <c:v>3638</c:v>
                </c:pt>
                <c:pt idx="7">
                  <c:v>4192</c:v>
                </c:pt>
                <c:pt idx="8">
                  <c:v>3611</c:v>
                </c:pt>
                <c:pt idx="9">
                  <c:v>3675</c:v>
                </c:pt>
                <c:pt idx="10">
                  <c:v>3356</c:v>
                </c:pt>
                <c:pt idx="11">
                  <c:v>3803</c:v>
                </c:pt>
                <c:pt idx="12">
                  <c:v>3076</c:v>
                </c:pt>
                <c:pt idx="13">
                  <c:v>3309</c:v>
                </c:pt>
                <c:pt idx="14">
                  <c:v>4172</c:v>
                </c:pt>
                <c:pt idx="15">
                  <c:v>3408</c:v>
                </c:pt>
              </c:numCache>
            </c:numRef>
          </c:val>
        </c:ser>
        <c:marker val="1"/>
        <c:axId val="75847552"/>
        <c:axId val="75853824"/>
      </c:lineChart>
      <c:catAx>
        <c:axId val="75847552"/>
        <c:scaling>
          <c:orientation val="minMax"/>
        </c:scaling>
        <c:axPos val="b"/>
        <c:numFmt formatCode="General" sourceLinked="1"/>
        <c:tickLblPos val="nextTo"/>
        <c:spPr>
          <a:ln w="3175">
            <a:solidFill>
              <a:srgbClr val="808080"/>
            </a:solidFill>
            <a:prstDash val="solid"/>
          </a:ln>
        </c:spPr>
        <c:crossAx val="75853824"/>
        <c:crosses val="autoZero"/>
        <c:auto val="1"/>
        <c:lblAlgn val="ctr"/>
        <c:lblOffset val="100"/>
      </c:catAx>
      <c:valAx>
        <c:axId val="75853824"/>
        <c:scaling>
          <c:orientation val="minMax"/>
          <c:max val="5000"/>
        </c:scaling>
        <c:axPos val="l"/>
        <c:majorGridlines>
          <c:spPr>
            <a:ln w="3175">
              <a:solidFill>
                <a:srgbClr val="808080"/>
              </a:solidFill>
              <a:prstDash val="solid"/>
            </a:ln>
          </c:spPr>
        </c:majorGridlines>
        <c:numFmt formatCode="#,##0" sourceLinked="1"/>
        <c:tickLblPos val="nextTo"/>
        <c:spPr>
          <a:ln w="3175">
            <a:solidFill>
              <a:srgbClr val="808080"/>
            </a:solidFill>
            <a:prstDash val="solid"/>
          </a:ln>
        </c:spPr>
        <c:crossAx val="75847552"/>
        <c:crosses val="autoZero"/>
        <c:crossBetween val="between"/>
        <c:majorUnit val="1000"/>
      </c:valAx>
      <c:spPr>
        <a:solidFill>
          <a:srgbClr val="FFFFFF"/>
        </a:solidFill>
        <a:ln w="25400">
          <a:noFill/>
        </a:ln>
      </c:spPr>
    </c:plotArea>
    <c:legend>
      <c:legendPos val="r"/>
      <c:layout>
        <c:manualLayout>
          <c:xMode val="edge"/>
          <c:yMode val="edge"/>
          <c:x val="0.19580419580419642"/>
          <c:y val="0.91666958296879564"/>
          <c:w val="0.60664335664336155"/>
          <c:h val="6.4815138848384884E-2"/>
        </c:manualLayout>
      </c:layout>
      <c:spPr>
        <a:noFill/>
        <a:ln w="25400">
          <a:noFill/>
        </a:ln>
      </c:spPr>
    </c:legend>
    <c:plotVisOnly val="1"/>
    <c:dispBlanksAs val="gap"/>
  </c:chart>
  <c:spPr>
    <a:solidFill>
      <a:srgbClr val="FFFFFF"/>
    </a:solidFill>
    <a:ln w="3175">
      <a:solidFill>
        <a:srgbClr val="808080"/>
      </a:solidFill>
      <a:prstDash val="soli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Chart 6. ML@COT Circulation Transactions by Hour of Day,</a:t>
            </a:r>
          </a:p>
          <a:p>
            <a:pPr>
              <a:defRPr sz="1000" b="0" i="0" u="none" strike="noStrike" baseline="0">
                <a:solidFill>
                  <a:srgbClr val="000000"/>
                </a:solidFill>
                <a:latin typeface="Calibri"/>
                <a:ea typeface="Calibri"/>
                <a:cs typeface="Calibri"/>
              </a:defRPr>
            </a:pPr>
            <a:r>
              <a:rPr lang="en-US" sz="1200" b="1" i="0" strike="noStrike">
                <a:solidFill>
                  <a:srgbClr val="000000"/>
                </a:solidFill>
                <a:latin typeface="Calibri"/>
              </a:rPr>
              <a:t>Fall 2007 &amp; 2008</a:t>
            </a:r>
          </a:p>
        </c:rich>
      </c:tx>
      <c:layout>
        <c:manualLayout>
          <c:xMode val="edge"/>
          <c:yMode val="edge"/>
          <c:x val="0.13810746399459861"/>
          <c:y val="3.8277816898904075E-2"/>
        </c:manualLayout>
      </c:layout>
      <c:spPr>
        <a:noFill/>
        <a:ln w="25400">
          <a:noFill/>
        </a:ln>
      </c:spPr>
    </c:title>
    <c:plotArea>
      <c:layout>
        <c:manualLayout>
          <c:layoutTarget val="inner"/>
          <c:xMode val="edge"/>
          <c:yMode val="edge"/>
          <c:x val="0.12265758091993192"/>
          <c:y val="0.22493367190889757"/>
          <c:w val="0.85178875638842066"/>
          <c:h val="0.50452567412813265"/>
        </c:manualLayout>
      </c:layout>
      <c:lineChart>
        <c:grouping val="standard"/>
        <c:ser>
          <c:idx val="0"/>
          <c:order val="0"/>
          <c:tx>
            <c:strRef>
              <c:f>'COT Circulation'!$B$13</c:f>
              <c:strCache>
                <c:ptCount val="1"/>
                <c:pt idx="0">
                  <c:v>Transactions at COT 07</c:v>
                </c:pt>
              </c:strCache>
            </c:strRef>
          </c:tx>
          <c:spPr>
            <a:ln w="25400">
              <a:solidFill>
                <a:srgbClr val="666699"/>
              </a:solidFill>
              <a:prstDash val="solid"/>
            </a:ln>
          </c:spPr>
          <c:marker>
            <c:spPr>
              <a:solidFill>
                <a:srgbClr val="4F81BD"/>
              </a:solidFill>
              <a:ln>
                <a:solidFill>
                  <a:srgbClr val="666699"/>
                </a:solidFill>
                <a:prstDash val="solid"/>
              </a:ln>
            </c:spPr>
          </c:marker>
          <c:cat>
            <c:strRef>
              <c:f>'COT Circulation'!$A$14:$A$34</c:f>
              <c:strCache>
                <c:ptCount val="21"/>
                <c:pt idx="0">
                  <c:v>12:00 AM</c:v>
                </c:pt>
                <c:pt idx="1">
                  <c:v>1:00 AM</c:v>
                </c:pt>
                <c:pt idx="2">
                  <c:v>2:00 AM</c:v>
                </c:pt>
                <c:pt idx="3">
                  <c:v>6:00 AM</c:v>
                </c:pt>
                <c:pt idx="4">
                  <c:v>7:00 AM</c:v>
                </c:pt>
                <c:pt idx="5">
                  <c:v>8:00 AM</c:v>
                </c:pt>
                <c:pt idx="6">
                  <c:v>9:00 AM</c:v>
                </c:pt>
                <c:pt idx="7">
                  <c:v>10:00 AM</c:v>
                </c:pt>
                <c:pt idx="8">
                  <c:v>11:00 AM</c:v>
                </c:pt>
                <c:pt idx="9">
                  <c:v>12:00 PM</c:v>
                </c:pt>
                <c:pt idx="10">
                  <c:v>1:00 PM</c:v>
                </c:pt>
                <c:pt idx="11">
                  <c:v>2:00 PM</c:v>
                </c:pt>
                <c:pt idx="12">
                  <c:v>3:00 PM</c:v>
                </c:pt>
                <c:pt idx="13">
                  <c:v>4:00 PM</c:v>
                </c:pt>
                <c:pt idx="14">
                  <c:v>5:00 PM</c:v>
                </c:pt>
                <c:pt idx="15">
                  <c:v>6:00 PM</c:v>
                </c:pt>
                <c:pt idx="16">
                  <c:v>7:00 PM</c:v>
                </c:pt>
                <c:pt idx="17">
                  <c:v>8:00 PM</c:v>
                </c:pt>
                <c:pt idx="18">
                  <c:v>9:00 PM</c:v>
                </c:pt>
                <c:pt idx="19">
                  <c:v>10:00 PM</c:v>
                </c:pt>
                <c:pt idx="20">
                  <c:v>11:00 PM</c:v>
                </c:pt>
              </c:strCache>
            </c:strRef>
          </c:cat>
          <c:val>
            <c:numRef>
              <c:f>'COT Circulation'!$B$14:$B$34</c:f>
              <c:numCache>
                <c:formatCode>General</c:formatCode>
                <c:ptCount val="21"/>
                <c:pt idx="0">
                  <c:v>0</c:v>
                </c:pt>
                <c:pt idx="1">
                  <c:v>0</c:v>
                </c:pt>
                <c:pt idx="2">
                  <c:v>0</c:v>
                </c:pt>
                <c:pt idx="3">
                  <c:v>3</c:v>
                </c:pt>
                <c:pt idx="4">
                  <c:v>31</c:v>
                </c:pt>
                <c:pt idx="5">
                  <c:v>93</c:v>
                </c:pt>
                <c:pt idx="6">
                  <c:v>235</c:v>
                </c:pt>
                <c:pt idx="7">
                  <c:v>151</c:v>
                </c:pt>
                <c:pt idx="8">
                  <c:v>257</c:v>
                </c:pt>
                <c:pt idx="9">
                  <c:v>202</c:v>
                </c:pt>
                <c:pt idx="10">
                  <c:v>336</c:v>
                </c:pt>
                <c:pt idx="11">
                  <c:v>256</c:v>
                </c:pt>
                <c:pt idx="12">
                  <c:v>126</c:v>
                </c:pt>
                <c:pt idx="13">
                  <c:v>176</c:v>
                </c:pt>
                <c:pt idx="14">
                  <c:v>72</c:v>
                </c:pt>
                <c:pt idx="15">
                  <c:v>74</c:v>
                </c:pt>
                <c:pt idx="16">
                  <c:v>3</c:v>
                </c:pt>
                <c:pt idx="17">
                  <c:v>0</c:v>
                </c:pt>
                <c:pt idx="18">
                  <c:v>0</c:v>
                </c:pt>
                <c:pt idx="19">
                  <c:v>0</c:v>
                </c:pt>
                <c:pt idx="20">
                  <c:v>0</c:v>
                </c:pt>
              </c:numCache>
            </c:numRef>
          </c:val>
        </c:ser>
        <c:ser>
          <c:idx val="1"/>
          <c:order val="1"/>
          <c:tx>
            <c:strRef>
              <c:f>'COT Circulation'!$C$13</c:f>
              <c:strCache>
                <c:ptCount val="1"/>
                <c:pt idx="0">
                  <c:v>Transactions at COT 08</c:v>
                </c:pt>
              </c:strCache>
            </c:strRef>
          </c:tx>
          <c:spPr>
            <a:ln w="25400">
              <a:solidFill>
                <a:srgbClr val="993366"/>
              </a:solidFill>
              <a:prstDash val="solid"/>
            </a:ln>
          </c:spPr>
          <c:marker>
            <c:spPr>
              <a:solidFill>
                <a:srgbClr val="C0504D"/>
              </a:solidFill>
              <a:ln>
                <a:solidFill>
                  <a:srgbClr val="993366"/>
                </a:solidFill>
                <a:prstDash val="solid"/>
              </a:ln>
            </c:spPr>
          </c:marker>
          <c:cat>
            <c:strRef>
              <c:f>'COT Circulation'!$A$14:$A$34</c:f>
              <c:strCache>
                <c:ptCount val="21"/>
                <c:pt idx="0">
                  <c:v>12:00 AM</c:v>
                </c:pt>
                <c:pt idx="1">
                  <c:v>1:00 AM</c:v>
                </c:pt>
                <c:pt idx="2">
                  <c:v>2:00 AM</c:v>
                </c:pt>
                <c:pt idx="3">
                  <c:v>6:00 AM</c:v>
                </c:pt>
                <c:pt idx="4">
                  <c:v>7:00 AM</c:v>
                </c:pt>
                <c:pt idx="5">
                  <c:v>8:00 AM</c:v>
                </c:pt>
                <c:pt idx="6">
                  <c:v>9:00 AM</c:v>
                </c:pt>
                <c:pt idx="7">
                  <c:v>10:00 AM</c:v>
                </c:pt>
                <c:pt idx="8">
                  <c:v>11:00 AM</c:v>
                </c:pt>
                <c:pt idx="9">
                  <c:v>12:00 PM</c:v>
                </c:pt>
                <c:pt idx="10">
                  <c:v>1:00 PM</c:v>
                </c:pt>
                <c:pt idx="11">
                  <c:v>2:00 PM</c:v>
                </c:pt>
                <c:pt idx="12">
                  <c:v>3:00 PM</c:v>
                </c:pt>
                <c:pt idx="13">
                  <c:v>4:00 PM</c:v>
                </c:pt>
                <c:pt idx="14">
                  <c:v>5:00 PM</c:v>
                </c:pt>
                <c:pt idx="15">
                  <c:v>6:00 PM</c:v>
                </c:pt>
                <c:pt idx="16">
                  <c:v>7:00 PM</c:v>
                </c:pt>
                <c:pt idx="17">
                  <c:v>8:00 PM</c:v>
                </c:pt>
                <c:pt idx="18">
                  <c:v>9:00 PM</c:v>
                </c:pt>
                <c:pt idx="19">
                  <c:v>10:00 PM</c:v>
                </c:pt>
                <c:pt idx="20">
                  <c:v>11:00 PM</c:v>
                </c:pt>
              </c:strCache>
            </c:strRef>
          </c:cat>
          <c:val>
            <c:numRef>
              <c:f>'COT Circulation'!$C$14:$C$34</c:f>
              <c:numCache>
                <c:formatCode>General</c:formatCode>
                <c:ptCount val="21"/>
                <c:pt idx="0">
                  <c:v>0</c:v>
                </c:pt>
                <c:pt idx="1">
                  <c:v>0</c:v>
                </c:pt>
                <c:pt idx="2">
                  <c:v>0</c:v>
                </c:pt>
                <c:pt idx="3">
                  <c:v>0</c:v>
                </c:pt>
                <c:pt idx="4">
                  <c:v>44</c:v>
                </c:pt>
                <c:pt idx="5">
                  <c:v>73</c:v>
                </c:pt>
                <c:pt idx="6">
                  <c:v>237</c:v>
                </c:pt>
                <c:pt idx="7">
                  <c:v>195</c:v>
                </c:pt>
                <c:pt idx="8">
                  <c:v>212</c:v>
                </c:pt>
                <c:pt idx="9">
                  <c:v>165</c:v>
                </c:pt>
                <c:pt idx="10">
                  <c:v>271</c:v>
                </c:pt>
                <c:pt idx="11">
                  <c:v>208</c:v>
                </c:pt>
                <c:pt idx="12">
                  <c:v>149</c:v>
                </c:pt>
                <c:pt idx="13">
                  <c:v>141</c:v>
                </c:pt>
                <c:pt idx="14">
                  <c:v>78</c:v>
                </c:pt>
                <c:pt idx="15">
                  <c:v>61</c:v>
                </c:pt>
                <c:pt idx="16">
                  <c:v>2</c:v>
                </c:pt>
                <c:pt idx="17">
                  <c:v>0</c:v>
                </c:pt>
                <c:pt idx="18">
                  <c:v>0</c:v>
                </c:pt>
                <c:pt idx="19">
                  <c:v>0</c:v>
                </c:pt>
                <c:pt idx="20">
                  <c:v>0</c:v>
                </c:pt>
              </c:numCache>
            </c:numRef>
          </c:val>
        </c:ser>
        <c:marker val="1"/>
        <c:axId val="75974528"/>
        <c:axId val="75980800"/>
      </c:lineChart>
      <c:catAx>
        <c:axId val="75974528"/>
        <c:scaling>
          <c:orientation val="minMax"/>
        </c:scaling>
        <c:axPos val="b"/>
        <c:numFmt formatCode="General" sourceLinked="1"/>
        <c:tickLblPos val="nextTo"/>
        <c:spPr>
          <a:ln w="3175">
            <a:solidFill>
              <a:srgbClr val="808080"/>
            </a:solidFill>
            <a:prstDash val="solid"/>
          </a:ln>
        </c:spPr>
        <c:crossAx val="75980800"/>
        <c:crosses val="autoZero"/>
        <c:auto val="1"/>
        <c:lblAlgn val="ctr"/>
        <c:lblOffset val="100"/>
      </c:catAx>
      <c:valAx>
        <c:axId val="75980800"/>
        <c:scaling>
          <c:orientation val="minMax"/>
          <c:max val="350"/>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5974528"/>
        <c:crosses val="autoZero"/>
        <c:crossBetween val="between"/>
      </c:valAx>
      <c:spPr>
        <a:solidFill>
          <a:srgbClr val="FFFFFF"/>
        </a:solidFill>
        <a:ln w="25400">
          <a:noFill/>
        </a:ln>
      </c:spPr>
    </c:plotArea>
    <c:legend>
      <c:legendPos val="r"/>
      <c:layout>
        <c:manualLayout>
          <c:xMode val="edge"/>
          <c:yMode val="edge"/>
          <c:x val="0.11584327086882459"/>
          <c:y val="0.92412180184793957"/>
          <c:w val="0.80408858603066447"/>
          <c:h val="6.5040934923784932E-2"/>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a:t>Chart 7. ML@COT</a:t>
            </a:r>
            <a:r>
              <a:rPr lang="en-US" sz="1200" b="1" baseline="0"/>
              <a:t> C</a:t>
            </a:r>
            <a:r>
              <a:rPr lang="en-US" sz="1200" b="1"/>
              <a:t>irculation</a:t>
            </a:r>
            <a:r>
              <a:rPr lang="en-US" sz="1200" b="1" baseline="0"/>
              <a:t> Transactions by Day of Week, Fall 2007 &amp; 2008</a:t>
            </a:r>
            <a:endParaRPr lang="en-US" sz="1200" b="1"/>
          </a:p>
        </c:rich>
      </c:tx>
      <c:layout>
        <c:manualLayout>
          <c:xMode val="edge"/>
          <c:yMode val="edge"/>
          <c:x val="0.13554996145927894"/>
          <c:y val="5.5903567609604354E-2"/>
        </c:manualLayout>
      </c:layout>
      <c:spPr>
        <a:noFill/>
        <a:ln w="25400">
          <a:noFill/>
        </a:ln>
      </c:spPr>
    </c:title>
    <c:plotArea>
      <c:layout>
        <c:manualLayout>
          <c:layoutTarget val="inner"/>
          <c:xMode val="edge"/>
          <c:yMode val="edge"/>
          <c:x val="0.10408931380085513"/>
          <c:y val="0.2110009986125472"/>
          <c:w val="0.86059557660350683"/>
          <c:h val="0.5802472670714135"/>
        </c:manualLayout>
      </c:layout>
      <c:lineChart>
        <c:grouping val="standard"/>
        <c:ser>
          <c:idx val="0"/>
          <c:order val="0"/>
          <c:tx>
            <c:strRef>
              <c:f>'COT Circulation'!$B$38</c:f>
              <c:strCache>
                <c:ptCount val="1"/>
                <c:pt idx="0">
                  <c:v>Transactions at COT 07</c:v>
                </c:pt>
              </c:strCache>
            </c:strRef>
          </c:tx>
          <c:spPr>
            <a:ln w="25400">
              <a:solidFill>
                <a:srgbClr val="666699"/>
              </a:solidFill>
              <a:prstDash val="solid"/>
            </a:ln>
          </c:spPr>
          <c:marker>
            <c:spPr>
              <a:solidFill>
                <a:srgbClr val="4F81BD"/>
              </a:solidFill>
              <a:ln>
                <a:solidFill>
                  <a:srgbClr val="666699"/>
                </a:solidFill>
                <a:prstDash val="solid"/>
              </a:ln>
            </c:spPr>
          </c:marker>
          <c:cat>
            <c:strRef>
              <c:f>'COT Circulation'!$A$39:$A$45</c:f>
              <c:strCache>
                <c:ptCount val="7"/>
                <c:pt idx="0">
                  <c:v>Sunday</c:v>
                </c:pt>
                <c:pt idx="1">
                  <c:v>Monday</c:v>
                </c:pt>
                <c:pt idx="2">
                  <c:v>Tuesday</c:v>
                </c:pt>
                <c:pt idx="3">
                  <c:v>Wednesday</c:v>
                </c:pt>
                <c:pt idx="4">
                  <c:v>Thursday</c:v>
                </c:pt>
                <c:pt idx="5">
                  <c:v>Friday</c:v>
                </c:pt>
                <c:pt idx="6">
                  <c:v>Saturday</c:v>
                </c:pt>
              </c:strCache>
            </c:strRef>
          </c:cat>
          <c:val>
            <c:numRef>
              <c:f>'COT Circulation'!$B$39:$B$45</c:f>
              <c:numCache>
                <c:formatCode>General</c:formatCode>
                <c:ptCount val="7"/>
                <c:pt idx="0">
                  <c:v>0</c:v>
                </c:pt>
                <c:pt idx="1">
                  <c:v>491</c:v>
                </c:pt>
                <c:pt idx="2">
                  <c:v>358</c:v>
                </c:pt>
                <c:pt idx="3">
                  <c:v>491</c:v>
                </c:pt>
                <c:pt idx="4">
                  <c:v>336</c:v>
                </c:pt>
                <c:pt idx="5">
                  <c:v>339</c:v>
                </c:pt>
                <c:pt idx="6">
                  <c:v>0</c:v>
                </c:pt>
              </c:numCache>
            </c:numRef>
          </c:val>
        </c:ser>
        <c:ser>
          <c:idx val="1"/>
          <c:order val="1"/>
          <c:tx>
            <c:strRef>
              <c:f>'COT Circulation'!$C$38</c:f>
              <c:strCache>
                <c:ptCount val="1"/>
                <c:pt idx="0">
                  <c:v>Transactions at COT 08</c:v>
                </c:pt>
              </c:strCache>
            </c:strRef>
          </c:tx>
          <c:spPr>
            <a:ln w="25400">
              <a:solidFill>
                <a:srgbClr val="993366"/>
              </a:solidFill>
              <a:prstDash val="solid"/>
            </a:ln>
          </c:spPr>
          <c:marker>
            <c:spPr>
              <a:solidFill>
                <a:srgbClr val="C0504D"/>
              </a:solidFill>
              <a:ln>
                <a:solidFill>
                  <a:srgbClr val="993366"/>
                </a:solidFill>
                <a:prstDash val="solid"/>
              </a:ln>
            </c:spPr>
          </c:marker>
          <c:cat>
            <c:strRef>
              <c:f>'COT Circulation'!$A$39:$A$45</c:f>
              <c:strCache>
                <c:ptCount val="7"/>
                <c:pt idx="0">
                  <c:v>Sunday</c:v>
                </c:pt>
                <c:pt idx="1">
                  <c:v>Monday</c:v>
                </c:pt>
                <c:pt idx="2">
                  <c:v>Tuesday</c:v>
                </c:pt>
                <c:pt idx="3">
                  <c:v>Wednesday</c:v>
                </c:pt>
                <c:pt idx="4">
                  <c:v>Thursday</c:v>
                </c:pt>
                <c:pt idx="5">
                  <c:v>Friday</c:v>
                </c:pt>
                <c:pt idx="6">
                  <c:v>Saturday</c:v>
                </c:pt>
              </c:strCache>
            </c:strRef>
          </c:cat>
          <c:val>
            <c:numRef>
              <c:f>'COT Circulation'!$C$39:$C$45</c:f>
              <c:numCache>
                <c:formatCode>General</c:formatCode>
                <c:ptCount val="7"/>
                <c:pt idx="0">
                  <c:v>0</c:v>
                </c:pt>
                <c:pt idx="1">
                  <c:v>474</c:v>
                </c:pt>
                <c:pt idx="2">
                  <c:v>363</c:v>
                </c:pt>
                <c:pt idx="3">
                  <c:v>416</c:v>
                </c:pt>
                <c:pt idx="4">
                  <c:v>354</c:v>
                </c:pt>
                <c:pt idx="5">
                  <c:v>229</c:v>
                </c:pt>
                <c:pt idx="6">
                  <c:v>0</c:v>
                </c:pt>
              </c:numCache>
            </c:numRef>
          </c:val>
        </c:ser>
        <c:marker val="1"/>
        <c:axId val="75996160"/>
        <c:axId val="76006528"/>
      </c:lineChart>
      <c:catAx>
        <c:axId val="75996160"/>
        <c:scaling>
          <c:orientation val="minMax"/>
        </c:scaling>
        <c:axPos val="b"/>
        <c:numFmt formatCode="General" sourceLinked="1"/>
        <c:tickLblPos val="nextTo"/>
        <c:spPr>
          <a:ln w="3175">
            <a:solidFill>
              <a:srgbClr val="808080"/>
            </a:solidFill>
            <a:prstDash val="solid"/>
          </a:ln>
        </c:spPr>
        <c:crossAx val="76006528"/>
        <c:crosses val="autoZero"/>
        <c:auto val="1"/>
        <c:lblAlgn val="ctr"/>
        <c:lblOffset val="100"/>
      </c:catAx>
      <c:valAx>
        <c:axId val="76006528"/>
        <c:scaling>
          <c:orientation val="minMax"/>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crossAx val="75996160"/>
        <c:crosses val="autoZero"/>
        <c:crossBetween val="between"/>
      </c:valAx>
      <c:spPr>
        <a:solidFill>
          <a:srgbClr val="FFFFFF"/>
        </a:solidFill>
        <a:ln w="25400">
          <a:noFill/>
        </a:ln>
      </c:spPr>
    </c:plotArea>
    <c:legend>
      <c:legendPos val="r"/>
      <c:layout>
        <c:manualLayout>
          <c:xMode val="edge"/>
          <c:yMode val="edge"/>
          <c:x val="4.2750929368029794E-2"/>
          <c:y val="0.90572673365324285"/>
          <c:w val="0.92379260213291181"/>
          <c:h val="8.0808434299248E-2"/>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Mansfield Library Trends and Directions</vt:lpstr>
    </vt:vector>
  </TitlesOfParts>
  <Company>The University of Montana</Company>
  <LinksUpToDate>false</LinksUpToDate>
  <CharactersWithSpaces>47127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Library Trends and Directions</dc:title>
  <dc:subject/>
  <dc:creator>Sue Samson</dc:creator>
  <cp:keywords/>
  <cp:lastModifiedBy>bonnie.allen</cp:lastModifiedBy>
  <cp:revision>2</cp:revision>
  <cp:lastPrinted>2009-06-21T17:18:00Z</cp:lastPrinted>
  <dcterms:created xsi:type="dcterms:W3CDTF">2010-01-20T15:57:00Z</dcterms:created>
  <dcterms:modified xsi:type="dcterms:W3CDTF">2010-01-20T15:57:00Z</dcterms:modified>
</cp:coreProperties>
</file>