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73" w:rsidRPr="00A85F18" w:rsidRDefault="00495973" w:rsidP="00495973">
      <w:pPr>
        <w:pStyle w:val="Heading1"/>
        <w:jc w:val="center"/>
      </w:pPr>
      <w:proofErr w:type="spellStart"/>
      <w:r w:rsidRPr="002B1736">
        <w:t>ASCRC</w:t>
      </w:r>
      <w:proofErr w:type="spellEnd"/>
      <w:r w:rsidRPr="002B1736">
        <w:t xml:space="preserve"> Minutes</w:t>
      </w:r>
      <w:r>
        <w:t xml:space="preserve"> </w:t>
      </w:r>
      <w:r w:rsidR="00252142">
        <w:t>10</w:t>
      </w:r>
      <w:r>
        <w:t>/</w:t>
      </w:r>
      <w:r w:rsidR="00252142">
        <w:t>6</w:t>
      </w:r>
      <w:r>
        <w:t>/15</w:t>
      </w:r>
    </w:p>
    <w:p w:rsidR="00495973" w:rsidRPr="00986509" w:rsidRDefault="00495973" w:rsidP="00495973">
      <w:pPr>
        <w:ind w:left="720"/>
        <w:jc w:val="center"/>
      </w:pPr>
      <w:proofErr w:type="spellStart"/>
      <w:proofErr w:type="gramStart"/>
      <w:r w:rsidRPr="00986509">
        <w:t>GBB</w:t>
      </w:r>
      <w:proofErr w:type="spellEnd"/>
      <w:r w:rsidRPr="00986509">
        <w:t xml:space="preserve"> 2</w:t>
      </w:r>
      <w:r>
        <w:t>0</w:t>
      </w:r>
      <w:r w:rsidRPr="00986509">
        <w:t>5, 2:10 p.m.</w:t>
      </w:r>
      <w:proofErr w:type="gramEnd"/>
    </w:p>
    <w:p w:rsidR="00495973" w:rsidRDefault="00495973" w:rsidP="00495973">
      <w:pPr>
        <w:ind w:left="720"/>
        <w:rPr>
          <w:b/>
        </w:rPr>
      </w:pPr>
    </w:p>
    <w:p w:rsidR="00495973" w:rsidRDefault="00495973" w:rsidP="00495973">
      <w:pPr>
        <w:pStyle w:val="Heading2"/>
        <w:rPr>
          <w:rStyle w:val="Heading2Char"/>
          <w:i/>
          <w:sz w:val="24"/>
          <w:szCs w:val="24"/>
        </w:rPr>
      </w:pPr>
      <w:r w:rsidRPr="00847BFC">
        <w:t>Call to Order</w:t>
      </w:r>
      <w:r w:rsidRPr="00847BFC">
        <w:br/>
      </w:r>
    </w:p>
    <w:p w:rsidR="00495973" w:rsidRDefault="00495973" w:rsidP="00495973">
      <w:r w:rsidRPr="00794609">
        <w:t xml:space="preserve">Members Present: </w:t>
      </w:r>
      <w:r w:rsidR="00146A38">
        <w:t>T. Bundy,</w:t>
      </w:r>
      <w:r w:rsidR="00146A38" w:rsidRPr="00794609">
        <w:t xml:space="preserve"> </w:t>
      </w:r>
      <w:r w:rsidRPr="00794609">
        <w:t>D. Coffin</w:t>
      </w:r>
      <w:r w:rsidR="004E1415">
        <w:t>,</w:t>
      </w:r>
      <w:r>
        <w:t xml:space="preserve"> I. Crummy, J. Eglin, </w:t>
      </w:r>
      <w:r w:rsidR="004E1415">
        <w:t xml:space="preserve">P. Frazier, </w:t>
      </w:r>
      <w:r>
        <w:t xml:space="preserve">E. </w:t>
      </w:r>
      <w:proofErr w:type="spellStart"/>
      <w:r>
        <w:t>Engebretson</w:t>
      </w:r>
      <w:proofErr w:type="spellEnd"/>
      <w:r>
        <w:t xml:space="preserve">, </w:t>
      </w:r>
      <w:r w:rsidRPr="00794609">
        <w:t>B. Hillman</w:t>
      </w:r>
      <w:r>
        <w:t xml:space="preserve">, </w:t>
      </w:r>
      <w:r w:rsidRPr="00794609">
        <w:t xml:space="preserve"> A. Lawrence, </w:t>
      </w:r>
      <w:r w:rsidRPr="00C05962">
        <w:t>T. Manuel,</w:t>
      </w:r>
      <w:r>
        <w:t xml:space="preserve"> </w:t>
      </w:r>
      <w:r w:rsidR="00146A38">
        <w:t xml:space="preserve">M. Nelson, </w:t>
      </w:r>
      <w:r>
        <w:t xml:space="preserve">S. Smith, G. St. George, </w:t>
      </w:r>
      <w:r w:rsidRPr="00794609">
        <w:t xml:space="preserve">E. Uchimoto, </w:t>
      </w:r>
      <w:r>
        <w:t>M. Semanoff,</w:t>
      </w:r>
      <w:r w:rsidR="004E1415" w:rsidDel="004E1415">
        <w:t xml:space="preserve"> </w:t>
      </w:r>
      <w:r w:rsidRPr="00794609">
        <w:t xml:space="preserve"> </w:t>
      </w:r>
      <w:proofErr w:type="spellStart"/>
      <w:r w:rsidRPr="00794609">
        <w:t>G.G</w:t>
      </w:r>
      <w:proofErr w:type="spellEnd"/>
      <w:r w:rsidRPr="00794609">
        <w:t>. Weix</w:t>
      </w:r>
      <w:r>
        <w:br/>
        <w:t xml:space="preserve"> </w:t>
      </w:r>
      <w:r w:rsidRPr="00794609">
        <w:br/>
        <w:t xml:space="preserve">Ex-Officio Present:  </w:t>
      </w:r>
      <w:bookmarkStart w:id="0" w:name="_GoBack"/>
      <w:bookmarkEnd w:id="0"/>
      <w:r w:rsidR="00146A38">
        <w:t>B. French,</w:t>
      </w:r>
      <w:r w:rsidR="00146A38" w:rsidRPr="00C05962">
        <w:t xml:space="preserve"> </w:t>
      </w:r>
      <w:r w:rsidRPr="00C05962">
        <w:t>J. Hickman</w:t>
      </w:r>
      <w:r>
        <w:t>,</w:t>
      </w:r>
      <w:r w:rsidRPr="00794609">
        <w:t xml:space="preserve"> N. Lindsay</w:t>
      </w:r>
    </w:p>
    <w:p w:rsidR="00495973" w:rsidRDefault="00495973" w:rsidP="00495973">
      <w:r w:rsidRPr="00C05962">
        <w:t>Members Excused: M. Boller</w:t>
      </w:r>
      <w:r>
        <w:t xml:space="preserve">, </w:t>
      </w:r>
      <w:r w:rsidRPr="00F23AA1">
        <w:t>J. Zink</w:t>
      </w:r>
      <w:r w:rsidR="004E1415">
        <w:t>, W. Smith</w:t>
      </w:r>
      <w:r>
        <w:br/>
      </w:r>
    </w:p>
    <w:p w:rsidR="00146A38" w:rsidRDefault="00146A38" w:rsidP="00495973">
      <w:r>
        <w:t xml:space="preserve">Guests: J. </w:t>
      </w:r>
      <w:proofErr w:type="spellStart"/>
      <w:r>
        <w:t>Cahil</w:t>
      </w:r>
      <w:proofErr w:type="spellEnd"/>
      <w:r>
        <w:t>, P. Zagalo-Melo</w:t>
      </w:r>
    </w:p>
    <w:p w:rsidR="00495973" w:rsidRDefault="00495973" w:rsidP="00495973">
      <w:pPr>
        <w:rPr>
          <w:rStyle w:val="Heading2Char"/>
          <w:rFonts w:eastAsiaTheme="minorHAnsi"/>
        </w:rPr>
      </w:pPr>
      <w:r>
        <w:br/>
      </w:r>
      <w:r w:rsidRPr="00C05962">
        <w:t xml:space="preserve">Minutes: The minutes from </w:t>
      </w:r>
      <w:r>
        <w:t>9/22</w:t>
      </w:r>
      <w:r w:rsidRPr="00C05962">
        <w:t>/15 were</w:t>
      </w:r>
      <w:r w:rsidR="00146A38">
        <w:t xml:space="preserve"> amended and </w:t>
      </w:r>
      <w:r w:rsidRPr="00C05962">
        <w:t>approved.</w:t>
      </w:r>
      <w:r w:rsidRPr="00F76199">
        <w:rPr>
          <w:rFonts w:ascii="Calibri" w:hAnsi="Calibri" w:cs="Calibri"/>
        </w:rPr>
        <w:t xml:space="preserve"> </w:t>
      </w:r>
      <w:r>
        <w:rPr>
          <w:rFonts w:ascii="Calibri" w:hAnsi="Calibri" w:cs="Calibri"/>
        </w:rPr>
        <w:br/>
      </w:r>
      <w:r>
        <w:rPr>
          <w:rFonts w:ascii="Calibri" w:hAnsi="Calibri" w:cs="Calibri"/>
        </w:rPr>
        <w:br/>
      </w:r>
      <w:r w:rsidRPr="007D2A3A">
        <w:rPr>
          <w:rStyle w:val="Heading2Char"/>
          <w:rFonts w:eastAsiaTheme="minorHAnsi"/>
        </w:rPr>
        <w:t>Communication</w:t>
      </w:r>
    </w:p>
    <w:p w:rsidR="00495973" w:rsidRDefault="00434260" w:rsidP="00901602">
      <w:pPr>
        <w:pStyle w:val="ListParagraph"/>
        <w:numPr>
          <w:ilvl w:val="0"/>
          <w:numId w:val="6"/>
        </w:numPr>
        <w:ind w:left="360"/>
      </w:pPr>
      <w:r>
        <w:t xml:space="preserve">Associate Provost Zagalo-Melo spoke to </w:t>
      </w:r>
      <w:proofErr w:type="spellStart"/>
      <w:r>
        <w:t>ASCRC</w:t>
      </w:r>
      <w:proofErr w:type="spellEnd"/>
      <w:r>
        <w:t xml:space="preserve"> regarding what was believed to be </w:t>
      </w:r>
      <w:proofErr w:type="spellStart"/>
      <w:r>
        <w:t>UM’s</w:t>
      </w:r>
      <w:proofErr w:type="spellEnd"/>
      <w:r>
        <w:t xml:space="preserve"> changed </w:t>
      </w:r>
      <w:proofErr w:type="gramStart"/>
      <w:r>
        <w:t>requirement</w:t>
      </w:r>
      <w:proofErr w:type="gramEnd"/>
      <w:r>
        <w:t xml:space="preserve"> for SAT and ACT scores for international students</w:t>
      </w:r>
      <w:r w:rsidR="00E35AF4">
        <w:t xml:space="preserve"> (handout appended below)</w:t>
      </w:r>
      <w:r>
        <w:t>.  The</w:t>
      </w:r>
      <w:r w:rsidR="00897452">
        <w:t xml:space="preserve"> Admissions website has the </w:t>
      </w:r>
      <w:proofErr w:type="gramStart"/>
      <w:r w:rsidR="00897452">
        <w:t xml:space="preserve">scores </w:t>
      </w:r>
      <w:r>
        <w:t xml:space="preserve"> higher</w:t>
      </w:r>
      <w:proofErr w:type="gramEnd"/>
      <w:r>
        <w:t xml:space="preserve"> than </w:t>
      </w:r>
      <w:r w:rsidR="00800C5E">
        <w:t xml:space="preserve">the requirement for </w:t>
      </w:r>
      <w:r>
        <w:t>domestic students (440 and 18</w:t>
      </w:r>
      <w:r w:rsidR="002A7019">
        <w:t xml:space="preserve"> respectively</w:t>
      </w:r>
      <w:r>
        <w:t xml:space="preserve">) and </w:t>
      </w:r>
      <w:r w:rsidR="00800C5E">
        <w:t xml:space="preserve">by </w:t>
      </w:r>
      <w:r>
        <w:t xml:space="preserve">most of </w:t>
      </w:r>
      <w:proofErr w:type="spellStart"/>
      <w:r w:rsidR="00E35AF4">
        <w:t>UM’s</w:t>
      </w:r>
      <w:proofErr w:type="spellEnd"/>
      <w:r>
        <w:t xml:space="preserve"> peers.  Recruitment for international students is taking place now. They were concern</w:t>
      </w:r>
      <w:r w:rsidR="00897452">
        <w:t>ed</w:t>
      </w:r>
      <w:r>
        <w:t xml:space="preserve"> that requiring these scores would adversely affect students’ perception of the university.  The issue was brought to </w:t>
      </w:r>
      <w:proofErr w:type="spellStart"/>
      <w:r>
        <w:t>ASCR</w:t>
      </w:r>
      <w:r w:rsidR="002A7019">
        <w:t>C</w:t>
      </w:r>
      <w:proofErr w:type="spellEnd"/>
      <w:r>
        <w:t xml:space="preserve"> as a problematic policy that could be detrimental to international recruitment efforts.  </w:t>
      </w:r>
      <w:r w:rsidR="00901602">
        <w:br/>
      </w:r>
      <w:r w:rsidR="00B824C4">
        <w:br/>
        <w:t xml:space="preserve">There were questions about the </w:t>
      </w:r>
      <w:r w:rsidR="00800C5E">
        <w:t>ranking of the scores</w:t>
      </w:r>
      <w:r w:rsidR="002A7019">
        <w:t xml:space="preserve">; </w:t>
      </w:r>
      <w:r w:rsidR="00B824C4">
        <w:t xml:space="preserve">650 for the SAT </w:t>
      </w:r>
      <w:proofErr w:type="gramStart"/>
      <w:r w:rsidR="00B824C4">
        <w:t>is</w:t>
      </w:r>
      <w:proofErr w:type="gramEnd"/>
      <w:r w:rsidR="00B824C4">
        <w:t xml:space="preserve"> in the 90</w:t>
      </w:r>
      <w:r w:rsidR="002A7019">
        <w:t>th</w:t>
      </w:r>
      <w:r w:rsidR="00B824C4">
        <w:t xml:space="preserve"> percentile</w:t>
      </w:r>
      <w:r w:rsidR="002A7019">
        <w:t xml:space="preserve"> which may not be reasonable</w:t>
      </w:r>
      <w:r w:rsidR="00B824C4">
        <w:t xml:space="preserve">.  UM should be more appropriately aligned with </w:t>
      </w:r>
      <w:r w:rsidR="00800C5E">
        <w:t xml:space="preserve">our </w:t>
      </w:r>
      <w:r w:rsidR="002A7019">
        <w:t>peer institutions</w:t>
      </w:r>
      <w:r w:rsidR="00B824C4">
        <w:t xml:space="preserve">.  The committee agreed that the previous requirements seemed to attract qualified international students and approved a motion to return to the same standard </w:t>
      </w:r>
      <w:r w:rsidR="00800C5E">
        <w:t>required for</w:t>
      </w:r>
      <w:r w:rsidR="00B824C4">
        <w:t xml:space="preserve"> domestic students.  The retention rate of international students is 87%, which is much higher tha</w:t>
      </w:r>
      <w:r w:rsidR="002A7019">
        <w:t>n for</w:t>
      </w:r>
      <w:r w:rsidR="00B824C4">
        <w:t xml:space="preserve"> resident students. </w:t>
      </w:r>
      <w:r w:rsidR="00DD27A6">
        <w:t xml:space="preserve"> </w:t>
      </w:r>
      <w:r>
        <w:t xml:space="preserve">(Upon further investigation it was discovered that </w:t>
      </w:r>
      <w:proofErr w:type="spellStart"/>
      <w:r>
        <w:t>ASCRC</w:t>
      </w:r>
      <w:proofErr w:type="spellEnd"/>
      <w:r>
        <w:t xml:space="preserve"> </w:t>
      </w:r>
      <w:r w:rsidR="002A7019">
        <w:t>had not previously</w:t>
      </w:r>
      <w:r>
        <w:t xml:space="preserve"> change</w:t>
      </w:r>
      <w:r w:rsidR="002A7019">
        <w:t>d</w:t>
      </w:r>
      <w:r>
        <w:t xml:space="preserve"> the </w:t>
      </w:r>
      <w:r w:rsidR="002A7019">
        <w:t xml:space="preserve">required minimum SAT and ACT </w:t>
      </w:r>
      <w:r>
        <w:t>scores</w:t>
      </w:r>
      <w:r w:rsidR="002A7019">
        <w:t xml:space="preserve"> </w:t>
      </w:r>
      <w:r>
        <w:t>above that</w:t>
      </w:r>
      <w:r w:rsidR="00B824C4">
        <w:t xml:space="preserve"> required for </w:t>
      </w:r>
      <w:r w:rsidR="00897452">
        <w:t xml:space="preserve">domestic </w:t>
      </w:r>
      <w:r w:rsidR="00B824C4">
        <w:t xml:space="preserve">students as evidenced by the </w:t>
      </w:r>
      <w:hyperlink r:id="rId8" w:history="1">
        <w:r w:rsidR="00B824C4" w:rsidRPr="00B824C4">
          <w:rPr>
            <w:rStyle w:val="Hyperlink"/>
          </w:rPr>
          <w:t>motion</w:t>
        </w:r>
      </w:hyperlink>
      <w:r w:rsidR="00B824C4">
        <w:t xml:space="preserve"> approved by the Faculty Senate 5/</w:t>
      </w:r>
      <w:r w:rsidR="00E35AF4">
        <w:t>9</w:t>
      </w:r>
      <w:r w:rsidR="00B824C4">
        <w:t>/13.</w:t>
      </w:r>
      <w:r w:rsidR="002A7019">
        <w:t xml:space="preserve">  The International Admissions Office had received an incorrect internal memo that misstated the requirements.</w:t>
      </w:r>
      <w:r>
        <w:t xml:space="preserve">)  </w:t>
      </w:r>
    </w:p>
    <w:p w:rsidR="00985CB7" w:rsidRDefault="00985CB7" w:rsidP="00901602">
      <w:pPr>
        <w:tabs>
          <w:tab w:val="left" w:pos="2749"/>
        </w:tabs>
        <w:spacing w:line="240" w:lineRule="auto"/>
        <w:ind w:left="360"/>
      </w:pPr>
      <w:r>
        <w:t xml:space="preserve">Associate Provost Zagalo-Melo also asked that </w:t>
      </w:r>
      <w:proofErr w:type="spellStart"/>
      <w:r>
        <w:t>ASCRC</w:t>
      </w:r>
      <w:proofErr w:type="spellEnd"/>
      <w:r>
        <w:t xml:space="preserve"> consider accepting other </w:t>
      </w:r>
      <w:r w:rsidR="00E35AF4">
        <w:t xml:space="preserve">English Proficiency exams for </w:t>
      </w:r>
      <w:r>
        <w:t>admission</w:t>
      </w:r>
      <w:r w:rsidR="00E35AF4">
        <w:t xml:space="preserve"> of international student</w:t>
      </w:r>
      <w:r w:rsidR="00901602">
        <w:t>s</w:t>
      </w:r>
      <w:r>
        <w:t xml:space="preserve">.  </w:t>
      </w:r>
      <w:proofErr w:type="spellStart"/>
      <w:r>
        <w:t>TOEFL</w:t>
      </w:r>
      <w:proofErr w:type="spellEnd"/>
      <w:r>
        <w:t xml:space="preserve"> is </w:t>
      </w:r>
      <w:r w:rsidR="00A91A88">
        <w:t>a more</w:t>
      </w:r>
      <w:r>
        <w:t xml:space="preserve"> expensive exam.</w:t>
      </w:r>
      <w:r w:rsidR="00901602">
        <w:t xml:space="preserve">  The use of the other </w:t>
      </w:r>
      <w:r w:rsidR="002A7019">
        <w:t xml:space="preserve">suggested </w:t>
      </w:r>
      <w:r w:rsidR="00901602">
        <w:t xml:space="preserve">exams is becoming more prevalent because of the </w:t>
      </w:r>
      <w:r w:rsidR="002A7019">
        <w:t xml:space="preserve">lower </w:t>
      </w:r>
      <w:r w:rsidR="00901602">
        <w:t xml:space="preserve">cost and </w:t>
      </w:r>
      <w:r w:rsidR="002A7019">
        <w:t xml:space="preserve">improved </w:t>
      </w:r>
      <w:r w:rsidR="00901602">
        <w:lastRenderedPageBreak/>
        <w:t>convenience</w:t>
      </w:r>
      <w:r w:rsidR="002A7019">
        <w:t xml:space="preserve"> for students</w:t>
      </w:r>
      <w:r w:rsidR="00901602">
        <w:t xml:space="preserve">.  Montana State </w:t>
      </w:r>
      <w:r w:rsidR="002A7019">
        <w:t xml:space="preserve">University </w:t>
      </w:r>
      <w:r w:rsidR="00901602">
        <w:t>accepts the</w:t>
      </w:r>
      <w:r w:rsidR="002A7019">
        <w:t xml:space="preserve"> suggested tests</w:t>
      </w:r>
      <w:r w:rsidR="00901602">
        <w:t xml:space="preserve"> as one of </w:t>
      </w:r>
      <w:r w:rsidR="002A7019">
        <w:t xml:space="preserve">several </w:t>
      </w:r>
      <w:r w:rsidR="00901602">
        <w:t xml:space="preserve">options, as do most of </w:t>
      </w:r>
      <w:proofErr w:type="spellStart"/>
      <w:r w:rsidR="00901602">
        <w:t>UM’s</w:t>
      </w:r>
      <w:proofErr w:type="spellEnd"/>
      <w:r w:rsidR="00901602">
        <w:t xml:space="preserve"> peer institutions.  </w:t>
      </w:r>
      <w:r>
        <w:t xml:space="preserve"> </w:t>
      </w:r>
      <w:r w:rsidR="00E35AF4">
        <w:t xml:space="preserve"> </w:t>
      </w:r>
      <w:r w:rsidR="00901602">
        <w:t xml:space="preserve">Details on the three exams (Pearson Test of Academic English, Cambridge English Exams, and International Test of English Proficiency) </w:t>
      </w:r>
      <w:r w:rsidR="00803488">
        <w:t>are</w:t>
      </w:r>
      <w:r w:rsidR="00901602">
        <w:t xml:space="preserve"> included in the attached document.  The Cambridge English Exam is recognized as one of the best diagnostic</w:t>
      </w:r>
      <w:r w:rsidR="002A7019">
        <w:t xml:space="preserve"> measures.</w:t>
      </w:r>
    </w:p>
    <w:p w:rsidR="008E72CE" w:rsidRDefault="00901602" w:rsidP="00901602">
      <w:pPr>
        <w:tabs>
          <w:tab w:val="left" w:pos="2749"/>
        </w:tabs>
        <w:ind w:left="360"/>
      </w:pPr>
      <w:r>
        <w:t xml:space="preserve">Chair Manual would like additional information regarding the exams before </w:t>
      </w:r>
      <w:proofErr w:type="spellStart"/>
      <w:r>
        <w:t>ASCRC</w:t>
      </w:r>
      <w:proofErr w:type="spellEnd"/>
      <w:r>
        <w:t xml:space="preserve"> takes action</w:t>
      </w:r>
      <w:r w:rsidR="002A7019">
        <w:t xml:space="preserve"> and has asked Associate Provost Zagalo-Melo and Director Julie Cahill for more details about how the test standards correlate to </w:t>
      </w:r>
      <w:proofErr w:type="spellStart"/>
      <w:r w:rsidR="002A7019">
        <w:t>TOEFL</w:t>
      </w:r>
      <w:proofErr w:type="spellEnd"/>
      <w:r w:rsidR="002A7019">
        <w:t xml:space="preserve"> scores.</w:t>
      </w:r>
    </w:p>
    <w:p w:rsidR="00183CFC" w:rsidRDefault="00146A38" w:rsidP="00803488">
      <w:pPr>
        <w:pStyle w:val="ListParagraph"/>
        <w:numPr>
          <w:ilvl w:val="0"/>
          <w:numId w:val="1"/>
        </w:numPr>
        <w:tabs>
          <w:tab w:val="left" w:pos="2749"/>
        </w:tabs>
      </w:pPr>
      <w:r>
        <w:t xml:space="preserve">Professor Steve Lodmell spoke briefly about the Prior Learning Assessment. </w:t>
      </w:r>
      <w:r w:rsidR="00C06845">
        <w:t xml:space="preserve"> He served for three years on the Prior Learning Assessment Taskforce and was asked to serve on the Prior Learning Assessment Council.  The draft policy / procedure went to </w:t>
      </w:r>
      <w:proofErr w:type="spellStart"/>
      <w:r w:rsidR="00C06845">
        <w:t>ASCRC</w:t>
      </w:r>
      <w:proofErr w:type="spellEnd"/>
      <w:r w:rsidR="00C06845">
        <w:t xml:space="preserve"> and the Faculty Senate several times with requests to provide feedback.  The final document was recently approved at the board of Regents meeting. </w:t>
      </w:r>
      <w:r w:rsidR="00CC2C3C">
        <w:t xml:space="preserve"> The</w:t>
      </w:r>
      <w:r w:rsidR="00803488">
        <w:t xml:space="preserve"> grant will go towards </w:t>
      </w:r>
      <w:r w:rsidR="00800C5E">
        <w:t xml:space="preserve">faculty and staff </w:t>
      </w:r>
      <w:r w:rsidR="00803488">
        <w:t xml:space="preserve">training and developing a website. </w:t>
      </w:r>
      <w:r w:rsidR="00C06845">
        <w:br/>
      </w:r>
      <w:r w:rsidR="00C06845">
        <w:br/>
        <w:t xml:space="preserve">UM already accepts prior learning assessment (AP, and </w:t>
      </w:r>
      <w:proofErr w:type="spellStart"/>
      <w:r w:rsidR="00C06845">
        <w:t>etc</w:t>
      </w:r>
      <w:proofErr w:type="spellEnd"/>
      <w:r w:rsidR="00C06845">
        <w:t xml:space="preserve">).  The only unknown is portfolio review.  </w:t>
      </w:r>
      <w:r w:rsidR="00800C5E">
        <w:t>According to the four states consulted, portfolios are uncommon, so i</w:t>
      </w:r>
      <w:r w:rsidR="00A00E9E">
        <w:t>t is likely UM would not receive many portfolios from potential students.    The Taskforce felt strongly that if portfolios were submitted they should be reviewed by the faculty who are the experts in the subject matter</w:t>
      </w:r>
      <w:r w:rsidR="00803488">
        <w:t>, not an outside for-profit agency</w:t>
      </w:r>
      <w:r w:rsidR="00A00E9E">
        <w:t xml:space="preserve">.  </w:t>
      </w:r>
      <w:r w:rsidR="00CC2C3C">
        <w:t xml:space="preserve"> </w:t>
      </w:r>
      <w:r w:rsidR="00A00E9E">
        <w:t xml:space="preserve">Most nontraditional students tend to persist and do better. </w:t>
      </w:r>
      <w:r w:rsidR="00CC2C3C">
        <w:t xml:space="preserve"> </w:t>
      </w:r>
      <w:r w:rsidR="00803488">
        <w:t xml:space="preserve">Credit for prior learning is one way to entice them to pursue higher education. </w:t>
      </w:r>
      <w:r w:rsidR="00A91A88">
        <w:t xml:space="preserve">  Concern was expressed about state</w:t>
      </w:r>
      <w:r w:rsidR="00800C5E">
        <w:t>-</w:t>
      </w:r>
      <w:r w:rsidR="00A91A88">
        <w:t>level involvement in UM curricular issues and how interests at the state and University level are not always aligned.</w:t>
      </w:r>
      <w:r w:rsidR="00A00E9E">
        <w:br/>
      </w:r>
    </w:p>
    <w:p w:rsidR="00146A38" w:rsidRDefault="00146A38" w:rsidP="00146A38">
      <w:pPr>
        <w:pStyle w:val="ListParagraph"/>
        <w:numPr>
          <w:ilvl w:val="0"/>
          <w:numId w:val="1"/>
        </w:numPr>
        <w:tabs>
          <w:tab w:val="left" w:pos="2749"/>
        </w:tabs>
      </w:pPr>
      <w:r>
        <w:t xml:space="preserve">The committee reviewed the estimated curriculum form count and scheduled the consent agendas.  The Provost was out of town when the proposals were submitted and still has a few to review, so not all the level I and </w:t>
      </w:r>
      <w:proofErr w:type="spellStart"/>
      <w:r>
        <w:t>IIs</w:t>
      </w:r>
      <w:proofErr w:type="spellEnd"/>
      <w:r>
        <w:t xml:space="preserve"> are posted.  The summaries will be sent electronically with links to p</w:t>
      </w:r>
      <w:r w:rsidR="00901602">
        <w:t>rocedures as soon as they</w:t>
      </w:r>
      <w:r>
        <w:t xml:space="preserve"> are available. </w:t>
      </w:r>
    </w:p>
    <w:p w:rsidR="00146A38" w:rsidRDefault="00146A38" w:rsidP="00146A38">
      <w:pPr>
        <w:pStyle w:val="ListParagraph"/>
      </w:pPr>
    </w:p>
    <w:tbl>
      <w:tblPr>
        <w:tblStyle w:val="TableGrid"/>
        <w:tblW w:w="0" w:type="auto"/>
        <w:tblInd w:w="828" w:type="dxa"/>
        <w:tblLook w:val="04A0" w:firstRow="1" w:lastRow="0" w:firstColumn="1" w:lastColumn="0" w:noHBand="0" w:noVBand="1"/>
      </w:tblPr>
      <w:tblGrid>
        <w:gridCol w:w="2340"/>
        <w:gridCol w:w="1170"/>
        <w:gridCol w:w="1080"/>
        <w:gridCol w:w="990"/>
        <w:gridCol w:w="900"/>
        <w:gridCol w:w="1080"/>
        <w:gridCol w:w="1170"/>
      </w:tblGrid>
      <w:tr w:rsidR="00146A38" w:rsidTr="00A91A88">
        <w:tc>
          <w:tcPr>
            <w:tcW w:w="2340" w:type="dxa"/>
          </w:tcPr>
          <w:p w:rsidR="00146A38" w:rsidRDefault="00146A38" w:rsidP="00146A38"/>
        </w:tc>
        <w:tc>
          <w:tcPr>
            <w:tcW w:w="1170" w:type="dxa"/>
            <w:vAlign w:val="bottom"/>
          </w:tcPr>
          <w:p w:rsidR="00146A38" w:rsidRDefault="00146A38" w:rsidP="00A91A88">
            <w:pPr>
              <w:jc w:val="center"/>
            </w:pPr>
            <w:r>
              <w:t>e-</w:t>
            </w:r>
            <w:proofErr w:type="spellStart"/>
            <w:r>
              <w:t>Curr</w:t>
            </w:r>
            <w:proofErr w:type="spellEnd"/>
          </w:p>
        </w:tc>
        <w:tc>
          <w:tcPr>
            <w:tcW w:w="1080" w:type="dxa"/>
            <w:vAlign w:val="bottom"/>
          </w:tcPr>
          <w:p w:rsidR="00146A38" w:rsidRDefault="00146A38" w:rsidP="00A91A88">
            <w:pPr>
              <w:jc w:val="center"/>
            </w:pPr>
            <w:proofErr w:type="spellStart"/>
            <w:r>
              <w:t>ProgMod</w:t>
            </w:r>
            <w:proofErr w:type="spellEnd"/>
          </w:p>
        </w:tc>
        <w:tc>
          <w:tcPr>
            <w:tcW w:w="990" w:type="dxa"/>
            <w:vAlign w:val="bottom"/>
          </w:tcPr>
          <w:p w:rsidR="00146A38" w:rsidRDefault="00146A38" w:rsidP="00A91A88">
            <w:pPr>
              <w:jc w:val="center"/>
            </w:pPr>
            <w:r>
              <w:t>Level I</w:t>
            </w:r>
          </w:p>
        </w:tc>
        <w:tc>
          <w:tcPr>
            <w:tcW w:w="900" w:type="dxa"/>
            <w:vAlign w:val="bottom"/>
          </w:tcPr>
          <w:p w:rsidR="00146A38" w:rsidRDefault="00146A38" w:rsidP="00A91A88">
            <w:pPr>
              <w:jc w:val="center"/>
            </w:pPr>
            <w:r>
              <w:t>Level II</w:t>
            </w:r>
          </w:p>
        </w:tc>
        <w:tc>
          <w:tcPr>
            <w:tcW w:w="1080" w:type="dxa"/>
            <w:vAlign w:val="bottom"/>
          </w:tcPr>
          <w:p w:rsidR="00146A38" w:rsidRDefault="00146A38" w:rsidP="00A91A88">
            <w:pPr>
              <w:jc w:val="center"/>
            </w:pPr>
            <w:r>
              <w:t>In Progress</w:t>
            </w:r>
          </w:p>
        </w:tc>
        <w:tc>
          <w:tcPr>
            <w:tcW w:w="1170" w:type="dxa"/>
            <w:vAlign w:val="bottom"/>
          </w:tcPr>
          <w:p w:rsidR="00146A38" w:rsidRDefault="00146A38" w:rsidP="00A91A88">
            <w:pPr>
              <w:jc w:val="center"/>
            </w:pPr>
            <w:r>
              <w:t>Date</w:t>
            </w:r>
          </w:p>
        </w:tc>
      </w:tr>
      <w:tr w:rsidR="00146A38" w:rsidTr="00146A38">
        <w:tc>
          <w:tcPr>
            <w:tcW w:w="2340" w:type="dxa"/>
          </w:tcPr>
          <w:p w:rsidR="00146A38" w:rsidRDefault="00146A38" w:rsidP="00146A38">
            <w:r>
              <w:t xml:space="preserve">Bus &amp; </w:t>
            </w:r>
            <w:proofErr w:type="spellStart"/>
            <w:r>
              <w:t>Journ</w:t>
            </w:r>
            <w:proofErr w:type="spellEnd"/>
          </w:p>
        </w:tc>
        <w:tc>
          <w:tcPr>
            <w:tcW w:w="1170" w:type="dxa"/>
          </w:tcPr>
          <w:p w:rsidR="00146A38" w:rsidRDefault="007B6253" w:rsidP="00146A38">
            <w:r>
              <w:t>41</w:t>
            </w:r>
          </w:p>
        </w:tc>
        <w:tc>
          <w:tcPr>
            <w:tcW w:w="1080" w:type="dxa"/>
          </w:tcPr>
          <w:p w:rsidR="00146A38" w:rsidRDefault="007B6253" w:rsidP="00146A38">
            <w:r>
              <w:t>4</w:t>
            </w:r>
          </w:p>
        </w:tc>
        <w:tc>
          <w:tcPr>
            <w:tcW w:w="990" w:type="dxa"/>
          </w:tcPr>
          <w:p w:rsidR="00146A38" w:rsidRDefault="007B6253" w:rsidP="00146A38">
            <w:r>
              <w:t>5</w:t>
            </w:r>
          </w:p>
        </w:tc>
        <w:tc>
          <w:tcPr>
            <w:tcW w:w="900" w:type="dxa"/>
          </w:tcPr>
          <w:p w:rsidR="00146A38" w:rsidRDefault="007B6253" w:rsidP="00146A38">
            <w:r>
              <w:t>2</w:t>
            </w:r>
          </w:p>
        </w:tc>
        <w:tc>
          <w:tcPr>
            <w:tcW w:w="1080" w:type="dxa"/>
          </w:tcPr>
          <w:p w:rsidR="00146A38" w:rsidRDefault="00146A38" w:rsidP="00146A38"/>
        </w:tc>
        <w:tc>
          <w:tcPr>
            <w:tcW w:w="1170" w:type="dxa"/>
          </w:tcPr>
          <w:p w:rsidR="00146A38" w:rsidRDefault="00146A38" w:rsidP="00146A38">
            <w:r>
              <w:t>11/3</w:t>
            </w:r>
          </w:p>
        </w:tc>
      </w:tr>
      <w:tr w:rsidR="00146A38" w:rsidTr="00146A38">
        <w:tc>
          <w:tcPr>
            <w:tcW w:w="2340" w:type="dxa"/>
          </w:tcPr>
          <w:p w:rsidR="00146A38" w:rsidRDefault="00146A38" w:rsidP="00146A38">
            <w:r>
              <w:t xml:space="preserve">Humanities </w:t>
            </w:r>
          </w:p>
        </w:tc>
        <w:tc>
          <w:tcPr>
            <w:tcW w:w="1170" w:type="dxa"/>
          </w:tcPr>
          <w:p w:rsidR="00146A38" w:rsidRDefault="00146A38" w:rsidP="00146A38">
            <w:r>
              <w:t>15</w:t>
            </w:r>
          </w:p>
        </w:tc>
        <w:tc>
          <w:tcPr>
            <w:tcW w:w="1080" w:type="dxa"/>
          </w:tcPr>
          <w:p w:rsidR="00146A38" w:rsidRDefault="00146A38" w:rsidP="00146A38"/>
        </w:tc>
        <w:tc>
          <w:tcPr>
            <w:tcW w:w="990" w:type="dxa"/>
          </w:tcPr>
          <w:p w:rsidR="00146A38" w:rsidRDefault="00146A38" w:rsidP="00146A38"/>
        </w:tc>
        <w:tc>
          <w:tcPr>
            <w:tcW w:w="900" w:type="dxa"/>
          </w:tcPr>
          <w:p w:rsidR="00146A38" w:rsidRDefault="00146A38" w:rsidP="00146A38">
            <w:r>
              <w:t>2</w:t>
            </w:r>
          </w:p>
        </w:tc>
        <w:tc>
          <w:tcPr>
            <w:tcW w:w="1080" w:type="dxa"/>
          </w:tcPr>
          <w:p w:rsidR="00146A38" w:rsidRDefault="00146A38" w:rsidP="00146A38">
            <w:r>
              <w:t>1</w:t>
            </w:r>
          </w:p>
        </w:tc>
        <w:tc>
          <w:tcPr>
            <w:tcW w:w="1170" w:type="dxa"/>
          </w:tcPr>
          <w:p w:rsidR="00146A38" w:rsidRDefault="00146A38" w:rsidP="00800C5E">
            <w:r>
              <w:t>10/</w:t>
            </w:r>
            <w:r w:rsidR="00800C5E">
              <w:t>20</w:t>
            </w:r>
          </w:p>
        </w:tc>
      </w:tr>
      <w:tr w:rsidR="00146A38" w:rsidTr="00146A38">
        <w:tc>
          <w:tcPr>
            <w:tcW w:w="2340" w:type="dxa"/>
          </w:tcPr>
          <w:p w:rsidR="00146A38" w:rsidRDefault="00146A38" w:rsidP="00146A38">
            <w:r>
              <w:t>Education &amp;Fine Arts</w:t>
            </w:r>
          </w:p>
        </w:tc>
        <w:tc>
          <w:tcPr>
            <w:tcW w:w="1170" w:type="dxa"/>
          </w:tcPr>
          <w:p w:rsidR="00146A38" w:rsidRDefault="00146A38" w:rsidP="00146A38">
            <w:r>
              <w:t>102</w:t>
            </w:r>
          </w:p>
        </w:tc>
        <w:tc>
          <w:tcPr>
            <w:tcW w:w="1080" w:type="dxa"/>
          </w:tcPr>
          <w:p w:rsidR="00146A38" w:rsidRDefault="00146A38" w:rsidP="00146A38">
            <w:r>
              <w:t>8</w:t>
            </w:r>
          </w:p>
        </w:tc>
        <w:tc>
          <w:tcPr>
            <w:tcW w:w="990" w:type="dxa"/>
          </w:tcPr>
          <w:p w:rsidR="00146A38" w:rsidRDefault="00146A38" w:rsidP="00146A38">
            <w:r>
              <w:t>3</w:t>
            </w:r>
          </w:p>
        </w:tc>
        <w:tc>
          <w:tcPr>
            <w:tcW w:w="900" w:type="dxa"/>
          </w:tcPr>
          <w:p w:rsidR="00146A38" w:rsidRDefault="00146A38" w:rsidP="00146A38">
            <w:r>
              <w:t>2</w:t>
            </w:r>
          </w:p>
        </w:tc>
        <w:tc>
          <w:tcPr>
            <w:tcW w:w="1080" w:type="dxa"/>
          </w:tcPr>
          <w:p w:rsidR="00146A38" w:rsidRDefault="00146A38" w:rsidP="00146A38">
            <w:r>
              <w:t>5</w:t>
            </w:r>
          </w:p>
        </w:tc>
        <w:tc>
          <w:tcPr>
            <w:tcW w:w="1170" w:type="dxa"/>
          </w:tcPr>
          <w:p w:rsidR="00146A38" w:rsidRDefault="00146A38" w:rsidP="00146A38">
            <w:r>
              <w:t>11/17</w:t>
            </w:r>
          </w:p>
        </w:tc>
      </w:tr>
      <w:tr w:rsidR="00146A38" w:rsidTr="00146A38">
        <w:tc>
          <w:tcPr>
            <w:tcW w:w="2340" w:type="dxa"/>
          </w:tcPr>
          <w:p w:rsidR="00146A38" w:rsidRDefault="00146A38" w:rsidP="00146A38">
            <w:r>
              <w:t>Forestry &amp; Biomed</w:t>
            </w:r>
          </w:p>
        </w:tc>
        <w:tc>
          <w:tcPr>
            <w:tcW w:w="1170" w:type="dxa"/>
          </w:tcPr>
          <w:p w:rsidR="00146A38" w:rsidRDefault="00146A38" w:rsidP="00146A38">
            <w:r>
              <w:t>43</w:t>
            </w:r>
          </w:p>
        </w:tc>
        <w:tc>
          <w:tcPr>
            <w:tcW w:w="1080" w:type="dxa"/>
          </w:tcPr>
          <w:p w:rsidR="00146A38" w:rsidRDefault="007B6253" w:rsidP="00146A38">
            <w:r>
              <w:t>6</w:t>
            </w:r>
          </w:p>
        </w:tc>
        <w:tc>
          <w:tcPr>
            <w:tcW w:w="990" w:type="dxa"/>
          </w:tcPr>
          <w:p w:rsidR="00146A38" w:rsidRDefault="007B6253" w:rsidP="00146A38">
            <w:r>
              <w:t>5</w:t>
            </w:r>
          </w:p>
        </w:tc>
        <w:tc>
          <w:tcPr>
            <w:tcW w:w="900" w:type="dxa"/>
          </w:tcPr>
          <w:p w:rsidR="00146A38" w:rsidRDefault="007B6253" w:rsidP="00146A38">
            <w:r>
              <w:t>1</w:t>
            </w:r>
          </w:p>
        </w:tc>
        <w:tc>
          <w:tcPr>
            <w:tcW w:w="1080" w:type="dxa"/>
          </w:tcPr>
          <w:p w:rsidR="00146A38" w:rsidRDefault="00146A38" w:rsidP="00146A38">
            <w:r>
              <w:t>4</w:t>
            </w:r>
          </w:p>
        </w:tc>
        <w:tc>
          <w:tcPr>
            <w:tcW w:w="1170" w:type="dxa"/>
          </w:tcPr>
          <w:p w:rsidR="00146A38" w:rsidRDefault="00146A38" w:rsidP="00146A38">
            <w:r>
              <w:t>11/3</w:t>
            </w:r>
          </w:p>
        </w:tc>
      </w:tr>
      <w:tr w:rsidR="00146A38" w:rsidTr="00146A38">
        <w:tc>
          <w:tcPr>
            <w:tcW w:w="2340" w:type="dxa"/>
          </w:tcPr>
          <w:p w:rsidR="00146A38" w:rsidRDefault="00146A38" w:rsidP="00146A38">
            <w:r>
              <w:t>Science &amp; Math</w:t>
            </w:r>
          </w:p>
        </w:tc>
        <w:tc>
          <w:tcPr>
            <w:tcW w:w="1170" w:type="dxa"/>
          </w:tcPr>
          <w:p w:rsidR="00146A38" w:rsidRDefault="007B6253" w:rsidP="00146A38">
            <w:r>
              <w:t>37</w:t>
            </w:r>
          </w:p>
        </w:tc>
        <w:tc>
          <w:tcPr>
            <w:tcW w:w="1080" w:type="dxa"/>
          </w:tcPr>
          <w:p w:rsidR="00146A38" w:rsidRDefault="00146A38" w:rsidP="007B6253">
            <w:r>
              <w:t>1</w:t>
            </w:r>
            <w:r w:rsidR="007B6253">
              <w:t>2</w:t>
            </w:r>
          </w:p>
        </w:tc>
        <w:tc>
          <w:tcPr>
            <w:tcW w:w="990" w:type="dxa"/>
          </w:tcPr>
          <w:p w:rsidR="00146A38" w:rsidRDefault="004D52D7" w:rsidP="00146A38">
            <w:r>
              <w:t>7</w:t>
            </w:r>
          </w:p>
        </w:tc>
        <w:tc>
          <w:tcPr>
            <w:tcW w:w="900" w:type="dxa"/>
          </w:tcPr>
          <w:p w:rsidR="00146A38" w:rsidRDefault="007B6253" w:rsidP="00146A38">
            <w:r>
              <w:t>2</w:t>
            </w:r>
          </w:p>
        </w:tc>
        <w:tc>
          <w:tcPr>
            <w:tcW w:w="1080" w:type="dxa"/>
          </w:tcPr>
          <w:p w:rsidR="00146A38" w:rsidRDefault="00146A38" w:rsidP="00146A38">
            <w:r>
              <w:t>3</w:t>
            </w:r>
          </w:p>
        </w:tc>
        <w:tc>
          <w:tcPr>
            <w:tcW w:w="1170" w:type="dxa"/>
          </w:tcPr>
          <w:p w:rsidR="00146A38" w:rsidRDefault="00146A38" w:rsidP="00146A38">
            <w:r>
              <w:t>11/10</w:t>
            </w:r>
          </w:p>
        </w:tc>
      </w:tr>
      <w:tr w:rsidR="00146A38" w:rsidTr="00146A38">
        <w:tc>
          <w:tcPr>
            <w:tcW w:w="2340" w:type="dxa"/>
          </w:tcPr>
          <w:p w:rsidR="00146A38" w:rsidRDefault="00146A38" w:rsidP="00146A38">
            <w:r>
              <w:t>Social Science</w:t>
            </w:r>
          </w:p>
        </w:tc>
        <w:tc>
          <w:tcPr>
            <w:tcW w:w="1170" w:type="dxa"/>
          </w:tcPr>
          <w:p w:rsidR="00146A38" w:rsidRDefault="00146A38" w:rsidP="00146A38">
            <w:r>
              <w:t>15</w:t>
            </w:r>
          </w:p>
        </w:tc>
        <w:tc>
          <w:tcPr>
            <w:tcW w:w="1080" w:type="dxa"/>
          </w:tcPr>
          <w:p w:rsidR="00146A38" w:rsidRDefault="00146A38" w:rsidP="00146A38">
            <w:r>
              <w:t>1</w:t>
            </w:r>
          </w:p>
        </w:tc>
        <w:tc>
          <w:tcPr>
            <w:tcW w:w="990" w:type="dxa"/>
          </w:tcPr>
          <w:p w:rsidR="00146A38" w:rsidRDefault="00146A38" w:rsidP="00146A38">
            <w:r>
              <w:t>I</w:t>
            </w:r>
          </w:p>
        </w:tc>
        <w:tc>
          <w:tcPr>
            <w:tcW w:w="900" w:type="dxa"/>
          </w:tcPr>
          <w:p w:rsidR="00146A38" w:rsidRDefault="00146A38" w:rsidP="00146A38"/>
        </w:tc>
        <w:tc>
          <w:tcPr>
            <w:tcW w:w="1080" w:type="dxa"/>
          </w:tcPr>
          <w:p w:rsidR="00146A38" w:rsidRDefault="00146A38" w:rsidP="00146A38">
            <w:r>
              <w:t>5</w:t>
            </w:r>
          </w:p>
        </w:tc>
        <w:tc>
          <w:tcPr>
            <w:tcW w:w="1170" w:type="dxa"/>
          </w:tcPr>
          <w:p w:rsidR="00146A38" w:rsidRDefault="00146A38" w:rsidP="00146A38">
            <w:r>
              <w:t>10/20</w:t>
            </w:r>
          </w:p>
        </w:tc>
      </w:tr>
      <w:tr w:rsidR="00146A38" w:rsidTr="00146A38">
        <w:tc>
          <w:tcPr>
            <w:tcW w:w="2340" w:type="dxa"/>
          </w:tcPr>
          <w:p w:rsidR="00146A38" w:rsidRDefault="00146A38" w:rsidP="00146A38"/>
        </w:tc>
        <w:tc>
          <w:tcPr>
            <w:tcW w:w="1170" w:type="dxa"/>
          </w:tcPr>
          <w:p w:rsidR="00146A38" w:rsidRDefault="00146A38" w:rsidP="00146A38"/>
        </w:tc>
        <w:tc>
          <w:tcPr>
            <w:tcW w:w="1080" w:type="dxa"/>
          </w:tcPr>
          <w:p w:rsidR="00146A38" w:rsidRDefault="00146A38" w:rsidP="00146A38"/>
        </w:tc>
        <w:tc>
          <w:tcPr>
            <w:tcW w:w="990" w:type="dxa"/>
          </w:tcPr>
          <w:p w:rsidR="00146A38" w:rsidRDefault="00146A38" w:rsidP="00146A38"/>
        </w:tc>
        <w:tc>
          <w:tcPr>
            <w:tcW w:w="900" w:type="dxa"/>
          </w:tcPr>
          <w:p w:rsidR="00146A38" w:rsidRDefault="00146A38" w:rsidP="00146A38"/>
        </w:tc>
        <w:tc>
          <w:tcPr>
            <w:tcW w:w="1080" w:type="dxa"/>
          </w:tcPr>
          <w:p w:rsidR="00146A38" w:rsidRDefault="00146A38" w:rsidP="00146A38"/>
        </w:tc>
        <w:tc>
          <w:tcPr>
            <w:tcW w:w="1170" w:type="dxa"/>
          </w:tcPr>
          <w:p w:rsidR="00146A38" w:rsidRDefault="00146A38" w:rsidP="00146A38"/>
        </w:tc>
      </w:tr>
      <w:tr w:rsidR="00146A38" w:rsidTr="00146A38">
        <w:tc>
          <w:tcPr>
            <w:tcW w:w="2340" w:type="dxa"/>
          </w:tcPr>
          <w:p w:rsidR="00146A38" w:rsidRDefault="00146A38" w:rsidP="00146A38">
            <w:r>
              <w:t>Gen Ed</w:t>
            </w:r>
          </w:p>
        </w:tc>
        <w:tc>
          <w:tcPr>
            <w:tcW w:w="1170" w:type="dxa"/>
          </w:tcPr>
          <w:p w:rsidR="00146A38" w:rsidRDefault="00146A38" w:rsidP="00146A38">
            <w:r>
              <w:t>6</w:t>
            </w:r>
          </w:p>
        </w:tc>
        <w:tc>
          <w:tcPr>
            <w:tcW w:w="1080" w:type="dxa"/>
          </w:tcPr>
          <w:p w:rsidR="00146A38" w:rsidRDefault="00146A38" w:rsidP="00146A38"/>
        </w:tc>
        <w:tc>
          <w:tcPr>
            <w:tcW w:w="990" w:type="dxa"/>
          </w:tcPr>
          <w:p w:rsidR="00146A38" w:rsidRDefault="00146A38" w:rsidP="00146A38"/>
        </w:tc>
        <w:tc>
          <w:tcPr>
            <w:tcW w:w="900" w:type="dxa"/>
          </w:tcPr>
          <w:p w:rsidR="00146A38" w:rsidRDefault="00146A38" w:rsidP="00146A38"/>
        </w:tc>
        <w:tc>
          <w:tcPr>
            <w:tcW w:w="1080" w:type="dxa"/>
          </w:tcPr>
          <w:p w:rsidR="00146A38" w:rsidRDefault="00146A38" w:rsidP="00146A38"/>
        </w:tc>
        <w:tc>
          <w:tcPr>
            <w:tcW w:w="1170" w:type="dxa"/>
          </w:tcPr>
          <w:p w:rsidR="00146A38" w:rsidRDefault="00146A38" w:rsidP="00146A38">
            <w:r>
              <w:t>12/1</w:t>
            </w:r>
          </w:p>
        </w:tc>
      </w:tr>
      <w:tr w:rsidR="00146A38" w:rsidTr="00146A38">
        <w:tc>
          <w:tcPr>
            <w:tcW w:w="2340" w:type="dxa"/>
          </w:tcPr>
          <w:p w:rsidR="00146A38" w:rsidRDefault="00146A38" w:rsidP="00146A38">
            <w:r>
              <w:t xml:space="preserve">Writing </w:t>
            </w:r>
          </w:p>
        </w:tc>
        <w:tc>
          <w:tcPr>
            <w:tcW w:w="1170" w:type="dxa"/>
          </w:tcPr>
          <w:p w:rsidR="00146A38" w:rsidRDefault="00146A38" w:rsidP="00146A38">
            <w:r>
              <w:t>32</w:t>
            </w:r>
          </w:p>
        </w:tc>
        <w:tc>
          <w:tcPr>
            <w:tcW w:w="1080" w:type="dxa"/>
          </w:tcPr>
          <w:p w:rsidR="00146A38" w:rsidRDefault="00146A38" w:rsidP="00146A38"/>
        </w:tc>
        <w:tc>
          <w:tcPr>
            <w:tcW w:w="990" w:type="dxa"/>
          </w:tcPr>
          <w:p w:rsidR="00146A38" w:rsidRDefault="00146A38" w:rsidP="00146A38"/>
        </w:tc>
        <w:tc>
          <w:tcPr>
            <w:tcW w:w="900" w:type="dxa"/>
          </w:tcPr>
          <w:p w:rsidR="00146A38" w:rsidRDefault="00146A38" w:rsidP="00146A38"/>
        </w:tc>
        <w:tc>
          <w:tcPr>
            <w:tcW w:w="1080" w:type="dxa"/>
          </w:tcPr>
          <w:p w:rsidR="00146A38" w:rsidRDefault="00146A38" w:rsidP="00146A38"/>
        </w:tc>
        <w:tc>
          <w:tcPr>
            <w:tcW w:w="1170" w:type="dxa"/>
          </w:tcPr>
          <w:p w:rsidR="00146A38" w:rsidRDefault="00146A38" w:rsidP="00146A38">
            <w:r>
              <w:t>12/1</w:t>
            </w:r>
          </w:p>
        </w:tc>
      </w:tr>
      <w:tr w:rsidR="00146A38" w:rsidTr="00146A38">
        <w:tc>
          <w:tcPr>
            <w:tcW w:w="2340" w:type="dxa"/>
          </w:tcPr>
          <w:p w:rsidR="00146A38" w:rsidRDefault="00146A38" w:rsidP="00146A38">
            <w:r>
              <w:t>Service Learning</w:t>
            </w:r>
          </w:p>
        </w:tc>
        <w:tc>
          <w:tcPr>
            <w:tcW w:w="1170" w:type="dxa"/>
          </w:tcPr>
          <w:p w:rsidR="00146A38" w:rsidRDefault="00146A38" w:rsidP="00146A38">
            <w:r>
              <w:t>6</w:t>
            </w:r>
          </w:p>
        </w:tc>
        <w:tc>
          <w:tcPr>
            <w:tcW w:w="1080" w:type="dxa"/>
          </w:tcPr>
          <w:p w:rsidR="00146A38" w:rsidRDefault="00146A38" w:rsidP="00146A38"/>
        </w:tc>
        <w:tc>
          <w:tcPr>
            <w:tcW w:w="990" w:type="dxa"/>
          </w:tcPr>
          <w:p w:rsidR="00146A38" w:rsidRDefault="00146A38" w:rsidP="00146A38"/>
        </w:tc>
        <w:tc>
          <w:tcPr>
            <w:tcW w:w="900" w:type="dxa"/>
          </w:tcPr>
          <w:p w:rsidR="00146A38" w:rsidRDefault="00146A38" w:rsidP="00146A38"/>
        </w:tc>
        <w:tc>
          <w:tcPr>
            <w:tcW w:w="1080" w:type="dxa"/>
          </w:tcPr>
          <w:p w:rsidR="00146A38" w:rsidRDefault="00146A38" w:rsidP="00146A38"/>
        </w:tc>
        <w:tc>
          <w:tcPr>
            <w:tcW w:w="1170" w:type="dxa"/>
          </w:tcPr>
          <w:p w:rsidR="00146A38" w:rsidRDefault="00146A38" w:rsidP="00146A38">
            <w:r>
              <w:t>12/1</w:t>
            </w:r>
          </w:p>
        </w:tc>
      </w:tr>
    </w:tbl>
    <w:p w:rsidR="00146A38" w:rsidRDefault="00146A38" w:rsidP="007B6253">
      <w:pPr>
        <w:pStyle w:val="ListParagraph"/>
      </w:pPr>
    </w:p>
    <w:p w:rsidR="00146A38" w:rsidRDefault="00146A38" w:rsidP="007B6253">
      <w:pPr>
        <w:pStyle w:val="ListParagraph"/>
        <w:tabs>
          <w:tab w:val="left" w:pos="2749"/>
        </w:tabs>
      </w:pPr>
    </w:p>
    <w:p w:rsidR="00146A38" w:rsidRDefault="00146A38" w:rsidP="00146A38">
      <w:pPr>
        <w:pStyle w:val="ListParagraph"/>
        <w:tabs>
          <w:tab w:val="left" w:pos="2749"/>
        </w:tabs>
      </w:pPr>
    </w:p>
    <w:p w:rsidR="00CC2C3C" w:rsidRDefault="00901602" w:rsidP="00901602">
      <w:pPr>
        <w:pStyle w:val="ListParagraph"/>
        <w:numPr>
          <w:ilvl w:val="0"/>
          <w:numId w:val="1"/>
        </w:numPr>
        <w:tabs>
          <w:tab w:val="left" w:pos="2749"/>
        </w:tabs>
      </w:pPr>
      <w:proofErr w:type="spellStart"/>
      <w:r>
        <w:t>ASCRC</w:t>
      </w:r>
      <w:proofErr w:type="spellEnd"/>
      <w:r>
        <w:t xml:space="preserve"> approved the request to reinstate Gree</w:t>
      </w:r>
      <w:r w:rsidR="00CC2C3C">
        <w:t>k</w:t>
      </w:r>
      <w:r>
        <w:t xml:space="preserve"> Social History (XXX) and The American South</w:t>
      </w:r>
      <w:r w:rsidR="00C06845">
        <w:t xml:space="preserve"> (</w:t>
      </w:r>
      <w:proofErr w:type="spellStart"/>
      <w:r>
        <w:t>HSTA</w:t>
      </w:r>
      <w:proofErr w:type="spellEnd"/>
      <w:r>
        <w:t xml:space="preserve"> 361</w:t>
      </w:r>
      <w:r w:rsidR="00C06845">
        <w:t xml:space="preserve">).  Both will be taught next spring.    Language addressing the reinstatement process will </w:t>
      </w:r>
      <w:r w:rsidR="00CC2C3C">
        <w:t xml:space="preserve">need to </w:t>
      </w:r>
      <w:r w:rsidR="00C06845">
        <w:t xml:space="preserve">be added to the Dormant Course Policy.  </w:t>
      </w:r>
      <w:r w:rsidR="00CC2C3C">
        <w:t xml:space="preserve">Draft language will be considered at the next meeting. </w:t>
      </w:r>
      <w:r w:rsidR="00CC2C3C">
        <w:br/>
      </w:r>
    </w:p>
    <w:p w:rsidR="005147D8" w:rsidRDefault="00CC2C3C" w:rsidP="00901602">
      <w:pPr>
        <w:pStyle w:val="ListParagraph"/>
        <w:numPr>
          <w:ilvl w:val="0"/>
          <w:numId w:val="1"/>
        </w:numPr>
        <w:tabs>
          <w:tab w:val="left" w:pos="2749"/>
        </w:tabs>
      </w:pPr>
      <w:r>
        <w:t>Chair Manual received a request for an expedited review of the proposed Certificate in Computed Tomography.   If acceptable, it needs to be on the Faculty Senate consent agenda for November 12</w:t>
      </w:r>
      <w:r w:rsidRPr="00CC2C3C">
        <w:rPr>
          <w:vertAlign w:val="superscript"/>
        </w:rPr>
        <w:t>th</w:t>
      </w:r>
      <w:r>
        <w:t xml:space="preserve">. The hope is that students will be admitted to the program this spring to address the new national requirements.  </w:t>
      </w:r>
      <w:r w:rsidR="00A91A88">
        <w:t xml:space="preserve">The committee’s normal review schedule will provide for an acceptable review time. </w:t>
      </w:r>
      <w:r w:rsidR="00C06845">
        <w:br/>
      </w:r>
    </w:p>
    <w:p w:rsidR="005147D8" w:rsidRDefault="00C06845" w:rsidP="00C06845">
      <w:pPr>
        <w:pStyle w:val="ListParagraph"/>
        <w:numPr>
          <w:ilvl w:val="0"/>
          <w:numId w:val="1"/>
        </w:numPr>
        <w:tabs>
          <w:tab w:val="left" w:pos="2749"/>
        </w:tabs>
      </w:pPr>
      <w:r>
        <w:t xml:space="preserve">There will be a </w:t>
      </w:r>
      <w:r w:rsidR="005147D8">
        <w:t xml:space="preserve">Follow-up </w:t>
      </w:r>
      <w:r>
        <w:t>discussion regarding the C</w:t>
      </w:r>
      <w:r w:rsidR="005147D8">
        <w:t xml:space="preserve">redit </w:t>
      </w:r>
      <w:r>
        <w:t>H</w:t>
      </w:r>
      <w:r w:rsidR="005147D8">
        <w:t xml:space="preserve">our </w:t>
      </w:r>
      <w:r>
        <w:t>P</w:t>
      </w:r>
      <w:r w:rsidR="005147D8">
        <w:t>olicy</w:t>
      </w:r>
      <w:r>
        <w:t xml:space="preserve">.  ECOS did not agree with the language. </w:t>
      </w:r>
      <w:r>
        <w:br/>
      </w:r>
    </w:p>
    <w:p w:rsidR="00F45B1C" w:rsidRDefault="00C06845" w:rsidP="00B11B58">
      <w:pPr>
        <w:pStyle w:val="ListParagraph"/>
        <w:numPr>
          <w:ilvl w:val="0"/>
          <w:numId w:val="1"/>
        </w:numPr>
        <w:tabs>
          <w:tab w:val="left" w:pos="2749"/>
        </w:tabs>
      </w:pPr>
      <w:r>
        <w:t xml:space="preserve">ECOS also was not supportive of housekeeping type forms not </w:t>
      </w:r>
      <w:r w:rsidR="00897452">
        <w:t>being</w:t>
      </w:r>
      <w:r>
        <w:t xml:space="preserve"> routed to the subcommittee.  The subcommittee currently does not spend a lot of time on these and it is helpful to at least have the subcommittee chair look at them. </w:t>
      </w:r>
      <w:r w:rsidR="00A91A88">
        <w:t xml:space="preserve">  The committee agreed to continue to route these through the subcommittees to identify any problems</w:t>
      </w:r>
      <w:r w:rsidR="00897452">
        <w:t>,</w:t>
      </w:r>
      <w:r w:rsidR="00A91A88">
        <w:t xml:space="preserve"> but to focus on more substantive curricular issues.</w:t>
      </w:r>
    </w:p>
    <w:p w:rsidR="00A91A88" w:rsidRDefault="00A91A88" w:rsidP="00A91A88">
      <w:pPr>
        <w:tabs>
          <w:tab w:val="left" w:pos="2749"/>
        </w:tabs>
      </w:pPr>
    </w:p>
    <w:p w:rsidR="00901602" w:rsidRDefault="00901602" w:rsidP="00901602">
      <w:pPr>
        <w:pStyle w:val="Heading2"/>
      </w:pPr>
      <w:r>
        <w:t>Good and Welfare</w:t>
      </w:r>
    </w:p>
    <w:p w:rsidR="00901602" w:rsidRDefault="00901602" w:rsidP="00901602">
      <w:r>
        <w:t>Chair Manual mentioned the</w:t>
      </w:r>
      <w:r w:rsidR="00A91A88">
        <w:t xml:space="preserve"> UFA is collecting donations for families affected by the shooting</w:t>
      </w:r>
      <w:r w:rsidR="00897452">
        <w:t>s</w:t>
      </w:r>
      <w:r w:rsidR="00A91A88">
        <w:t xml:space="preserve"> at Umpqua Community College in Oregon.</w:t>
      </w:r>
    </w:p>
    <w:p w:rsidR="00A91A88" w:rsidRPr="00901602" w:rsidRDefault="00A91A88" w:rsidP="00901602"/>
    <w:p w:rsidR="00901602" w:rsidRDefault="00901602" w:rsidP="00901602">
      <w:pPr>
        <w:pStyle w:val="Heading2"/>
      </w:pPr>
      <w:r>
        <w:t xml:space="preserve">Adjournment </w:t>
      </w:r>
    </w:p>
    <w:p w:rsidR="007754C1" w:rsidRDefault="00901602" w:rsidP="00B11B58">
      <w:pPr>
        <w:tabs>
          <w:tab w:val="left" w:pos="2749"/>
        </w:tabs>
      </w:pPr>
      <w:r>
        <w:t xml:space="preserve">The meeting adjourned at </w:t>
      </w:r>
      <w:r w:rsidR="00F45B1C">
        <w:t>3:59</w:t>
      </w:r>
      <w:r>
        <w:t xml:space="preserve"> p.m.</w:t>
      </w:r>
      <w:r w:rsidR="00F45B1C">
        <w:t xml:space="preserve"> </w:t>
      </w:r>
      <w:r w:rsidR="007754C1">
        <w:t xml:space="preserve"> </w:t>
      </w:r>
    </w:p>
    <w:p w:rsidR="00252142" w:rsidRDefault="00252142" w:rsidP="00B11B58">
      <w:pPr>
        <w:tabs>
          <w:tab w:val="left" w:pos="2749"/>
        </w:tabs>
      </w:pPr>
    </w:p>
    <w:p w:rsidR="00252142" w:rsidRDefault="00F010EB" w:rsidP="00F010EB">
      <w:pPr>
        <w:pStyle w:val="Heading3"/>
      </w:pPr>
      <w:r>
        <w:t>International Admission Handout</w:t>
      </w:r>
    </w:p>
    <w:p w:rsidR="00D65FFD" w:rsidRDefault="00D65FFD" w:rsidP="00D65FFD">
      <w:pPr>
        <w:rPr>
          <w:rFonts w:cs="Century"/>
          <w:color w:val="1D1D1D"/>
        </w:rPr>
      </w:pPr>
      <w:r>
        <w:rPr>
          <w:rFonts w:cs="Century"/>
          <w:color w:val="1D1D1D"/>
        </w:rPr>
        <w:t>The purpose of our visit is to discuss a change to the current SAT/ACT score requirement for international students and potential additions to the current list of English proficiency test options.  As a quick review UM currently accepts the following tests and scores as proof of English proficiency for full undergraduate admissions:</w:t>
      </w:r>
    </w:p>
    <w:p w:rsidR="00D65FFD" w:rsidRDefault="00D65FFD" w:rsidP="00D65FFD">
      <w:pPr>
        <w:rPr>
          <w:rFonts w:cs="Century"/>
          <w:color w:val="1D1D1D"/>
        </w:rPr>
      </w:pPr>
    </w:p>
    <w:tbl>
      <w:tblPr>
        <w:tblStyle w:val="TableGrid"/>
        <w:tblW w:w="4875" w:type="pct"/>
        <w:tblLook w:val="04A0" w:firstRow="1" w:lastRow="0" w:firstColumn="1" w:lastColumn="0" w:noHBand="0" w:noVBand="1"/>
      </w:tblPr>
      <w:tblGrid>
        <w:gridCol w:w="2842"/>
        <w:gridCol w:w="6495"/>
      </w:tblGrid>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proofErr w:type="spellStart"/>
            <w:r>
              <w:rPr>
                <w:rFonts w:cs="Century"/>
                <w:color w:val="1D1D1D"/>
              </w:rPr>
              <w:t>TOEFL</w:t>
            </w:r>
            <w:proofErr w:type="spellEnd"/>
            <w:r>
              <w:rPr>
                <w:rFonts w:cs="Century"/>
                <w:color w:val="1D1D1D"/>
              </w:rPr>
              <w:t xml:space="preserve"> </w:t>
            </w:r>
            <w:proofErr w:type="spellStart"/>
            <w:r>
              <w:rPr>
                <w:rFonts w:cs="Century"/>
                <w:color w:val="1D1D1D"/>
              </w:rPr>
              <w:t>iBT</w:t>
            </w:r>
            <w:proofErr w:type="spellEnd"/>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70 or higher</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proofErr w:type="spellStart"/>
            <w:r>
              <w:rPr>
                <w:rFonts w:cs="Century"/>
                <w:color w:val="1D1D1D"/>
              </w:rPr>
              <w:t>TOEFL</w:t>
            </w:r>
            <w:proofErr w:type="spellEnd"/>
            <w:r>
              <w:rPr>
                <w:rFonts w:cs="Century"/>
                <w:color w:val="1D1D1D"/>
              </w:rPr>
              <w:t xml:space="preserve"> </w:t>
            </w:r>
            <w:proofErr w:type="spellStart"/>
            <w:r>
              <w:rPr>
                <w:rFonts w:cs="Century"/>
                <w:color w:val="1D1D1D"/>
              </w:rPr>
              <w:t>PBT</w:t>
            </w:r>
            <w:proofErr w:type="spellEnd"/>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525 or higher</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proofErr w:type="spellStart"/>
            <w:r>
              <w:rPr>
                <w:rFonts w:cs="Century"/>
                <w:color w:val="1D1D1D"/>
              </w:rPr>
              <w:t>TOEFL</w:t>
            </w:r>
            <w:proofErr w:type="spellEnd"/>
            <w:r>
              <w:rPr>
                <w:rFonts w:cs="Century"/>
                <w:color w:val="1D1D1D"/>
              </w:rPr>
              <w:t xml:space="preserve"> CBT </w:t>
            </w:r>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192 or higher</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proofErr w:type="spellStart"/>
            <w:r>
              <w:rPr>
                <w:rFonts w:cs="Century"/>
                <w:color w:val="1D1D1D"/>
              </w:rPr>
              <w:lastRenderedPageBreak/>
              <w:t>IELTS</w:t>
            </w:r>
            <w:proofErr w:type="spellEnd"/>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6.0 or higher</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proofErr w:type="spellStart"/>
            <w:r>
              <w:rPr>
                <w:rFonts w:cs="Century"/>
                <w:color w:val="1D1D1D"/>
              </w:rPr>
              <w:t>MELAB</w:t>
            </w:r>
            <w:proofErr w:type="spellEnd"/>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74 or higher</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proofErr w:type="spellStart"/>
            <w:r>
              <w:rPr>
                <w:rFonts w:cs="Century"/>
                <w:color w:val="1D1D1D"/>
              </w:rPr>
              <w:t>EIKEN</w:t>
            </w:r>
            <w:proofErr w:type="spellEnd"/>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Grade Pre-1</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SAT – writing score</w:t>
            </w:r>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650</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ACT – English/writing</w:t>
            </w:r>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27</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UM ELI</w:t>
            </w:r>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 xml:space="preserve">525 </w:t>
            </w:r>
            <w:proofErr w:type="spellStart"/>
            <w:r>
              <w:rPr>
                <w:rFonts w:cs="Century"/>
                <w:color w:val="1D1D1D"/>
              </w:rPr>
              <w:t>TOEFL</w:t>
            </w:r>
            <w:proofErr w:type="spellEnd"/>
            <w:r>
              <w:rPr>
                <w:rFonts w:cs="Century"/>
                <w:color w:val="1D1D1D"/>
              </w:rPr>
              <w:t xml:space="preserve"> </w:t>
            </w:r>
            <w:proofErr w:type="spellStart"/>
            <w:r>
              <w:rPr>
                <w:rFonts w:cs="Century"/>
                <w:color w:val="1D1D1D"/>
              </w:rPr>
              <w:t>ITP</w:t>
            </w:r>
            <w:proofErr w:type="spellEnd"/>
            <w:r>
              <w:rPr>
                <w:rFonts w:cs="Century"/>
                <w:color w:val="1D1D1D"/>
              </w:rPr>
              <w:t xml:space="preserve"> or a recommendation from UM English Language Institute</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proofErr w:type="spellStart"/>
            <w:r>
              <w:rPr>
                <w:rFonts w:cs="Century"/>
                <w:color w:val="1D1D1D"/>
              </w:rPr>
              <w:t>ELS</w:t>
            </w:r>
            <w:proofErr w:type="spellEnd"/>
            <w:r>
              <w:rPr>
                <w:rFonts w:cs="Century"/>
                <w:color w:val="1D1D1D"/>
              </w:rPr>
              <w:t xml:space="preserve"> Language Centers</w:t>
            </w:r>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Successful completion of level 112</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Kaplan International</w:t>
            </w:r>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Successful Completion of Higher Intermediate Level</w:t>
            </w:r>
          </w:p>
        </w:tc>
      </w:tr>
      <w:tr w:rsidR="00D65FFD" w:rsidTr="00D65FFD">
        <w:tc>
          <w:tcPr>
            <w:tcW w:w="1522"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 xml:space="preserve">English Language </w:t>
            </w:r>
            <w:proofErr w:type="spellStart"/>
            <w:r>
              <w:rPr>
                <w:rFonts w:cs="Century"/>
                <w:color w:val="1D1D1D"/>
              </w:rPr>
              <w:t>Centres</w:t>
            </w:r>
            <w:proofErr w:type="spellEnd"/>
          </w:p>
        </w:tc>
        <w:tc>
          <w:tcPr>
            <w:tcW w:w="3478" w:type="pct"/>
            <w:tcBorders>
              <w:top w:val="single" w:sz="4" w:space="0" w:color="auto"/>
              <w:left w:val="single" w:sz="4" w:space="0" w:color="auto"/>
              <w:bottom w:val="single" w:sz="4" w:space="0" w:color="auto"/>
              <w:right w:val="single" w:sz="4" w:space="0" w:color="auto"/>
            </w:tcBorders>
            <w:hideMark/>
          </w:tcPr>
          <w:p w:rsidR="00D65FFD" w:rsidRDefault="00D65FFD">
            <w:pPr>
              <w:rPr>
                <w:rFonts w:cs="Century"/>
                <w:color w:val="1D1D1D"/>
                <w:sz w:val="24"/>
                <w:szCs w:val="24"/>
              </w:rPr>
            </w:pPr>
            <w:r>
              <w:rPr>
                <w:rFonts w:cs="Century"/>
                <w:color w:val="1D1D1D"/>
              </w:rPr>
              <w:t>Successful Completion of Level 11</w:t>
            </w:r>
          </w:p>
        </w:tc>
      </w:tr>
    </w:tbl>
    <w:p w:rsidR="00D65FFD" w:rsidRDefault="00D65FFD" w:rsidP="00D65FFD">
      <w:pPr>
        <w:rPr>
          <w:rFonts w:cs="Century"/>
          <w:color w:val="1D1D1D"/>
        </w:rPr>
      </w:pPr>
    </w:p>
    <w:p w:rsidR="00D65FFD" w:rsidRDefault="00D65FFD" w:rsidP="00D65FFD">
      <w:pPr>
        <w:rPr>
          <w:rFonts w:cs="Century"/>
          <w:color w:val="1D1D1D"/>
        </w:rPr>
      </w:pPr>
      <w:r>
        <w:rPr>
          <w:rFonts w:cs="Century"/>
          <w:color w:val="1D1D1D"/>
        </w:rPr>
        <w:t>Since these new requirements began this fall we have no definitive evidence on the effectiveness of this change. However, we do feel that in raising the requirement we have raised the profile of the University to the level of our peer institutions and placing UM in a position to recruit a more college ready student.  Our full admissions application numbers did increase of for fall 2015.</w:t>
      </w:r>
    </w:p>
    <w:p w:rsidR="00D65FFD" w:rsidRDefault="00D65FFD" w:rsidP="00D65FFD">
      <w:pPr>
        <w:rPr>
          <w:rFonts w:cs="Century"/>
          <w:color w:val="1D1D1D"/>
        </w:rPr>
      </w:pPr>
    </w:p>
    <w:p w:rsidR="00D65FFD" w:rsidRDefault="00D65FFD" w:rsidP="00D65FFD">
      <w:pPr>
        <w:rPr>
          <w:rFonts w:cs="Century"/>
          <w:b/>
          <w:color w:val="1D1D1D"/>
          <w:u w:val="single"/>
        </w:rPr>
      </w:pPr>
      <w:r>
        <w:rPr>
          <w:rFonts w:cs="Century"/>
          <w:b/>
          <w:color w:val="1D1D1D"/>
          <w:u w:val="single"/>
        </w:rPr>
        <w:t>Proposed changes:</w:t>
      </w:r>
    </w:p>
    <w:p w:rsidR="00D65FFD" w:rsidRDefault="00D65FFD" w:rsidP="00D65FFD">
      <w:pPr>
        <w:rPr>
          <w:rFonts w:cs="Century"/>
          <w:color w:val="1D1D1D"/>
        </w:rPr>
      </w:pPr>
    </w:p>
    <w:p w:rsidR="00D65FFD" w:rsidRDefault="00D65FFD" w:rsidP="00D65FFD">
      <w:pPr>
        <w:pStyle w:val="ListParagraph"/>
        <w:numPr>
          <w:ilvl w:val="0"/>
          <w:numId w:val="2"/>
        </w:numPr>
        <w:spacing w:after="0" w:line="240" w:lineRule="auto"/>
        <w:rPr>
          <w:rFonts w:cs="Century"/>
          <w:b/>
          <w:color w:val="1D1D1D"/>
          <w:u w:val="single"/>
        </w:rPr>
      </w:pPr>
      <w:r>
        <w:rPr>
          <w:rFonts w:cs="Century"/>
          <w:b/>
          <w:color w:val="1D1D1D"/>
          <w:u w:val="single"/>
        </w:rPr>
        <w:t xml:space="preserve">ACT/SAT score adjustment </w:t>
      </w:r>
    </w:p>
    <w:p w:rsidR="00D65FFD" w:rsidRDefault="00D65FFD" w:rsidP="00D65FFD">
      <w:pPr>
        <w:pStyle w:val="ListParagraph"/>
        <w:rPr>
          <w:rFonts w:cs="Century"/>
          <w:b/>
          <w:color w:val="1D1D1D"/>
          <w:u w:val="single"/>
        </w:rPr>
      </w:pPr>
      <w:r>
        <w:t xml:space="preserve">The ACT /SAT score requirement is exceedingly high compared to our peer institutions requirements (please see table below) In addition they are much higher than the requirements asked of </w:t>
      </w:r>
      <w:proofErr w:type="spellStart"/>
      <w:r>
        <w:t>U.S</w:t>
      </w:r>
      <w:proofErr w:type="spellEnd"/>
      <w:r>
        <w:t xml:space="preserve"> students.  We would like the ACT/SAT scores adjusted to either reflect </w:t>
      </w:r>
      <w:proofErr w:type="spellStart"/>
      <w:r>
        <w:t>UM’s</w:t>
      </w:r>
      <w:proofErr w:type="spellEnd"/>
      <w:r>
        <w:t xml:space="preserve"> domestic student requirements 18/440 or our peer institutions outside of Montana.</w:t>
      </w:r>
    </w:p>
    <w:tbl>
      <w:tblPr>
        <w:tblStyle w:val="TableGrid"/>
        <w:tblW w:w="0" w:type="auto"/>
        <w:tblLook w:val="04A0" w:firstRow="1" w:lastRow="0" w:firstColumn="1" w:lastColumn="0" w:noHBand="0" w:noVBand="1"/>
      </w:tblPr>
      <w:tblGrid>
        <w:gridCol w:w="3171"/>
        <w:gridCol w:w="1880"/>
        <w:gridCol w:w="1657"/>
        <w:gridCol w:w="2148"/>
      </w:tblGrid>
      <w:tr w:rsidR="00D65FFD" w:rsidTr="00D65FFD">
        <w:tc>
          <w:tcPr>
            <w:tcW w:w="3171" w:type="dxa"/>
            <w:tcBorders>
              <w:top w:val="single" w:sz="4" w:space="0" w:color="auto"/>
              <w:left w:val="single" w:sz="4" w:space="0" w:color="auto"/>
              <w:bottom w:val="single" w:sz="4" w:space="0" w:color="auto"/>
              <w:right w:val="single" w:sz="4" w:space="0" w:color="auto"/>
            </w:tcBorders>
            <w:vAlign w:val="center"/>
            <w:hideMark/>
          </w:tcPr>
          <w:p w:rsidR="00D65FFD" w:rsidRDefault="00D65FFD">
            <w:pPr>
              <w:jc w:val="center"/>
              <w:rPr>
                <w:b/>
              </w:rPr>
            </w:pPr>
            <w:r>
              <w:rPr>
                <w:b/>
              </w:rPr>
              <w:t>Peer Institution</w:t>
            </w:r>
          </w:p>
        </w:tc>
        <w:tc>
          <w:tcPr>
            <w:tcW w:w="1880" w:type="dxa"/>
            <w:tcBorders>
              <w:top w:val="single" w:sz="4" w:space="0" w:color="auto"/>
              <w:left w:val="single" w:sz="4" w:space="0" w:color="auto"/>
              <w:bottom w:val="single" w:sz="4" w:space="0" w:color="auto"/>
              <w:right w:val="single" w:sz="4" w:space="0" w:color="auto"/>
            </w:tcBorders>
            <w:vAlign w:val="center"/>
            <w:hideMark/>
          </w:tcPr>
          <w:p w:rsidR="00D65FFD" w:rsidRDefault="00D65FFD">
            <w:pPr>
              <w:jc w:val="center"/>
              <w:rPr>
                <w:b/>
              </w:rPr>
            </w:pPr>
            <w:r>
              <w:rPr>
                <w:b/>
              </w:rPr>
              <w:t>ACT</w:t>
            </w:r>
          </w:p>
          <w:p w:rsidR="00D65FFD" w:rsidRDefault="00D65FFD">
            <w:pPr>
              <w:jc w:val="center"/>
              <w:rPr>
                <w:b/>
              </w:rPr>
            </w:pPr>
            <w:r>
              <w:rPr>
                <w:b/>
              </w:rPr>
              <w:t>English/Writing</w:t>
            </w:r>
          </w:p>
        </w:tc>
        <w:tc>
          <w:tcPr>
            <w:tcW w:w="1657" w:type="dxa"/>
            <w:tcBorders>
              <w:top w:val="single" w:sz="4" w:space="0" w:color="auto"/>
              <w:left w:val="single" w:sz="4" w:space="0" w:color="auto"/>
              <w:bottom w:val="single" w:sz="4" w:space="0" w:color="auto"/>
              <w:right w:val="single" w:sz="4" w:space="0" w:color="auto"/>
            </w:tcBorders>
            <w:vAlign w:val="center"/>
            <w:hideMark/>
          </w:tcPr>
          <w:p w:rsidR="00D65FFD" w:rsidRDefault="00D65FFD">
            <w:pPr>
              <w:jc w:val="center"/>
              <w:rPr>
                <w:b/>
              </w:rPr>
            </w:pPr>
            <w:r>
              <w:rPr>
                <w:b/>
              </w:rPr>
              <w:t>SAT     Writing Section</w:t>
            </w:r>
          </w:p>
        </w:tc>
        <w:tc>
          <w:tcPr>
            <w:tcW w:w="2148" w:type="dxa"/>
            <w:tcBorders>
              <w:top w:val="single" w:sz="4" w:space="0" w:color="auto"/>
              <w:left w:val="single" w:sz="4" w:space="0" w:color="auto"/>
              <w:bottom w:val="single" w:sz="4" w:space="0" w:color="auto"/>
              <w:right w:val="single" w:sz="4" w:space="0" w:color="auto"/>
            </w:tcBorders>
            <w:vAlign w:val="center"/>
            <w:hideMark/>
          </w:tcPr>
          <w:p w:rsidR="00D65FFD" w:rsidRDefault="00D65FFD">
            <w:pPr>
              <w:jc w:val="center"/>
              <w:rPr>
                <w:b/>
              </w:rPr>
            </w:pPr>
            <w:proofErr w:type="spellStart"/>
            <w:r>
              <w:rPr>
                <w:b/>
              </w:rPr>
              <w:t>TOEFL</w:t>
            </w:r>
            <w:proofErr w:type="spellEnd"/>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9" w:history="1">
              <w:r w:rsidR="00D65FFD">
                <w:rPr>
                  <w:rStyle w:val="Hyperlink"/>
                </w:rPr>
                <w:t>Western Washington University</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not accepted in lieu</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 xml:space="preserve">not accepted in lieu </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80iBT</w:t>
            </w:r>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10" w:history="1">
              <w:r w:rsidR="00D65FFD">
                <w:rPr>
                  <w:rStyle w:val="Hyperlink"/>
                </w:rPr>
                <w:t>Oregon State University</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21</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500</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80iBT</w:t>
            </w:r>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11" w:history="1">
              <w:r w:rsidR="00D65FFD">
                <w:rPr>
                  <w:rStyle w:val="Hyperlink"/>
                </w:rPr>
                <w:t>Washington State University</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500</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79iBT</w:t>
            </w:r>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12" w:history="1">
              <w:r w:rsidR="00D65FFD">
                <w:rPr>
                  <w:rStyle w:val="Hyperlink"/>
                </w:rPr>
                <w:t>University of Idaho</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500</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70iBT</w:t>
            </w:r>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13" w:history="1">
              <w:r w:rsidR="00D65FFD">
                <w:rPr>
                  <w:rStyle w:val="Hyperlink"/>
                </w:rPr>
                <w:t>Northern Arizona University</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21</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500</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70iBT</w:t>
            </w:r>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14" w:history="1">
              <w:r w:rsidR="00D65FFD">
                <w:rPr>
                  <w:rStyle w:val="Hyperlink"/>
                </w:rPr>
                <w:t>Gonzaga University</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23 (composite)</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500</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80iBT</w:t>
            </w:r>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15" w:history="1">
              <w:r w:rsidR="00D65FFD">
                <w:rPr>
                  <w:rStyle w:val="Hyperlink"/>
                </w:rPr>
                <w:t>Humboldt State University</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22</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500</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71iBT</w:t>
            </w:r>
          </w:p>
        </w:tc>
      </w:tr>
      <w:tr w:rsidR="00D65FFD" w:rsidTr="00D65FFD">
        <w:tc>
          <w:tcPr>
            <w:tcW w:w="3171" w:type="dxa"/>
            <w:tcBorders>
              <w:top w:val="single" w:sz="4" w:space="0" w:color="auto"/>
              <w:left w:val="single" w:sz="4" w:space="0" w:color="auto"/>
              <w:bottom w:val="single" w:sz="4" w:space="0" w:color="auto"/>
              <w:right w:val="single" w:sz="4" w:space="0" w:color="auto"/>
            </w:tcBorders>
            <w:hideMark/>
          </w:tcPr>
          <w:p w:rsidR="00D65FFD" w:rsidRDefault="004E1415">
            <w:hyperlink r:id="rId16" w:history="1">
              <w:r w:rsidR="00D65FFD">
                <w:rPr>
                  <w:rStyle w:val="Hyperlink"/>
                </w:rPr>
                <w:t>Montana State University</w:t>
              </w:r>
            </w:hyperlink>
          </w:p>
        </w:tc>
        <w:tc>
          <w:tcPr>
            <w:tcW w:w="1880"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27</w:t>
            </w:r>
          </w:p>
        </w:tc>
        <w:tc>
          <w:tcPr>
            <w:tcW w:w="1657"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650</w:t>
            </w:r>
          </w:p>
        </w:tc>
        <w:tc>
          <w:tcPr>
            <w:tcW w:w="2148" w:type="dxa"/>
            <w:tcBorders>
              <w:top w:val="single" w:sz="4" w:space="0" w:color="auto"/>
              <w:left w:val="single" w:sz="4" w:space="0" w:color="auto"/>
              <w:bottom w:val="single" w:sz="4" w:space="0" w:color="auto"/>
              <w:right w:val="single" w:sz="4" w:space="0" w:color="auto"/>
            </w:tcBorders>
            <w:hideMark/>
          </w:tcPr>
          <w:p w:rsidR="00D65FFD" w:rsidRDefault="00D65FFD">
            <w:pPr>
              <w:jc w:val="center"/>
            </w:pPr>
            <w:r>
              <w:t>71iBT</w:t>
            </w:r>
          </w:p>
        </w:tc>
      </w:tr>
    </w:tbl>
    <w:p w:rsidR="00D65FFD" w:rsidRDefault="00D65FFD" w:rsidP="00D65FFD">
      <w:pPr>
        <w:pStyle w:val="ListParagraph"/>
        <w:numPr>
          <w:ilvl w:val="0"/>
          <w:numId w:val="2"/>
        </w:numPr>
        <w:spacing w:after="0" w:line="240" w:lineRule="auto"/>
        <w:rPr>
          <w:b/>
          <w:u w:val="single"/>
        </w:rPr>
      </w:pPr>
      <w:r>
        <w:rPr>
          <w:b/>
          <w:u w:val="single"/>
        </w:rPr>
        <w:t>Suggested additions to our current  list:</w:t>
      </w:r>
    </w:p>
    <w:p w:rsidR="00D65FFD" w:rsidRDefault="00D65FFD" w:rsidP="00D65FFD">
      <w:pPr>
        <w:pStyle w:val="ListParagraph"/>
        <w:numPr>
          <w:ilvl w:val="0"/>
          <w:numId w:val="3"/>
        </w:numPr>
        <w:spacing w:after="0" w:line="240" w:lineRule="auto"/>
        <w:rPr>
          <w:b/>
        </w:rPr>
      </w:pPr>
      <w:r>
        <w:rPr>
          <w:rFonts w:cs="Century"/>
          <w:b/>
          <w:color w:val="1D1D1D"/>
        </w:rPr>
        <w:t>Pearson Test of Academic English (</w:t>
      </w:r>
      <w:proofErr w:type="spellStart"/>
      <w:r>
        <w:rPr>
          <w:rFonts w:cs="Century"/>
          <w:b/>
          <w:color w:val="1D1D1D"/>
        </w:rPr>
        <w:t>PTE</w:t>
      </w:r>
      <w:proofErr w:type="spellEnd"/>
      <w:r>
        <w:rPr>
          <w:rFonts w:cs="Century"/>
          <w:b/>
          <w:color w:val="1D1D1D"/>
        </w:rPr>
        <w:t xml:space="preserve"> Academics)</w:t>
      </w:r>
    </w:p>
    <w:p w:rsidR="00D65FFD" w:rsidRDefault="00D65FFD" w:rsidP="00D65FFD">
      <w:pPr>
        <w:pStyle w:val="ListParagraph"/>
        <w:numPr>
          <w:ilvl w:val="1"/>
          <w:numId w:val="3"/>
        </w:numPr>
        <w:spacing w:after="0" w:line="240" w:lineRule="auto"/>
      </w:pPr>
      <w:r>
        <w:t xml:space="preserve">Launched in 2009, </w:t>
      </w:r>
      <w:proofErr w:type="spellStart"/>
      <w:r>
        <w:t>PTE</w:t>
      </w:r>
      <w:proofErr w:type="spellEnd"/>
      <w:r>
        <w:t xml:space="preserve"> Academic has been rapidly adopted in the UK, Australia, USA and Canada. We are accepted by thousands of academic programs, including prestigious institutions such as Harvard Business School, Yale and </w:t>
      </w:r>
      <w:proofErr w:type="spellStart"/>
      <w:r>
        <w:t>INSEAD</w:t>
      </w:r>
      <w:proofErr w:type="spellEnd"/>
      <w:r>
        <w:t>. </w:t>
      </w:r>
    </w:p>
    <w:p w:rsidR="00D65FFD" w:rsidRDefault="00D65FFD" w:rsidP="00D65FFD">
      <w:pPr>
        <w:pStyle w:val="ListParagraph"/>
        <w:numPr>
          <w:ilvl w:val="1"/>
          <w:numId w:val="3"/>
        </w:numPr>
        <w:spacing w:after="0" w:line="240" w:lineRule="auto"/>
      </w:pPr>
      <w:r>
        <w:t xml:space="preserve">Website: </w:t>
      </w:r>
      <w:hyperlink r:id="rId17" w:history="1">
        <w:r>
          <w:rPr>
            <w:rStyle w:val="Hyperlink"/>
          </w:rPr>
          <w:t>http://pearsonpte.com/institutions/about/</w:t>
        </w:r>
      </w:hyperlink>
      <w:r>
        <w:t xml:space="preserve"> </w:t>
      </w:r>
    </w:p>
    <w:p w:rsidR="00D65FFD" w:rsidRDefault="00D65FFD" w:rsidP="00D65FFD">
      <w:pPr>
        <w:pStyle w:val="ListParagraph"/>
        <w:numPr>
          <w:ilvl w:val="1"/>
          <w:numId w:val="3"/>
        </w:numPr>
        <w:spacing w:after="0" w:line="240" w:lineRule="auto"/>
      </w:pPr>
      <w:r>
        <w:rPr>
          <w:rFonts w:cs="Century"/>
          <w:color w:val="1D1D1D"/>
        </w:rPr>
        <w:t>A score of 48 or better would meet our requirement</w:t>
      </w:r>
    </w:p>
    <w:p w:rsidR="00D65FFD" w:rsidRDefault="00D65FFD" w:rsidP="00D65FFD">
      <w:pPr>
        <w:ind w:left="1080"/>
      </w:pPr>
    </w:p>
    <w:p w:rsidR="00D65FFD" w:rsidRDefault="00D65FFD" w:rsidP="00D65FFD">
      <w:pPr>
        <w:pStyle w:val="ListParagraph"/>
        <w:numPr>
          <w:ilvl w:val="0"/>
          <w:numId w:val="3"/>
        </w:numPr>
        <w:spacing w:after="0" w:line="240" w:lineRule="auto"/>
        <w:rPr>
          <w:b/>
        </w:rPr>
      </w:pPr>
      <w:r>
        <w:rPr>
          <w:rFonts w:cs="Century"/>
          <w:b/>
          <w:color w:val="1D1D1D"/>
        </w:rPr>
        <w:t xml:space="preserve">Cambridge English Exams: </w:t>
      </w:r>
    </w:p>
    <w:p w:rsidR="00D65FFD" w:rsidRDefault="00D65FFD" w:rsidP="00D65FFD">
      <w:pPr>
        <w:pStyle w:val="ListParagraph"/>
        <w:numPr>
          <w:ilvl w:val="1"/>
          <w:numId w:val="3"/>
        </w:numPr>
        <w:spacing w:after="0" w:line="240" w:lineRule="auto"/>
      </w:pPr>
      <w:r>
        <w:rPr>
          <w:rFonts w:cs="Century"/>
          <w:color w:val="1D1D1D"/>
        </w:rPr>
        <w:t>More than 20,000 education institutions, business and government agencies around the world accept CAE.</w:t>
      </w:r>
    </w:p>
    <w:p w:rsidR="00D65FFD" w:rsidRDefault="00D65FFD" w:rsidP="00D65FFD">
      <w:pPr>
        <w:pStyle w:val="ListParagraph"/>
        <w:numPr>
          <w:ilvl w:val="1"/>
          <w:numId w:val="3"/>
        </w:numPr>
        <w:spacing w:after="0" w:line="240" w:lineRule="auto"/>
      </w:pPr>
      <w:r>
        <w:t xml:space="preserve">Website: </w:t>
      </w:r>
      <w:hyperlink r:id="rId18" w:history="1">
        <w:r>
          <w:rPr>
            <w:rStyle w:val="Hyperlink"/>
          </w:rPr>
          <w:t>http://www.cambridgeenglish.org/why-cambridge-english/</w:t>
        </w:r>
      </w:hyperlink>
      <w:r>
        <w:t xml:space="preserve"> </w:t>
      </w:r>
    </w:p>
    <w:p w:rsidR="00D65FFD" w:rsidRDefault="00D65FFD" w:rsidP="00D65FFD">
      <w:pPr>
        <w:pStyle w:val="ListParagraph"/>
        <w:numPr>
          <w:ilvl w:val="1"/>
          <w:numId w:val="3"/>
        </w:numPr>
        <w:spacing w:after="0" w:line="240" w:lineRule="auto"/>
      </w:pPr>
      <w:r>
        <w:t xml:space="preserve">There are two tests we would want to consider, CAE and </w:t>
      </w:r>
      <w:proofErr w:type="spellStart"/>
      <w:r>
        <w:t>CPE</w:t>
      </w:r>
      <w:proofErr w:type="spellEnd"/>
    </w:p>
    <w:tbl>
      <w:tblPr>
        <w:tblStyle w:val="TableGrid"/>
        <w:tblW w:w="0" w:type="auto"/>
        <w:tblInd w:w="1440" w:type="dxa"/>
        <w:tblLook w:val="04A0" w:firstRow="1" w:lastRow="0" w:firstColumn="1" w:lastColumn="0" w:noHBand="0" w:noVBand="1"/>
      </w:tblPr>
      <w:tblGrid>
        <w:gridCol w:w="4068"/>
        <w:gridCol w:w="4068"/>
      </w:tblGrid>
      <w:tr w:rsidR="00D65FFD" w:rsidTr="00D65FFD">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rPr>
                <w:b/>
              </w:rPr>
            </w:pPr>
            <w:r>
              <w:rPr>
                <w:b/>
              </w:rPr>
              <w:t>Cambridge English: Advanced (CAE)</w:t>
            </w:r>
          </w:p>
        </w:tc>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rPr>
                <w:b/>
              </w:rPr>
            </w:pPr>
            <w:r>
              <w:rPr>
                <w:b/>
              </w:rPr>
              <w:t>Cambridge English: Proficient (</w:t>
            </w:r>
            <w:proofErr w:type="spellStart"/>
            <w:r>
              <w:rPr>
                <w:b/>
              </w:rPr>
              <w:t>CPE</w:t>
            </w:r>
            <w:proofErr w:type="spellEnd"/>
            <w:r>
              <w:rPr>
                <w:b/>
              </w:rPr>
              <w:t>)</w:t>
            </w:r>
          </w:p>
        </w:tc>
      </w:tr>
      <w:tr w:rsidR="00D65FFD" w:rsidTr="00D65FFD">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pPr>
            <w:r>
              <w:t>Students can follow an academic course at university level.</w:t>
            </w:r>
          </w:p>
        </w:tc>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pPr>
            <w:r>
              <w:t>Students can study demanding subjects at the highest level, including postgraduate and PhD programs.</w:t>
            </w:r>
          </w:p>
        </w:tc>
      </w:tr>
      <w:tr w:rsidR="00D65FFD" w:rsidTr="00D65FFD">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pPr>
            <w:r>
              <w:t>Student can express themselves  with a high level of fluency</w:t>
            </w:r>
          </w:p>
        </w:tc>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pPr>
            <w:proofErr w:type="gramStart"/>
            <w:r>
              <w:t>Student have</w:t>
            </w:r>
            <w:proofErr w:type="gramEnd"/>
            <w:r>
              <w:t xml:space="preserve"> mastered English to an exceptional level.</w:t>
            </w:r>
          </w:p>
        </w:tc>
      </w:tr>
      <w:tr w:rsidR="00D65FFD" w:rsidTr="00D65FFD">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pPr>
            <w:r>
              <w:t>A score of C1 (180 or above) would meet our requirements.</w:t>
            </w:r>
          </w:p>
        </w:tc>
        <w:tc>
          <w:tcPr>
            <w:tcW w:w="4428" w:type="dxa"/>
            <w:tcBorders>
              <w:top w:val="single" w:sz="4" w:space="0" w:color="auto"/>
              <w:left w:val="single" w:sz="4" w:space="0" w:color="auto"/>
              <w:bottom w:val="single" w:sz="4" w:space="0" w:color="auto"/>
              <w:right w:val="single" w:sz="4" w:space="0" w:color="auto"/>
            </w:tcBorders>
            <w:hideMark/>
          </w:tcPr>
          <w:p w:rsidR="00D65FFD" w:rsidRDefault="00D65FFD">
            <w:pPr>
              <w:pStyle w:val="ListParagraph"/>
              <w:ind w:left="0"/>
            </w:pPr>
            <w:r>
              <w:t>A score of C2 (200 or above) would meet our requirements.</w:t>
            </w:r>
          </w:p>
        </w:tc>
      </w:tr>
      <w:tr w:rsidR="00D65FFD" w:rsidTr="00D65FFD">
        <w:tc>
          <w:tcPr>
            <w:tcW w:w="4428" w:type="dxa"/>
            <w:tcBorders>
              <w:top w:val="single" w:sz="4" w:space="0" w:color="auto"/>
              <w:left w:val="single" w:sz="4" w:space="0" w:color="auto"/>
              <w:bottom w:val="single" w:sz="4" w:space="0" w:color="auto"/>
              <w:right w:val="single" w:sz="4" w:space="0" w:color="auto"/>
            </w:tcBorders>
          </w:tcPr>
          <w:p w:rsidR="00D65FFD" w:rsidRDefault="00D65FFD">
            <w:pPr>
              <w:pStyle w:val="ListParagraph"/>
              <w:ind w:left="0"/>
            </w:pPr>
          </w:p>
        </w:tc>
        <w:tc>
          <w:tcPr>
            <w:tcW w:w="4428" w:type="dxa"/>
            <w:tcBorders>
              <w:top w:val="single" w:sz="4" w:space="0" w:color="auto"/>
              <w:left w:val="single" w:sz="4" w:space="0" w:color="auto"/>
              <w:bottom w:val="single" w:sz="4" w:space="0" w:color="auto"/>
              <w:right w:val="single" w:sz="4" w:space="0" w:color="auto"/>
            </w:tcBorders>
          </w:tcPr>
          <w:p w:rsidR="00D65FFD" w:rsidRDefault="00D65FFD">
            <w:pPr>
              <w:pStyle w:val="ListParagraph"/>
              <w:ind w:left="0"/>
            </w:pPr>
          </w:p>
        </w:tc>
      </w:tr>
    </w:tbl>
    <w:p w:rsidR="00D65FFD" w:rsidRDefault="00D65FFD" w:rsidP="00D65FFD">
      <w:pPr>
        <w:pStyle w:val="ListParagraph"/>
        <w:ind w:left="1440"/>
      </w:pPr>
    </w:p>
    <w:p w:rsidR="00D65FFD" w:rsidRDefault="00D65FFD" w:rsidP="00D65FFD">
      <w:pPr>
        <w:pStyle w:val="ListParagraph"/>
        <w:numPr>
          <w:ilvl w:val="0"/>
          <w:numId w:val="3"/>
        </w:numPr>
        <w:spacing w:after="0" w:line="240" w:lineRule="auto"/>
        <w:rPr>
          <w:b/>
        </w:rPr>
      </w:pPr>
      <w:r>
        <w:rPr>
          <w:rFonts w:cs="Century"/>
          <w:b/>
          <w:color w:val="1D1D1D"/>
        </w:rPr>
        <w:t>International Test of English Proficiency (</w:t>
      </w:r>
      <w:proofErr w:type="spellStart"/>
      <w:r>
        <w:rPr>
          <w:rFonts w:cs="Century"/>
          <w:b/>
          <w:color w:val="1D1D1D"/>
        </w:rPr>
        <w:t>iTEP</w:t>
      </w:r>
      <w:proofErr w:type="spellEnd"/>
      <w:r>
        <w:rPr>
          <w:rFonts w:cs="Century"/>
          <w:b/>
          <w:color w:val="1D1D1D"/>
        </w:rPr>
        <w:t>)</w:t>
      </w:r>
    </w:p>
    <w:p w:rsidR="00D65FFD" w:rsidRDefault="00D65FFD" w:rsidP="00D65FFD">
      <w:pPr>
        <w:pStyle w:val="ListParagraph"/>
        <w:numPr>
          <w:ilvl w:val="1"/>
          <w:numId w:val="3"/>
        </w:numPr>
        <w:spacing w:after="0" w:line="240" w:lineRule="auto"/>
      </w:pPr>
      <w:r>
        <w:t xml:space="preserve">Website: </w:t>
      </w:r>
      <w:hyperlink r:id="rId19" w:history="1">
        <w:r>
          <w:rPr>
            <w:rStyle w:val="Hyperlink"/>
          </w:rPr>
          <w:t>http://www.itepexam.com/itep-for-educational-institutions</w:t>
        </w:r>
      </w:hyperlink>
    </w:p>
    <w:p w:rsidR="00D65FFD" w:rsidRDefault="00D65FFD" w:rsidP="00D65FFD">
      <w:pPr>
        <w:pStyle w:val="ListParagraph"/>
        <w:numPr>
          <w:ilvl w:val="1"/>
          <w:numId w:val="3"/>
        </w:numPr>
        <w:spacing w:after="0" w:line="240" w:lineRule="auto"/>
      </w:pPr>
      <w:r>
        <w:t>The tests are designed to be convenient and affordable for students at $99 per test.</w:t>
      </w:r>
    </w:p>
    <w:p w:rsidR="00D65FFD" w:rsidRDefault="00D65FFD" w:rsidP="00D65FFD">
      <w:pPr>
        <w:pStyle w:val="ListParagraph"/>
        <w:numPr>
          <w:ilvl w:val="1"/>
          <w:numId w:val="3"/>
        </w:numPr>
        <w:spacing w:after="0" w:line="240" w:lineRule="auto"/>
      </w:pPr>
      <w:r>
        <w:t>The scoring system reports detailed information about each aspect of language skills.</w:t>
      </w:r>
    </w:p>
    <w:p w:rsidR="00D65FFD" w:rsidRDefault="00D65FFD" w:rsidP="00D65FFD">
      <w:pPr>
        <w:pStyle w:val="ListParagraph"/>
        <w:numPr>
          <w:ilvl w:val="1"/>
          <w:numId w:val="3"/>
        </w:numPr>
        <w:spacing w:after="0" w:line="240" w:lineRule="auto"/>
      </w:pPr>
      <w:proofErr w:type="spellStart"/>
      <w:proofErr w:type="gramStart"/>
      <w:r>
        <w:t>iTEP</w:t>
      </w:r>
      <w:proofErr w:type="spellEnd"/>
      <w:proofErr w:type="gramEnd"/>
      <w:r>
        <w:t xml:space="preserve"> Academic is the test specific for higher education.</w:t>
      </w:r>
    </w:p>
    <w:p w:rsidR="00D65FFD" w:rsidRDefault="00D65FFD" w:rsidP="00D65FFD">
      <w:pPr>
        <w:pStyle w:val="ListParagraph"/>
        <w:numPr>
          <w:ilvl w:val="1"/>
          <w:numId w:val="3"/>
        </w:numPr>
        <w:spacing w:after="0" w:line="240" w:lineRule="auto"/>
      </w:pPr>
      <w:r>
        <w:t>A score of 3.8 or higher would meet our requirement.</w:t>
      </w:r>
    </w:p>
    <w:p w:rsidR="00D65FFD" w:rsidRDefault="00D65FFD" w:rsidP="00D65FFD">
      <w:pPr>
        <w:pStyle w:val="ListParagraph"/>
      </w:pPr>
    </w:p>
    <w:p w:rsidR="00D65FFD" w:rsidRDefault="00D65FFD" w:rsidP="00D65FFD">
      <w:pPr>
        <w:pStyle w:val="NoSpacing"/>
      </w:pPr>
    </w:p>
    <w:p w:rsidR="00146A38" w:rsidRDefault="00146A38">
      <w:pPr>
        <w:tabs>
          <w:tab w:val="left" w:pos="2749"/>
        </w:tabs>
      </w:pPr>
    </w:p>
    <w:sectPr w:rsidR="00146A3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15" w:rsidRDefault="004E1415" w:rsidP="00A91A88">
      <w:pPr>
        <w:spacing w:after="0" w:line="240" w:lineRule="auto"/>
      </w:pPr>
      <w:r>
        <w:separator/>
      </w:r>
    </w:p>
  </w:endnote>
  <w:endnote w:type="continuationSeparator" w:id="0">
    <w:p w:rsidR="004E1415" w:rsidRDefault="004E1415" w:rsidP="00A9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17772"/>
      <w:docPartObj>
        <w:docPartGallery w:val="Page Numbers (Bottom of Page)"/>
        <w:docPartUnique/>
      </w:docPartObj>
    </w:sdtPr>
    <w:sdtEndPr>
      <w:rPr>
        <w:noProof/>
      </w:rPr>
    </w:sdtEndPr>
    <w:sdtContent>
      <w:p w:rsidR="004E1415" w:rsidRDefault="004E141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E1415" w:rsidRDefault="004E1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15" w:rsidRDefault="004E1415" w:rsidP="00A91A88">
      <w:pPr>
        <w:spacing w:after="0" w:line="240" w:lineRule="auto"/>
      </w:pPr>
      <w:r>
        <w:separator/>
      </w:r>
    </w:p>
  </w:footnote>
  <w:footnote w:type="continuationSeparator" w:id="0">
    <w:p w:rsidR="004E1415" w:rsidRDefault="004E1415" w:rsidP="00A91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34E"/>
    <w:multiLevelType w:val="hybridMultilevel"/>
    <w:tmpl w:val="F6A0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0A5A47"/>
    <w:multiLevelType w:val="hybridMultilevel"/>
    <w:tmpl w:val="9C62C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B10425"/>
    <w:multiLevelType w:val="hybridMultilevel"/>
    <w:tmpl w:val="D7EC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1C24F2"/>
    <w:multiLevelType w:val="hybridMultilevel"/>
    <w:tmpl w:val="2DF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58"/>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1E68"/>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3B09"/>
    <w:rsid w:val="000F46C9"/>
    <w:rsid w:val="000F5E70"/>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46A38"/>
    <w:rsid w:val="0015586D"/>
    <w:rsid w:val="00162C52"/>
    <w:rsid w:val="00165C09"/>
    <w:rsid w:val="00165D86"/>
    <w:rsid w:val="001666F1"/>
    <w:rsid w:val="001667CC"/>
    <w:rsid w:val="001709AE"/>
    <w:rsid w:val="0017550B"/>
    <w:rsid w:val="00176C36"/>
    <w:rsid w:val="00183CFC"/>
    <w:rsid w:val="00186DD0"/>
    <w:rsid w:val="001904CF"/>
    <w:rsid w:val="00192019"/>
    <w:rsid w:val="00193E10"/>
    <w:rsid w:val="00195794"/>
    <w:rsid w:val="001A1584"/>
    <w:rsid w:val="001A1D35"/>
    <w:rsid w:val="001A2F78"/>
    <w:rsid w:val="001A31A3"/>
    <w:rsid w:val="001A3D38"/>
    <w:rsid w:val="001A59C0"/>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11451"/>
    <w:rsid w:val="00211785"/>
    <w:rsid w:val="002125F7"/>
    <w:rsid w:val="00215031"/>
    <w:rsid w:val="002304CF"/>
    <w:rsid w:val="002364D6"/>
    <w:rsid w:val="00237948"/>
    <w:rsid w:val="00243616"/>
    <w:rsid w:val="0025091B"/>
    <w:rsid w:val="00252142"/>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A7019"/>
    <w:rsid w:val="002B120C"/>
    <w:rsid w:val="002B32B2"/>
    <w:rsid w:val="002B7082"/>
    <w:rsid w:val="002C0371"/>
    <w:rsid w:val="002C0A94"/>
    <w:rsid w:val="002C4CB1"/>
    <w:rsid w:val="002C4F75"/>
    <w:rsid w:val="002C5FA7"/>
    <w:rsid w:val="002C72BB"/>
    <w:rsid w:val="002D1A26"/>
    <w:rsid w:val="002D556F"/>
    <w:rsid w:val="002D6E09"/>
    <w:rsid w:val="002F3462"/>
    <w:rsid w:val="002F3AFD"/>
    <w:rsid w:val="002F4650"/>
    <w:rsid w:val="002F7A2E"/>
    <w:rsid w:val="00300702"/>
    <w:rsid w:val="003021B6"/>
    <w:rsid w:val="0030462D"/>
    <w:rsid w:val="00306C82"/>
    <w:rsid w:val="00310C67"/>
    <w:rsid w:val="00314890"/>
    <w:rsid w:val="00317BD0"/>
    <w:rsid w:val="00321D14"/>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494D"/>
    <w:rsid w:val="00385C63"/>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260"/>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5973"/>
    <w:rsid w:val="004963A0"/>
    <w:rsid w:val="00496708"/>
    <w:rsid w:val="004A0672"/>
    <w:rsid w:val="004A0FF9"/>
    <w:rsid w:val="004A3A71"/>
    <w:rsid w:val="004A76F0"/>
    <w:rsid w:val="004B1722"/>
    <w:rsid w:val="004C02A7"/>
    <w:rsid w:val="004C267D"/>
    <w:rsid w:val="004C4BB9"/>
    <w:rsid w:val="004C78B9"/>
    <w:rsid w:val="004D52D7"/>
    <w:rsid w:val="004D7262"/>
    <w:rsid w:val="004D7992"/>
    <w:rsid w:val="004E1415"/>
    <w:rsid w:val="004E25EE"/>
    <w:rsid w:val="004E27C4"/>
    <w:rsid w:val="004F245E"/>
    <w:rsid w:val="004F3BC7"/>
    <w:rsid w:val="004F5165"/>
    <w:rsid w:val="004F7FCC"/>
    <w:rsid w:val="0050032C"/>
    <w:rsid w:val="0050348E"/>
    <w:rsid w:val="00503516"/>
    <w:rsid w:val="00505E62"/>
    <w:rsid w:val="005147D8"/>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3BAA"/>
    <w:rsid w:val="00566CBF"/>
    <w:rsid w:val="00567266"/>
    <w:rsid w:val="00572CAB"/>
    <w:rsid w:val="00576678"/>
    <w:rsid w:val="005767D7"/>
    <w:rsid w:val="005854E7"/>
    <w:rsid w:val="00586E17"/>
    <w:rsid w:val="005877CE"/>
    <w:rsid w:val="00595D78"/>
    <w:rsid w:val="00597FF4"/>
    <w:rsid w:val="005A6CD6"/>
    <w:rsid w:val="005B379E"/>
    <w:rsid w:val="005B51AA"/>
    <w:rsid w:val="005C3E52"/>
    <w:rsid w:val="005D4766"/>
    <w:rsid w:val="005D5D6D"/>
    <w:rsid w:val="005E398C"/>
    <w:rsid w:val="005E7BDE"/>
    <w:rsid w:val="005F3250"/>
    <w:rsid w:val="005F451F"/>
    <w:rsid w:val="005F5467"/>
    <w:rsid w:val="0060057C"/>
    <w:rsid w:val="00603C94"/>
    <w:rsid w:val="00604180"/>
    <w:rsid w:val="006116AD"/>
    <w:rsid w:val="00613EC5"/>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480D"/>
    <w:rsid w:val="0066528C"/>
    <w:rsid w:val="0066651B"/>
    <w:rsid w:val="006712D8"/>
    <w:rsid w:val="00673164"/>
    <w:rsid w:val="0067501E"/>
    <w:rsid w:val="00675DBA"/>
    <w:rsid w:val="00676585"/>
    <w:rsid w:val="00680C0D"/>
    <w:rsid w:val="006819A1"/>
    <w:rsid w:val="006859F7"/>
    <w:rsid w:val="00686E98"/>
    <w:rsid w:val="0069269C"/>
    <w:rsid w:val="006949D2"/>
    <w:rsid w:val="006950A2"/>
    <w:rsid w:val="006971B4"/>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218AD"/>
    <w:rsid w:val="007249CC"/>
    <w:rsid w:val="00726B57"/>
    <w:rsid w:val="00736B2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4C1"/>
    <w:rsid w:val="00775B1E"/>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6253"/>
    <w:rsid w:val="007B7448"/>
    <w:rsid w:val="007B7909"/>
    <w:rsid w:val="007D1516"/>
    <w:rsid w:val="007D52BE"/>
    <w:rsid w:val="007D6BB9"/>
    <w:rsid w:val="007E20E2"/>
    <w:rsid w:val="007E2903"/>
    <w:rsid w:val="007E4FF5"/>
    <w:rsid w:val="007E679F"/>
    <w:rsid w:val="007E7323"/>
    <w:rsid w:val="007F19D6"/>
    <w:rsid w:val="007F2A9B"/>
    <w:rsid w:val="007F7C8C"/>
    <w:rsid w:val="007F7FD2"/>
    <w:rsid w:val="00800C5E"/>
    <w:rsid w:val="00801679"/>
    <w:rsid w:val="0080253E"/>
    <w:rsid w:val="00803488"/>
    <w:rsid w:val="00804791"/>
    <w:rsid w:val="00804E97"/>
    <w:rsid w:val="00805F10"/>
    <w:rsid w:val="0081099B"/>
    <w:rsid w:val="008153B6"/>
    <w:rsid w:val="008154DC"/>
    <w:rsid w:val="00816D65"/>
    <w:rsid w:val="00823674"/>
    <w:rsid w:val="00824FC2"/>
    <w:rsid w:val="00830680"/>
    <w:rsid w:val="00831F03"/>
    <w:rsid w:val="00832F00"/>
    <w:rsid w:val="0083614F"/>
    <w:rsid w:val="00837699"/>
    <w:rsid w:val="0084190E"/>
    <w:rsid w:val="00842ADB"/>
    <w:rsid w:val="0084667C"/>
    <w:rsid w:val="00846F26"/>
    <w:rsid w:val="00847544"/>
    <w:rsid w:val="0085081B"/>
    <w:rsid w:val="00860DC5"/>
    <w:rsid w:val="00861F90"/>
    <w:rsid w:val="00864538"/>
    <w:rsid w:val="00865003"/>
    <w:rsid w:val="00865966"/>
    <w:rsid w:val="008662E9"/>
    <w:rsid w:val="008737A9"/>
    <w:rsid w:val="008750D3"/>
    <w:rsid w:val="008823E4"/>
    <w:rsid w:val="008830C9"/>
    <w:rsid w:val="00883379"/>
    <w:rsid w:val="00883B67"/>
    <w:rsid w:val="0088406E"/>
    <w:rsid w:val="0088631B"/>
    <w:rsid w:val="00886D02"/>
    <w:rsid w:val="00890A9B"/>
    <w:rsid w:val="00892270"/>
    <w:rsid w:val="00892952"/>
    <w:rsid w:val="00894DBF"/>
    <w:rsid w:val="00897452"/>
    <w:rsid w:val="008A6EAA"/>
    <w:rsid w:val="008B2BD6"/>
    <w:rsid w:val="008B3E2C"/>
    <w:rsid w:val="008B402B"/>
    <w:rsid w:val="008B75BB"/>
    <w:rsid w:val="008B7678"/>
    <w:rsid w:val="008C1B3E"/>
    <w:rsid w:val="008C4168"/>
    <w:rsid w:val="008C65E2"/>
    <w:rsid w:val="008D437B"/>
    <w:rsid w:val="008D4AB7"/>
    <w:rsid w:val="008E1A96"/>
    <w:rsid w:val="008E647E"/>
    <w:rsid w:val="008E6594"/>
    <w:rsid w:val="008E72CE"/>
    <w:rsid w:val="008F01E3"/>
    <w:rsid w:val="008F2E32"/>
    <w:rsid w:val="0090160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510A"/>
    <w:rsid w:val="00976519"/>
    <w:rsid w:val="00980B02"/>
    <w:rsid w:val="00982D3E"/>
    <w:rsid w:val="00985CB7"/>
    <w:rsid w:val="00990278"/>
    <w:rsid w:val="0099519A"/>
    <w:rsid w:val="009976F8"/>
    <w:rsid w:val="009A4B26"/>
    <w:rsid w:val="009A5E20"/>
    <w:rsid w:val="009A6AA5"/>
    <w:rsid w:val="009B4C6E"/>
    <w:rsid w:val="009C3C48"/>
    <w:rsid w:val="009C65B3"/>
    <w:rsid w:val="009D552D"/>
    <w:rsid w:val="009D7A25"/>
    <w:rsid w:val="009E3FD5"/>
    <w:rsid w:val="009E403F"/>
    <w:rsid w:val="009E45D1"/>
    <w:rsid w:val="009E4B8F"/>
    <w:rsid w:val="009E5126"/>
    <w:rsid w:val="009F119A"/>
    <w:rsid w:val="009F1602"/>
    <w:rsid w:val="009F3AF7"/>
    <w:rsid w:val="009F5107"/>
    <w:rsid w:val="009F57B3"/>
    <w:rsid w:val="00A00E9E"/>
    <w:rsid w:val="00A067DE"/>
    <w:rsid w:val="00A1558F"/>
    <w:rsid w:val="00A16F2D"/>
    <w:rsid w:val="00A213CE"/>
    <w:rsid w:val="00A21C5A"/>
    <w:rsid w:val="00A24EA9"/>
    <w:rsid w:val="00A256E6"/>
    <w:rsid w:val="00A274DE"/>
    <w:rsid w:val="00A32878"/>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1A88"/>
    <w:rsid w:val="00A92AD7"/>
    <w:rsid w:val="00A948D1"/>
    <w:rsid w:val="00A94CCB"/>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F6CDD"/>
    <w:rsid w:val="00B00E2B"/>
    <w:rsid w:val="00B06A67"/>
    <w:rsid w:val="00B06A78"/>
    <w:rsid w:val="00B07ED0"/>
    <w:rsid w:val="00B11B23"/>
    <w:rsid w:val="00B11B58"/>
    <w:rsid w:val="00B12A0B"/>
    <w:rsid w:val="00B1366E"/>
    <w:rsid w:val="00B20BE3"/>
    <w:rsid w:val="00B20D68"/>
    <w:rsid w:val="00B21F5D"/>
    <w:rsid w:val="00B2609B"/>
    <w:rsid w:val="00B26474"/>
    <w:rsid w:val="00B27A95"/>
    <w:rsid w:val="00B30F57"/>
    <w:rsid w:val="00B328F3"/>
    <w:rsid w:val="00B428F7"/>
    <w:rsid w:val="00B429D8"/>
    <w:rsid w:val="00B44AF9"/>
    <w:rsid w:val="00B52FEA"/>
    <w:rsid w:val="00B5311A"/>
    <w:rsid w:val="00B561CA"/>
    <w:rsid w:val="00B6014C"/>
    <w:rsid w:val="00B60D59"/>
    <w:rsid w:val="00B610C4"/>
    <w:rsid w:val="00B62888"/>
    <w:rsid w:val="00B656D4"/>
    <w:rsid w:val="00B674A6"/>
    <w:rsid w:val="00B72282"/>
    <w:rsid w:val="00B7292A"/>
    <w:rsid w:val="00B73921"/>
    <w:rsid w:val="00B749A9"/>
    <w:rsid w:val="00B824C4"/>
    <w:rsid w:val="00B85257"/>
    <w:rsid w:val="00B857D5"/>
    <w:rsid w:val="00B8760A"/>
    <w:rsid w:val="00B908A8"/>
    <w:rsid w:val="00B93B69"/>
    <w:rsid w:val="00B9510D"/>
    <w:rsid w:val="00B971F5"/>
    <w:rsid w:val="00BA4AFD"/>
    <w:rsid w:val="00BA5758"/>
    <w:rsid w:val="00BB2B65"/>
    <w:rsid w:val="00BB7662"/>
    <w:rsid w:val="00BC0615"/>
    <w:rsid w:val="00BC1223"/>
    <w:rsid w:val="00BC4280"/>
    <w:rsid w:val="00BC5546"/>
    <w:rsid w:val="00BC6580"/>
    <w:rsid w:val="00BC7E9E"/>
    <w:rsid w:val="00BD0D47"/>
    <w:rsid w:val="00BD7BA8"/>
    <w:rsid w:val="00BE1793"/>
    <w:rsid w:val="00BE39D4"/>
    <w:rsid w:val="00BE3E1D"/>
    <w:rsid w:val="00BE4627"/>
    <w:rsid w:val="00BE7EE2"/>
    <w:rsid w:val="00BF1A4F"/>
    <w:rsid w:val="00BF67DF"/>
    <w:rsid w:val="00BF7700"/>
    <w:rsid w:val="00C04C79"/>
    <w:rsid w:val="00C06845"/>
    <w:rsid w:val="00C13542"/>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2C3C"/>
    <w:rsid w:val="00CC4A70"/>
    <w:rsid w:val="00CC696C"/>
    <w:rsid w:val="00CD1D92"/>
    <w:rsid w:val="00CD2D23"/>
    <w:rsid w:val="00CD46D5"/>
    <w:rsid w:val="00CD7317"/>
    <w:rsid w:val="00CE1972"/>
    <w:rsid w:val="00CE1F88"/>
    <w:rsid w:val="00CE45AA"/>
    <w:rsid w:val="00CE5010"/>
    <w:rsid w:val="00CE552E"/>
    <w:rsid w:val="00CE7219"/>
    <w:rsid w:val="00CF0264"/>
    <w:rsid w:val="00CF27D3"/>
    <w:rsid w:val="00CF2868"/>
    <w:rsid w:val="00CF2AB4"/>
    <w:rsid w:val="00CF3B55"/>
    <w:rsid w:val="00D004D4"/>
    <w:rsid w:val="00D01B5B"/>
    <w:rsid w:val="00D037FC"/>
    <w:rsid w:val="00D07466"/>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CBA"/>
    <w:rsid w:val="00D61F0D"/>
    <w:rsid w:val="00D65296"/>
    <w:rsid w:val="00D65C51"/>
    <w:rsid w:val="00D65FFD"/>
    <w:rsid w:val="00D730EE"/>
    <w:rsid w:val="00D73F2F"/>
    <w:rsid w:val="00D7467E"/>
    <w:rsid w:val="00D74DE1"/>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27A6"/>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21D2A"/>
    <w:rsid w:val="00E228E9"/>
    <w:rsid w:val="00E23B31"/>
    <w:rsid w:val="00E24EFA"/>
    <w:rsid w:val="00E26670"/>
    <w:rsid w:val="00E301BB"/>
    <w:rsid w:val="00E32A6F"/>
    <w:rsid w:val="00E332C4"/>
    <w:rsid w:val="00E33A80"/>
    <w:rsid w:val="00E35325"/>
    <w:rsid w:val="00E35AF4"/>
    <w:rsid w:val="00E366ED"/>
    <w:rsid w:val="00E36D61"/>
    <w:rsid w:val="00E42638"/>
    <w:rsid w:val="00E44DFB"/>
    <w:rsid w:val="00E44E53"/>
    <w:rsid w:val="00E50FEE"/>
    <w:rsid w:val="00E54FFE"/>
    <w:rsid w:val="00E61E67"/>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10EB"/>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5B1C"/>
    <w:rsid w:val="00F47EDE"/>
    <w:rsid w:val="00F5435E"/>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B34C5"/>
    <w:rsid w:val="00FC205F"/>
    <w:rsid w:val="00FD02D0"/>
    <w:rsid w:val="00FD10F8"/>
    <w:rsid w:val="00FD2E09"/>
    <w:rsid w:val="00FD4308"/>
    <w:rsid w:val="00FD758A"/>
    <w:rsid w:val="00FE25C0"/>
    <w:rsid w:val="00FE4B71"/>
    <w:rsid w:val="00FE6418"/>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97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9597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F01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97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5973"/>
    <w:rPr>
      <w:rFonts w:ascii="Cambria" w:eastAsia="Times New Roman" w:hAnsi="Cambria" w:cs="Times New Roman"/>
      <w:b/>
      <w:bCs/>
      <w:i/>
      <w:iCs/>
      <w:sz w:val="28"/>
      <w:szCs w:val="28"/>
    </w:rPr>
  </w:style>
  <w:style w:type="table" w:styleId="TableGrid">
    <w:name w:val="Table Grid"/>
    <w:basedOn w:val="TableNormal"/>
    <w:uiPriority w:val="59"/>
    <w:rsid w:val="0025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A38"/>
    <w:pPr>
      <w:ind w:left="720"/>
      <w:contextualSpacing/>
    </w:pPr>
  </w:style>
  <w:style w:type="character" w:styleId="Hyperlink">
    <w:name w:val="Hyperlink"/>
    <w:basedOn w:val="DefaultParagraphFont"/>
    <w:uiPriority w:val="99"/>
    <w:unhideWhenUsed/>
    <w:rsid w:val="00B824C4"/>
    <w:rPr>
      <w:color w:val="0000FF" w:themeColor="hyperlink"/>
      <w:u w:val="single"/>
    </w:rPr>
  </w:style>
  <w:style w:type="paragraph" w:styleId="NoSpacing">
    <w:name w:val="No Spacing"/>
    <w:uiPriority w:val="1"/>
    <w:qFormat/>
    <w:rsid w:val="00D65FFD"/>
    <w:pPr>
      <w:spacing w:after="0" w:line="240" w:lineRule="auto"/>
    </w:pPr>
    <w:rPr>
      <w:rFonts w:eastAsiaTheme="minorEastAsia"/>
      <w:sz w:val="24"/>
      <w:szCs w:val="24"/>
    </w:rPr>
  </w:style>
  <w:style w:type="character" w:customStyle="1" w:styleId="Heading3Char">
    <w:name w:val="Heading 3 Char"/>
    <w:basedOn w:val="DefaultParagraphFont"/>
    <w:link w:val="Heading3"/>
    <w:uiPriority w:val="9"/>
    <w:rsid w:val="00F010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9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88"/>
  </w:style>
  <w:style w:type="paragraph" w:styleId="Footer">
    <w:name w:val="footer"/>
    <w:basedOn w:val="Normal"/>
    <w:link w:val="FooterChar"/>
    <w:uiPriority w:val="99"/>
    <w:unhideWhenUsed/>
    <w:rsid w:val="00A9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88"/>
  </w:style>
  <w:style w:type="paragraph" w:styleId="BalloonText">
    <w:name w:val="Balloon Text"/>
    <w:basedOn w:val="Normal"/>
    <w:link w:val="BalloonTextChar"/>
    <w:uiPriority w:val="99"/>
    <w:semiHidden/>
    <w:unhideWhenUsed/>
    <w:rsid w:val="0080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597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9597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F01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97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5973"/>
    <w:rPr>
      <w:rFonts w:ascii="Cambria" w:eastAsia="Times New Roman" w:hAnsi="Cambria" w:cs="Times New Roman"/>
      <w:b/>
      <w:bCs/>
      <w:i/>
      <w:iCs/>
      <w:sz w:val="28"/>
      <w:szCs w:val="28"/>
    </w:rPr>
  </w:style>
  <w:style w:type="table" w:styleId="TableGrid">
    <w:name w:val="Table Grid"/>
    <w:basedOn w:val="TableNormal"/>
    <w:uiPriority w:val="59"/>
    <w:rsid w:val="0025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A38"/>
    <w:pPr>
      <w:ind w:left="720"/>
      <w:contextualSpacing/>
    </w:pPr>
  </w:style>
  <w:style w:type="character" w:styleId="Hyperlink">
    <w:name w:val="Hyperlink"/>
    <w:basedOn w:val="DefaultParagraphFont"/>
    <w:uiPriority w:val="99"/>
    <w:unhideWhenUsed/>
    <w:rsid w:val="00B824C4"/>
    <w:rPr>
      <w:color w:val="0000FF" w:themeColor="hyperlink"/>
      <w:u w:val="single"/>
    </w:rPr>
  </w:style>
  <w:style w:type="paragraph" w:styleId="NoSpacing">
    <w:name w:val="No Spacing"/>
    <w:uiPriority w:val="1"/>
    <w:qFormat/>
    <w:rsid w:val="00D65FFD"/>
    <w:pPr>
      <w:spacing w:after="0" w:line="240" w:lineRule="auto"/>
    </w:pPr>
    <w:rPr>
      <w:rFonts w:eastAsiaTheme="minorEastAsia"/>
      <w:sz w:val="24"/>
      <w:szCs w:val="24"/>
    </w:rPr>
  </w:style>
  <w:style w:type="character" w:customStyle="1" w:styleId="Heading3Char">
    <w:name w:val="Heading 3 Char"/>
    <w:basedOn w:val="DefaultParagraphFont"/>
    <w:link w:val="Heading3"/>
    <w:uiPriority w:val="9"/>
    <w:rsid w:val="00F010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9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88"/>
  </w:style>
  <w:style w:type="paragraph" w:styleId="Footer">
    <w:name w:val="footer"/>
    <w:basedOn w:val="Normal"/>
    <w:link w:val="FooterChar"/>
    <w:uiPriority w:val="99"/>
    <w:unhideWhenUsed/>
    <w:rsid w:val="00A9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88"/>
  </w:style>
  <w:style w:type="paragraph" w:styleId="BalloonText">
    <w:name w:val="Balloon Text"/>
    <w:basedOn w:val="Normal"/>
    <w:link w:val="BalloonTextChar"/>
    <w:uiPriority w:val="99"/>
    <w:semiHidden/>
    <w:unhideWhenUsed/>
    <w:rsid w:val="0080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2013-14/English%20Language%20Proficiency%20Policy%20Draft%2029-04-14.docx" TargetMode="External"/><Relationship Id="rId13" Type="http://schemas.openxmlformats.org/officeDocument/2006/relationships/hyperlink" Target="http://nau.edu/CIE/International-Admissions/Bachelor-Degree-Application/" TargetMode="External"/><Relationship Id="rId18" Type="http://schemas.openxmlformats.org/officeDocument/2006/relationships/hyperlink" Target="http://www.cambridgeenglish.org/why-cambridge-englis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idaho.edu/admissions/international/admissions-requirements" TargetMode="External"/><Relationship Id="rId17" Type="http://schemas.openxmlformats.org/officeDocument/2006/relationships/hyperlink" Target="http://pearsonpte.com/institutions/about/" TargetMode="External"/><Relationship Id="rId2" Type="http://schemas.openxmlformats.org/officeDocument/2006/relationships/styles" Target="styles.xml"/><Relationship Id="rId16" Type="http://schemas.openxmlformats.org/officeDocument/2006/relationships/hyperlink" Target="http://www.montana.edu/international/admissions/englishproficiency.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wsu.edu/future-students/requirements/" TargetMode="External"/><Relationship Id="rId5" Type="http://schemas.openxmlformats.org/officeDocument/2006/relationships/webSettings" Target="webSettings.xml"/><Relationship Id="rId15" Type="http://schemas.openxmlformats.org/officeDocument/2006/relationships/hyperlink" Target="http://www2.humboldt.edu/international/apply/undergraduate" TargetMode="External"/><Relationship Id="rId10" Type="http://schemas.openxmlformats.org/officeDocument/2006/relationships/hyperlink" Target="http://oregonstate.edu/admissions/international/ug-reqs" TargetMode="External"/><Relationship Id="rId19" Type="http://schemas.openxmlformats.org/officeDocument/2006/relationships/hyperlink" Target="http://www.itepexam.com/itep-for-educational-institutions" TargetMode="External"/><Relationship Id="rId4" Type="http://schemas.openxmlformats.org/officeDocument/2006/relationships/settings" Target="settings.xml"/><Relationship Id="rId9" Type="http://schemas.openxmlformats.org/officeDocument/2006/relationships/hyperlink" Target="https://admissions.wwu.edu/international/international-instructions" TargetMode="External"/><Relationship Id="rId14" Type="http://schemas.openxmlformats.org/officeDocument/2006/relationships/hyperlink" Target="http://www.gonzaga.edu/Academics/International-Students/Center_for_Global_Engagement/ISSS/ISSS_undergraduate.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2015-10-16T19:34:00Z</dcterms:created>
  <dcterms:modified xsi:type="dcterms:W3CDTF">2015-12-01T23:37:00Z</dcterms:modified>
</cp:coreProperties>
</file>