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A4" w:rsidRPr="00890BB8" w:rsidRDefault="004932A4" w:rsidP="004932A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010AEC">
        <w:rPr>
          <w:rStyle w:val="Heading1Char"/>
          <w:rFonts w:eastAsiaTheme="minorHAnsi"/>
        </w:rPr>
        <w:t>5</w:t>
      </w:r>
      <w:r w:rsidRPr="00CE2C39">
        <w:rPr>
          <w:rStyle w:val="Heading1Char"/>
          <w:rFonts w:eastAsiaTheme="minorHAnsi"/>
        </w:rPr>
        <w:t>/</w:t>
      </w:r>
      <w:r w:rsidR="00010AEC">
        <w:rPr>
          <w:rStyle w:val="Heading1Char"/>
          <w:rFonts w:eastAsiaTheme="minorHAnsi"/>
        </w:rPr>
        <w:t>3</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 xml:space="preserve">2:10 </w:t>
      </w:r>
      <w:r>
        <w:rPr>
          <w:rFonts w:ascii="Arial" w:hAnsi="Arial" w:cs="Arial"/>
        </w:rPr>
        <w:t>GBB 202</w:t>
      </w:r>
    </w:p>
    <w:p w:rsidR="004932A4" w:rsidRPr="00A8671A" w:rsidRDefault="004932A4" w:rsidP="004932A4">
      <w:pPr>
        <w:pStyle w:val="Heading2"/>
        <w:rPr>
          <w:rStyle w:val="Heading2Char"/>
          <w:i/>
          <w:sz w:val="24"/>
          <w:szCs w:val="24"/>
        </w:rPr>
      </w:pPr>
      <w:r w:rsidRPr="00890BB8">
        <w:t xml:space="preserve"> </w:t>
      </w:r>
      <w:r w:rsidRPr="009B75B0">
        <w:t>Call to order</w:t>
      </w:r>
      <w:r w:rsidRPr="009B75B0">
        <w:br/>
      </w:r>
    </w:p>
    <w:p w:rsidR="004932A4" w:rsidRDefault="004932A4" w:rsidP="004932A4">
      <w:r>
        <w:t>Members Present: D. Coffin, I. Crummy, J. Eglin, A. Lawrence, T. Manuel, M. Nelson,</w:t>
      </w:r>
      <w:r w:rsidRPr="00091A7E">
        <w:t xml:space="preserve"> </w:t>
      </w:r>
      <w:r>
        <w:t>M. Semanoff,  G. St. George,</w:t>
      </w:r>
      <w:r w:rsidRPr="008D6282">
        <w:t xml:space="preserve"> </w:t>
      </w:r>
      <w:r>
        <w:t>E. Uchimoto</w:t>
      </w:r>
      <w:r w:rsidRPr="008D6282">
        <w:t xml:space="preserve"> G.G. Weix</w:t>
      </w:r>
      <w:r>
        <w:t xml:space="preserve"> </w:t>
      </w:r>
      <w:r>
        <w:br/>
        <w:t xml:space="preserve">Ex-Officio Present:  </w:t>
      </w:r>
      <w:r w:rsidR="001D2A09">
        <w:t xml:space="preserve">B. French </w:t>
      </w:r>
      <w:r>
        <w:t>N. Lindsay</w:t>
      </w:r>
      <w:r w:rsidRPr="004B10B2">
        <w:t xml:space="preserve"> </w:t>
      </w:r>
      <w:r>
        <w:t>J. Hickman</w:t>
      </w:r>
      <w:r>
        <w:br/>
        <w:t xml:space="preserve">Members Excused: </w:t>
      </w:r>
      <w:r w:rsidRPr="008D6282">
        <w:t>M. Boller</w:t>
      </w:r>
      <w:r w:rsidRPr="00C84D1F">
        <w:t xml:space="preserve"> </w:t>
      </w:r>
      <w:r>
        <w:t>T. Bundy,</w:t>
      </w:r>
      <w:r w:rsidRPr="00C84D1F">
        <w:t xml:space="preserve"> </w:t>
      </w:r>
      <w:r w:rsidR="001D2A09">
        <w:t>C. Chestnut,</w:t>
      </w:r>
      <w:r w:rsidR="001D2A09" w:rsidRPr="00217A1B">
        <w:t xml:space="preserve"> </w:t>
      </w:r>
      <w:r>
        <w:t xml:space="preserve">E. </w:t>
      </w:r>
      <w:proofErr w:type="spellStart"/>
      <w:r>
        <w:t>Engebretson</w:t>
      </w:r>
      <w:proofErr w:type="spellEnd"/>
      <w:r>
        <w:t xml:space="preserve">, </w:t>
      </w:r>
      <w:r w:rsidRPr="008A5389">
        <w:t xml:space="preserve"> </w:t>
      </w:r>
      <w:r w:rsidR="001D2A09">
        <w:t xml:space="preserve">C. Greenfield, B. Hillman, </w:t>
      </w:r>
      <w:r>
        <w:t xml:space="preserve">B. </w:t>
      </w:r>
      <w:r w:rsidRPr="009C7A48">
        <w:t>Holzworth</w:t>
      </w:r>
      <w:r>
        <w:t xml:space="preserve"> </w:t>
      </w:r>
    </w:p>
    <w:p w:rsidR="004932A4" w:rsidRDefault="004932A4" w:rsidP="004932A4">
      <w:r w:rsidRPr="002F0AD7">
        <w:t>The minutes from</w:t>
      </w:r>
      <w:r>
        <w:t xml:space="preserve"> 4</w:t>
      </w:r>
      <w:r w:rsidRPr="002F0AD7">
        <w:t>/</w:t>
      </w:r>
      <w:r w:rsidR="004F6B3A">
        <w:t>26</w:t>
      </w:r>
      <w:r w:rsidRPr="002F0AD7">
        <w:t xml:space="preserve">/16 were approved. </w:t>
      </w:r>
    </w:p>
    <w:p w:rsidR="004932A4" w:rsidRDefault="001D2A09" w:rsidP="00EC6499">
      <w:pPr>
        <w:pStyle w:val="Heading2"/>
      </w:pPr>
      <w:r>
        <w:t>Communication</w:t>
      </w:r>
      <w:r w:rsidR="00EC6499">
        <w:br/>
      </w:r>
    </w:p>
    <w:p w:rsidR="002E0402" w:rsidRPr="00DC41C6" w:rsidRDefault="001D2A09" w:rsidP="00DC41C6">
      <w:pPr>
        <w:numPr>
          <w:ilvl w:val="0"/>
          <w:numId w:val="4"/>
        </w:numPr>
        <w:tabs>
          <w:tab w:val="left" w:pos="720"/>
        </w:tabs>
        <w:spacing w:after="0" w:line="240" w:lineRule="auto"/>
        <w:ind w:left="360"/>
        <w:rPr>
          <w:rFonts w:cs="Arial"/>
        </w:rPr>
      </w:pPr>
      <w:r w:rsidRPr="00DC41C6">
        <w:rPr>
          <w:rFonts w:cs="Arial"/>
        </w:rPr>
        <w:t>Associate Provost Lindsay provided an u</w:t>
      </w:r>
      <w:r w:rsidR="004F6B3A" w:rsidRPr="00DC41C6">
        <w:rPr>
          <w:rFonts w:cs="Arial"/>
        </w:rPr>
        <w:t xml:space="preserve">pdate on </w:t>
      </w:r>
      <w:r w:rsidRPr="00DC41C6">
        <w:rPr>
          <w:rFonts w:cs="Arial"/>
        </w:rPr>
        <w:t xml:space="preserve">the efforts of the IB </w:t>
      </w:r>
      <w:r w:rsidR="004F6B3A" w:rsidRPr="00DC41C6">
        <w:rPr>
          <w:rFonts w:cs="Arial"/>
        </w:rPr>
        <w:t>subcommittee</w:t>
      </w:r>
      <w:r w:rsidRPr="00DC41C6">
        <w:rPr>
          <w:rFonts w:cs="Arial"/>
        </w:rPr>
        <w:t xml:space="preserve">.  Just prior to the meeting he received notice that the Mathematics department voted on accepting some course equivalencies and additional specific language to include on the IB information on the admissions website. ASCRC voted to approve the language so it could be </w:t>
      </w:r>
      <w:r w:rsidR="00DC41C6" w:rsidRPr="00DC41C6">
        <w:rPr>
          <w:rFonts w:cs="Arial"/>
        </w:rPr>
        <w:t xml:space="preserve">mentioned </w:t>
      </w:r>
      <w:r w:rsidRPr="00DC41C6">
        <w:rPr>
          <w:rFonts w:cs="Arial"/>
        </w:rPr>
        <w:t xml:space="preserve">to the Faculty Senate on Thursday </w:t>
      </w:r>
      <w:r w:rsidR="00DC41C6" w:rsidRPr="00DC41C6">
        <w:rPr>
          <w:rFonts w:cs="Arial"/>
        </w:rPr>
        <w:t xml:space="preserve">so the </w:t>
      </w:r>
      <w:r w:rsidRPr="00DC41C6">
        <w:rPr>
          <w:rFonts w:cs="Arial"/>
        </w:rPr>
        <w:t xml:space="preserve">information </w:t>
      </w:r>
      <w:r w:rsidR="00DC41C6" w:rsidRPr="00DC41C6">
        <w:rPr>
          <w:rFonts w:cs="Arial"/>
        </w:rPr>
        <w:t xml:space="preserve">can be </w:t>
      </w:r>
      <w:r w:rsidRPr="00DC41C6">
        <w:rPr>
          <w:rFonts w:cs="Arial"/>
        </w:rPr>
        <w:t xml:space="preserve">updated as soon as possible.  The Subcommittee is meeting again on Friday with additional representatives from some of the sciences.  The Chair of English, Beverly Chin believes the department is close to agreeing on the equivalencies that are in place at MSU.  WRIT 101 was already designated as an equivalency.  Modern and Classical Languages will not complete the review this spring. IB students who have completed language courses should be able to test out of first-year courses.   This information can be included in the information for students.  </w:t>
      </w:r>
      <w:proofErr w:type="gramStart"/>
      <w:r w:rsidRPr="00DC41C6">
        <w:rPr>
          <w:rFonts w:cs="Arial"/>
        </w:rPr>
        <w:t>Admissions is</w:t>
      </w:r>
      <w:proofErr w:type="gramEnd"/>
      <w:r w:rsidRPr="00DC41C6">
        <w:rPr>
          <w:rFonts w:cs="Arial"/>
        </w:rPr>
        <w:t xml:space="preserve"> working on revising the website language so it is more enticing for IB students. </w:t>
      </w:r>
      <w:r w:rsidRPr="00DC41C6">
        <w:rPr>
          <w:rFonts w:cs="Arial"/>
        </w:rPr>
        <w:br/>
      </w:r>
      <w:r w:rsidRPr="00DC41C6">
        <w:rPr>
          <w:rFonts w:cs="Arial"/>
        </w:rPr>
        <w:br/>
        <w:t xml:space="preserve">There was some discussion about the increased pressure to discount credits by accepting IB, AP, and dual enrollment.  The Board of Regents do not account for the loss of revenue or in the case of dual enrollment, the cost of managing the program.  It would be helpful to see data on why IB students are choosing MSU. </w:t>
      </w:r>
    </w:p>
    <w:p w:rsidR="002E0402" w:rsidRPr="00DC41C6" w:rsidRDefault="002E0402" w:rsidP="00DC41C6">
      <w:pPr>
        <w:tabs>
          <w:tab w:val="left" w:pos="720"/>
        </w:tabs>
        <w:spacing w:after="0" w:line="240" w:lineRule="auto"/>
        <w:ind w:left="360"/>
        <w:rPr>
          <w:rFonts w:cs="Arial"/>
        </w:rPr>
      </w:pPr>
    </w:p>
    <w:p w:rsidR="002E0402" w:rsidRPr="00DC41C6" w:rsidRDefault="002E0402" w:rsidP="00DC41C6">
      <w:pPr>
        <w:tabs>
          <w:tab w:val="left" w:pos="720"/>
        </w:tabs>
        <w:spacing w:after="0" w:line="240" w:lineRule="auto"/>
        <w:ind w:left="360"/>
        <w:rPr>
          <w:rFonts w:cs="Arial"/>
        </w:rPr>
      </w:pPr>
    </w:p>
    <w:p w:rsidR="001D2A09" w:rsidRPr="00DC41C6" w:rsidRDefault="001D2A09" w:rsidP="00DC41C6">
      <w:pPr>
        <w:pStyle w:val="ListParagraph"/>
        <w:numPr>
          <w:ilvl w:val="0"/>
          <w:numId w:val="4"/>
        </w:numPr>
        <w:tabs>
          <w:tab w:val="left" w:pos="720"/>
        </w:tabs>
        <w:spacing w:after="0" w:line="240" w:lineRule="auto"/>
        <w:ind w:left="360"/>
        <w:rPr>
          <w:rFonts w:cs="Arial"/>
        </w:rPr>
      </w:pPr>
      <w:r w:rsidRPr="00DC41C6">
        <w:rPr>
          <w:rFonts w:cs="Arial"/>
        </w:rPr>
        <w:t xml:space="preserve">Associate Provost Lindsay met with Dawn </w:t>
      </w:r>
      <w:proofErr w:type="spellStart"/>
      <w:r w:rsidRPr="00DC41C6">
        <w:rPr>
          <w:rFonts w:cs="Arial"/>
        </w:rPr>
        <w:t>Ressell</w:t>
      </w:r>
      <w:proofErr w:type="spellEnd"/>
      <w:r w:rsidRPr="00DC41C6">
        <w:rPr>
          <w:rFonts w:cs="Arial"/>
        </w:rPr>
        <w:t xml:space="preserve"> regarding the request of a data analysis on transfer students’ performance on subsequent courses.  There has not been any assessment on the success of common course numbering.  The data will be pulled over the summer. </w:t>
      </w:r>
      <w:r w:rsidRPr="00DC41C6">
        <w:rPr>
          <w:rFonts w:cs="Arial"/>
        </w:rPr>
        <w:br/>
      </w:r>
    </w:p>
    <w:p w:rsidR="002E0402" w:rsidRPr="00DC41C6" w:rsidRDefault="001D2A09" w:rsidP="00DC41C6">
      <w:pPr>
        <w:pStyle w:val="ListParagraph"/>
        <w:numPr>
          <w:ilvl w:val="0"/>
          <w:numId w:val="4"/>
        </w:numPr>
        <w:tabs>
          <w:tab w:val="left" w:pos="720"/>
        </w:tabs>
        <w:spacing w:after="0" w:line="240" w:lineRule="auto"/>
        <w:ind w:left="360"/>
        <w:rPr>
          <w:rFonts w:cs="Arial"/>
        </w:rPr>
      </w:pPr>
      <w:r w:rsidRPr="00DC41C6">
        <w:rPr>
          <w:rFonts w:cs="Arial"/>
        </w:rPr>
        <w:t xml:space="preserve">Megan Stark, the Writing Committee Chair updated the Writing Course Guidelines procedure. </w:t>
      </w:r>
      <w:r w:rsidR="002E0402" w:rsidRPr="00DC41C6">
        <w:rPr>
          <w:rFonts w:cs="Arial"/>
        </w:rPr>
        <w:t xml:space="preserve"> </w:t>
      </w:r>
      <w:r w:rsidRPr="00DC41C6">
        <w:rPr>
          <w:rFonts w:cs="Arial"/>
        </w:rPr>
        <w:t xml:space="preserve">The edits are mostly editorial, so the revisions are not on the Faculty Senate Agenda, but are included in the Writing Committee’s annual report. Over the summer a workgroup will be making sure all the information regarding the writing program are in alignment.  Some of the FAQs need to be updated. </w:t>
      </w:r>
      <w:r w:rsidRPr="00DC41C6">
        <w:rPr>
          <w:rFonts w:cs="Arial"/>
        </w:rPr>
        <w:br/>
      </w:r>
      <w:r w:rsidRPr="00DC41C6">
        <w:rPr>
          <w:rFonts w:cs="Arial"/>
        </w:rPr>
        <w:br/>
        <w:t xml:space="preserve">Given there is not the will to enforce prerequisites on intermediate and advanced writing courses, the catalog is actually not accurate.  Registrar Hickman was asked to correct this by removing the words “in order” from the description of the writing requirement. Chair Manuel hopes that this </w:t>
      </w:r>
      <w:r w:rsidRPr="00DC41C6">
        <w:rPr>
          <w:rFonts w:cs="Arial"/>
        </w:rPr>
        <w:lastRenderedPageBreak/>
        <w:t xml:space="preserve">issue will be revisited next year. </w:t>
      </w:r>
      <w:r w:rsidR="00DC41C6" w:rsidRPr="00DC41C6">
        <w:rPr>
          <w:rFonts w:cs="Arial"/>
        </w:rPr>
        <w:t>S</w:t>
      </w:r>
      <w:r w:rsidRPr="00DC41C6">
        <w:rPr>
          <w:rFonts w:cs="Arial"/>
        </w:rPr>
        <w:t>tudent</w:t>
      </w:r>
      <w:r w:rsidR="00DC41C6" w:rsidRPr="00DC41C6">
        <w:rPr>
          <w:rFonts w:cs="Arial"/>
        </w:rPr>
        <w:t xml:space="preserve">s don’t believe they need to complete an intermediate writing course if they have already passed an </w:t>
      </w:r>
      <w:proofErr w:type="gramStart"/>
      <w:r w:rsidR="00DC41C6" w:rsidRPr="00DC41C6">
        <w:rPr>
          <w:rFonts w:cs="Arial"/>
        </w:rPr>
        <w:t>advanced,</w:t>
      </w:r>
      <w:proofErr w:type="gramEnd"/>
      <w:r w:rsidR="00DC41C6" w:rsidRPr="00DC41C6">
        <w:rPr>
          <w:rFonts w:cs="Arial"/>
        </w:rPr>
        <w:t xml:space="preserve"> or a beginning writing course if they have passed an intermediate course.  </w:t>
      </w:r>
      <w:r w:rsidRPr="00DC41C6">
        <w:rPr>
          <w:rFonts w:cs="Arial"/>
        </w:rPr>
        <w:t xml:space="preserve">  </w:t>
      </w:r>
      <w:bookmarkStart w:id="0" w:name="_GoBack"/>
      <w:r w:rsidRPr="00DC41C6">
        <w:rPr>
          <w:rFonts w:cs="Arial"/>
        </w:rPr>
        <w:t xml:space="preserve">Action on the current 27 credit exception from intermediate writing is also still pending. </w:t>
      </w:r>
    </w:p>
    <w:bookmarkEnd w:id="0"/>
    <w:p w:rsidR="004F6B3A" w:rsidRPr="00DC41C6" w:rsidRDefault="004F6B3A" w:rsidP="004F6B3A"/>
    <w:p w:rsidR="0082438B" w:rsidRPr="00DC41C6" w:rsidRDefault="004932A4" w:rsidP="004932A4">
      <w:pPr>
        <w:pStyle w:val="Heading2"/>
        <w:rPr>
          <w:rFonts w:asciiTheme="minorHAnsi" w:hAnsiTheme="minorHAnsi"/>
          <w:sz w:val="22"/>
          <w:szCs w:val="22"/>
        </w:rPr>
      </w:pPr>
      <w:r w:rsidRPr="00DC41C6">
        <w:rPr>
          <w:rFonts w:asciiTheme="minorHAnsi" w:hAnsiTheme="minorHAnsi"/>
          <w:sz w:val="22"/>
          <w:szCs w:val="22"/>
        </w:rPr>
        <w:t>Business Items</w:t>
      </w:r>
      <w:r w:rsidRPr="00DC41C6">
        <w:rPr>
          <w:rFonts w:asciiTheme="minorHAnsi" w:hAnsiTheme="minorHAnsi"/>
          <w:sz w:val="22"/>
          <w:szCs w:val="22"/>
        </w:rPr>
        <w:br/>
      </w:r>
    </w:p>
    <w:p w:rsidR="002E0402" w:rsidRPr="00DC41C6" w:rsidRDefault="001D2A09" w:rsidP="00DC41C6">
      <w:pPr>
        <w:numPr>
          <w:ilvl w:val="0"/>
          <w:numId w:val="4"/>
        </w:numPr>
        <w:tabs>
          <w:tab w:val="left" w:pos="720"/>
        </w:tabs>
        <w:spacing w:after="0" w:line="240" w:lineRule="auto"/>
        <w:ind w:left="360"/>
        <w:rPr>
          <w:rFonts w:cs="Arial"/>
        </w:rPr>
      </w:pPr>
      <w:r w:rsidRPr="00DC41C6">
        <w:rPr>
          <w:rFonts w:cs="Arial"/>
        </w:rPr>
        <w:t xml:space="preserve">Professor Semanoff provided an update on the status of the credit reduction forms for Greek and Latin.  He and Professor Ausland met with Dean McNulty, who has now approved the forms. Her concerns were related to staffing and consistency.  Proficiency means different things for different languages.  </w:t>
      </w:r>
      <w:r w:rsidR="00DC41C6" w:rsidRPr="00DC41C6">
        <w:rPr>
          <w:rFonts w:cs="Arial"/>
        </w:rPr>
        <w:t xml:space="preserve">For Greek and Latin it means to read authentic texts in Greek or Latin. </w:t>
      </w:r>
      <w:r w:rsidRPr="00DC41C6">
        <w:rPr>
          <w:rFonts w:cs="Arial"/>
        </w:rPr>
        <w:t xml:space="preserve">Specified credits </w:t>
      </w:r>
      <w:r w:rsidR="00DC41C6" w:rsidRPr="00DC41C6">
        <w:rPr>
          <w:rFonts w:cs="Arial"/>
        </w:rPr>
        <w:t>are not specified in the</w:t>
      </w:r>
      <w:r w:rsidRPr="00DC41C6">
        <w:rPr>
          <w:rFonts w:cs="Arial"/>
        </w:rPr>
        <w:t xml:space="preserve"> language requirement</w:t>
      </w:r>
      <w:r w:rsidR="00DC41C6" w:rsidRPr="00DC41C6">
        <w:rPr>
          <w:rFonts w:cs="Arial"/>
        </w:rPr>
        <w:t xml:space="preserve">. </w:t>
      </w:r>
      <w:r w:rsidR="00DC41C6" w:rsidRPr="00DC41C6">
        <w:rPr>
          <w:rFonts w:cs="Arial"/>
        </w:rPr>
        <w:br/>
      </w:r>
      <w:r w:rsidR="00DC41C6" w:rsidRPr="00DC41C6">
        <w:rPr>
          <w:rFonts w:cs="Arial"/>
        </w:rPr>
        <w:br/>
        <w:t xml:space="preserve">Once the credits have changed on the courses the credit counts in the catalog will be incorrect.  Chair Manuel hopes these changes can be considered editorial and the Registrar’s Office can make them without requiring additional paper work.  Registrar Hickman agreed. </w:t>
      </w:r>
      <w:r w:rsidR="00DC41C6" w:rsidRPr="00DC41C6">
        <w:rPr>
          <w:rFonts w:cs="Arial"/>
        </w:rPr>
        <w:br/>
      </w:r>
    </w:p>
    <w:p w:rsidR="00DC41C6" w:rsidRPr="00DC41C6" w:rsidRDefault="00DC41C6" w:rsidP="00DC41C6">
      <w:pPr>
        <w:numPr>
          <w:ilvl w:val="0"/>
          <w:numId w:val="4"/>
        </w:numPr>
        <w:tabs>
          <w:tab w:val="left" w:pos="720"/>
        </w:tabs>
        <w:spacing w:after="0" w:line="240" w:lineRule="auto"/>
        <w:ind w:left="360"/>
        <w:rPr>
          <w:rFonts w:cs="Arial"/>
        </w:rPr>
      </w:pPr>
      <w:r w:rsidRPr="00DC41C6">
        <w:rPr>
          <w:rFonts w:cs="Arial"/>
        </w:rPr>
        <w:t xml:space="preserve">The Writing Committee approved a late request to extend the writing designation for an experimental course.  The instructor did not realize a request was needed each time it was offered. LSCI 391, Who Owns Culture was approved for an intermediate writing course. </w:t>
      </w:r>
      <w:r w:rsidRPr="00DC41C6">
        <w:rPr>
          <w:rFonts w:cs="Arial"/>
        </w:rPr>
        <w:br/>
      </w:r>
    </w:p>
    <w:p w:rsidR="00DC41C6" w:rsidRPr="00DC41C6" w:rsidRDefault="00DC41C6" w:rsidP="00DC41C6">
      <w:pPr>
        <w:numPr>
          <w:ilvl w:val="0"/>
          <w:numId w:val="4"/>
        </w:numPr>
        <w:tabs>
          <w:tab w:val="left" w:pos="720"/>
        </w:tabs>
        <w:spacing w:after="0" w:line="240" w:lineRule="auto"/>
        <w:ind w:left="360"/>
        <w:rPr>
          <w:rFonts w:cs="Arial"/>
        </w:rPr>
      </w:pPr>
      <w:r w:rsidRPr="00DC41C6">
        <w:rPr>
          <w:rFonts w:cs="Arial"/>
        </w:rPr>
        <w:t xml:space="preserve">The Dormant Course Report was sent to members prior to the meeting.  Chair Manuel made some suggestions to communicate to various departments. The list was approved.  </w:t>
      </w:r>
      <w:r w:rsidRPr="00DC41C6">
        <w:rPr>
          <w:rFonts w:cs="Arial"/>
        </w:rPr>
        <w:br/>
      </w:r>
    </w:p>
    <w:p w:rsidR="00DC41C6" w:rsidRPr="00DC41C6" w:rsidRDefault="00DC41C6" w:rsidP="00DC41C6">
      <w:pPr>
        <w:numPr>
          <w:ilvl w:val="1"/>
          <w:numId w:val="4"/>
        </w:numPr>
        <w:tabs>
          <w:tab w:val="left" w:pos="720"/>
        </w:tabs>
        <w:spacing w:after="0" w:line="240" w:lineRule="auto"/>
        <w:rPr>
          <w:rFonts w:cs="Arial"/>
        </w:rPr>
      </w:pPr>
      <w:r w:rsidRPr="00DC41C6">
        <w:rPr>
          <w:rFonts w:cs="Arial"/>
        </w:rPr>
        <w:t>AHMS 160 and 212 – give department another year</w:t>
      </w:r>
    </w:p>
    <w:p w:rsidR="00DC41C6" w:rsidRPr="00DC41C6" w:rsidRDefault="00DC41C6" w:rsidP="00DC41C6">
      <w:pPr>
        <w:numPr>
          <w:ilvl w:val="1"/>
          <w:numId w:val="4"/>
        </w:numPr>
        <w:tabs>
          <w:tab w:val="left" w:pos="720"/>
        </w:tabs>
        <w:spacing w:after="0" w:line="240" w:lineRule="auto"/>
        <w:rPr>
          <w:rFonts w:cs="Arial"/>
        </w:rPr>
      </w:pPr>
      <w:r w:rsidRPr="00DC41C6">
        <w:rPr>
          <w:rFonts w:cs="Arial"/>
        </w:rPr>
        <w:t>LS 212 S Southeast Asia Culture and Civilization can be deleted.</w:t>
      </w:r>
    </w:p>
    <w:p w:rsidR="00DC41C6" w:rsidRPr="00DC41C6" w:rsidRDefault="00DC41C6" w:rsidP="00DC41C6">
      <w:pPr>
        <w:numPr>
          <w:ilvl w:val="1"/>
          <w:numId w:val="4"/>
        </w:numPr>
        <w:tabs>
          <w:tab w:val="left" w:pos="720"/>
        </w:tabs>
        <w:spacing w:after="0" w:line="240" w:lineRule="auto"/>
        <w:rPr>
          <w:rFonts w:cs="Arial"/>
        </w:rPr>
      </w:pPr>
      <w:r w:rsidRPr="00DC41C6">
        <w:rPr>
          <w:rFonts w:cs="Arial"/>
        </w:rPr>
        <w:t xml:space="preserve">HIST </w:t>
      </w:r>
      <w:proofErr w:type="gramStart"/>
      <w:r w:rsidRPr="00DC41C6">
        <w:rPr>
          <w:rFonts w:cs="Arial"/>
        </w:rPr>
        <w:t>464  History</w:t>
      </w:r>
      <w:proofErr w:type="gramEnd"/>
      <w:r w:rsidRPr="00DC41C6">
        <w:rPr>
          <w:rFonts w:cs="Arial"/>
        </w:rPr>
        <w:t xml:space="preserve"> of Indian Affairs to 1776 can be deleted.  The primary course is NASX 464.  HIST 464 </w:t>
      </w:r>
      <w:proofErr w:type="gramStart"/>
      <w:r w:rsidRPr="00DC41C6">
        <w:rPr>
          <w:rFonts w:cs="Arial"/>
        </w:rPr>
        <w:t>is</w:t>
      </w:r>
      <w:proofErr w:type="gramEnd"/>
      <w:r w:rsidRPr="00DC41C6">
        <w:rPr>
          <w:rFonts w:cs="Arial"/>
        </w:rPr>
        <w:t xml:space="preserve"> an old </w:t>
      </w:r>
      <w:proofErr w:type="spellStart"/>
      <w:r w:rsidRPr="00DC41C6">
        <w:rPr>
          <w:rFonts w:cs="Arial"/>
        </w:rPr>
        <w:t>crosslisting</w:t>
      </w:r>
      <w:proofErr w:type="spellEnd"/>
      <w:r w:rsidRPr="00DC41C6">
        <w:rPr>
          <w:rFonts w:cs="Arial"/>
        </w:rPr>
        <w:t xml:space="preserve">. </w:t>
      </w:r>
    </w:p>
    <w:p w:rsidR="00DC41C6" w:rsidRPr="00DC41C6" w:rsidRDefault="00DC41C6" w:rsidP="00DC41C6">
      <w:pPr>
        <w:numPr>
          <w:ilvl w:val="1"/>
          <w:numId w:val="4"/>
        </w:numPr>
        <w:tabs>
          <w:tab w:val="left" w:pos="720"/>
        </w:tabs>
        <w:spacing w:after="0" w:line="240" w:lineRule="auto"/>
        <w:rPr>
          <w:rFonts w:cs="Arial"/>
        </w:rPr>
      </w:pPr>
      <w:r w:rsidRPr="00DC41C6">
        <w:rPr>
          <w:rFonts w:cs="Arial"/>
        </w:rPr>
        <w:t>PSCI 326 Politics of Africa – suggest department use a reserved course number.</w:t>
      </w:r>
    </w:p>
    <w:p w:rsidR="00DC41C6" w:rsidRPr="00DC41C6" w:rsidRDefault="00DC41C6" w:rsidP="00DC41C6">
      <w:pPr>
        <w:numPr>
          <w:ilvl w:val="1"/>
          <w:numId w:val="4"/>
        </w:numPr>
        <w:tabs>
          <w:tab w:val="left" w:pos="720"/>
        </w:tabs>
        <w:spacing w:after="0" w:line="240" w:lineRule="auto"/>
        <w:rPr>
          <w:rFonts w:cs="Arial"/>
        </w:rPr>
      </w:pPr>
      <w:r w:rsidRPr="00DC41C6">
        <w:rPr>
          <w:rFonts w:cs="Arial"/>
        </w:rPr>
        <w:t>PSCI 350 and 450- suggest department use a reserved course number</w:t>
      </w:r>
    </w:p>
    <w:p w:rsidR="002E0402" w:rsidRPr="00DC41C6" w:rsidRDefault="002E0402" w:rsidP="004F6B3A">
      <w:pPr>
        <w:pStyle w:val="ListParagraph"/>
        <w:rPr>
          <w:rFonts w:cs="Arial"/>
        </w:rPr>
      </w:pPr>
    </w:p>
    <w:p w:rsidR="004F6B3A" w:rsidRPr="00DC41C6" w:rsidRDefault="00DC41C6" w:rsidP="00DC41C6">
      <w:pPr>
        <w:numPr>
          <w:ilvl w:val="0"/>
          <w:numId w:val="4"/>
        </w:numPr>
        <w:tabs>
          <w:tab w:val="left" w:pos="360"/>
        </w:tabs>
        <w:spacing w:after="0" w:line="240" w:lineRule="auto"/>
        <w:ind w:left="360"/>
        <w:rPr>
          <w:rFonts w:cs="Arial"/>
        </w:rPr>
      </w:pPr>
      <w:r w:rsidRPr="00DC41C6">
        <w:rPr>
          <w:rFonts w:cs="Arial"/>
        </w:rPr>
        <w:t xml:space="preserve">Camie and Jasmine worked to create a new Academic Request form that will take the place of the old Level I and Level II forms. The revisions bring the form into alignment with the Board of Regents procedure changes.  ASCRC approved the form. The item template will now be completed by the Provost’s Office.  In the past Jasmine would need to ask programs for the CIP code.  Having the code on the form will eliminate this step. </w:t>
      </w:r>
      <w:r w:rsidRPr="00DC41C6">
        <w:rPr>
          <w:rFonts w:cs="Arial"/>
        </w:rPr>
        <w:br/>
      </w:r>
    </w:p>
    <w:p w:rsidR="004F6B3A" w:rsidRPr="00DC41C6" w:rsidRDefault="00DC41C6" w:rsidP="004F6B3A">
      <w:pPr>
        <w:numPr>
          <w:ilvl w:val="0"/>
          <w:numId w:val="4"/>
        </w:numPr>
        <w:tabs>
          <w:tab w:val="left" w:pos="360"/>
        </w:tabs>
        <w:spacing w:after="0" w:line="240" w:lineRule="auto"/>
        <w:ind w:left="360"/>
        <w:rPr>
          <w:rFonts w:cs="Arial"/>
        </w:rPr>
      </w:pPr>
      <w:r w:rsidRPr="00DC41C6">
        <w:rPr>
          <w:rFonts w:cs="Arial"/>
        </w:rPr>
        <w:t>The</w:t>
      </w:r>
      <w:r w:rsidR="004F6B3A" w:rsidRPr="00DC41C6">
        <w:rPr>
          <w:rFonts w:cs="Arial"/>
        </w:rPr>
        <w:t xml:space="preserve"> Deadline memo </w:t>
      </w:r>
      <w:r w:rsidRPr="00DC41C6">
        <w:rPr>
          <w:rFonts w:cs="Arial"/>
        </w:rPr>
        <w:t xml:space="preserve">was reviewed and approved.  It will be on the Senate agenda as information and sent to all faculty members before the end of the semester. </w:t>
      </w:r>
      <w:r w:rsidRPr="00DC41C6">
        <w:rPr>
          <w:rFonts w:cs="Arial"/>
        </w:rPr>
        <w:br/>
      </w:r>
    </w:p>
    <w:p w:rsidR="004F6B3A" w:rsidRPr="00DC41C6" w:rsidRDefault="00DC41C6" w:rsidP="00DC41C6">
      <w:pPr>
        <w:numPr>
          <w:ilvl w:val="0"/>
          <w:numId w:val="4"/>
        </w:numPr>
        <w:tabs>
          <w:tab w:val="left" w:pos="360"/>
        </w:tabs>
        <w:spacing w:after="0" w:line="240" w:lineRule="auto"/>
        <w:ind w:left="360"/>
        <w:rPr>
          <w:rFonts w:cs="Arial"/>
        </w:rPr>
      </w:pPr>
      <w:r w:rsidRPr="00DC41C6">
        <w:rPr>
          <w:rFonts w:cs="Arial"/>
        </w:rPr>
        <w:t>The d</w:t>
      </w:r>
      <w:r w:rsidR="004F6B3A" w:rsidRPr="00DC41C6">
        <w:rPr>
          <w:rFonts w:cs="Arial"/>
        </w:rPr>
        <w:t>raft Annual Report</w:t>
      </w:r>
      <w:r w:rsidRPr="00DC41C6">
        <w:rPr>
          <w:rFonts w:cs="Arial"/>
        </w:rPr>
        <w:t xml:space="preserve"> was sent to committee members prior to the meeting.  It will be updated to include the items from today’s meeting.  Members were encouraged to send edits or comments. </w:t>
      </w:r>
      <w:r w:rsidRPr="00DC41C6">
        <w:rPr>
          <w:rFonts w:cs="Arial"/>
        </w:rPr>
        <w:br/>
      </w:r>
    </w:p>
    <w:p w:rsidR="00DC41C6" w:rsidRPr="00DC41C6" w:rsidRDefault="00DC41C6" w:rsidP="00DC41C6">
      <w:pPr>
        <w:numPr>
          <w:ilvl w:val="0"/>
          <w:numId w:val="4"/>
        </w:numPr>
        <w:tabs>
          <w:tab w:val="left" w:pos="360"/>
        </w:tabs>
        <w:spacing w:after="0" w:line="240" w:lineRule="auto"/>
        <w:ind w:left="360"/>
        <w:rPr>
          <w:rFonts w:cs="Arial"/>
        </w:rPr>
      </w:pPr>
      <w:r w:rsidRPr="00DC41C6">
        <w:rPr>
          <w:rFonts w:cs="Arial"/>
        </w:rPr>
        <w:t xml:space="preserve">ASCRC Members and Chair Manuel were thanked separately for their efforts this year.  It was a busy year. </w:t>
      </w:r>
    </w:p>
    <w:p w:rsidR="004F6B3A" w:rsidRPr="004F6B3A" w:rsidRDefault="004F6B3A" w:rsidP="004F6B3A"/>
    <w:p w:rsidR="00DD7DBD" w:rsidRDefault="00DD7DBD" w:rsidP="00DD7DBD">
      <w:pPr>
        <w:pStyle w:val="Heading2"/>
      </w:pPr>
      <w:r>
        <w:t>Adjournment</w:t>
      </w:r>
    </w:p>
    <w:p w:rsidR="00DD7DBD" w:rsidRPr="00DD7DBD" w:rsidRDefault="00DD7DBD" w:rsidP="00DD7DBD">
      <w:r>
        <w:br/>
        <w:t xml:space="preserve">The meeting was adjourned at </w:t>
      </w:r>
      <w:r w:rsidR="00DC41C6">
        <w:t>3</w:t>
      </w:r>
      <w:r>
        <w:t>:</w:t>
      </w:r>
      <w:r w:rsidR="00DC41C6">
        <w:t>25</w:t>
      </w:r>
      <w:r>
        <w:t xml:space="preserve"> p.m.</w:t>
      </w:r>
    </w:p>
    <w:sectPr w:rsidR="00DD7DBD" w:rsidRPr="00DD7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423F0"/>
    <w:multiLevelType w:val="hybridMultilevel"/>
    <w:tmpl w:val="4C16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E421C"/>
    <w:multiLevelType w:val="hybridMultilevel"/>
    <w:tmpl w:val="B8844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615D92"/>
    <w:multiLevelType w:val="hybridMultilevel"/>
    <w:tmpl w:val="4A10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2E62DA"/>
    <w:multiLevelType w:val="hybridMultilevel"/>
    <w:tmpl w:val="B0067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8B"/>
    <w:rsid w:val="000029D4"/>
    <w:rsid w:val="000042DD"/>
    <w:rsid w:val="00006579"/>
    <w:rsid w:val="0001006E"/>
    <w:rsid w:val="00010614"/>
    <w:rsid w:val="00010AEC"/>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1FF1"/>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2A09"/>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4684"/>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0402"/>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2A4"/>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6B3A"/>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5C06"/>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27436"/>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38B"/>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776"/>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1E70"/>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C7C3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6730B"/>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5B41"/>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2629"/>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1AB7"/>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41C6"/>
    <w:rsid w:val="00DC536E"/>
    <w:rsid w:val="00DD11F7"/>
    <w:rsid w:val="00DD2433"/>
    <w:rsid w:val="00DD24CE"/>
    <w:rsid w:val="00DD3A9E"/>
    <w:rsid w:val="00DD43B4"/>
    <w:rsid w:val="00DD4FAD"/>
    <w:rsid w:val="00DD6B7D"/>
    <w:rsid w:val="00DD6EBA"/>
    <w:rsid w:val="00DD7DBD"/>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49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2A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932A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2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32A4"/>
    <w:rPr>
      <w:rFonts w:ascii="Cambria" w:eastAsia="Times New Roman" w:hAnsi="Cambria" w:cs="Times New Roman"/>
      <w:b/>
      <w:bCs/>
      <w:i/>
      <w:iCs/>
      <w:sz w:val="28"/>
      <w:szCs w:val="28"/>
    </w:rPr>
  </w:style>
  <w:style w:type="paragraph" w:styleId="ListParagraph">
    <w:name w:val="List Paragraph"/>
    <w:basedOn w:val="Normal"/>
    <w:uiPriority w:val="34"/>
    <w:qFormat/>
    <w:rsid w:val="00EC6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2A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932A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2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32A4"/>
    <w:rPr>
      <w:rFonts w:ascii="Cambria" w:eastAsia="Times New Roman" w:hAnsi="Cambria" w:cs="Times New Roman"/>
      <w:b/>
      <w:bCs/>
      <w:i/>
      <w:iCs/>
      <w:sz w:val="28"/>
      <w:szCs w:val="28"/>
    </w:rPr>
  </w:style>
  <w:style w:type="paragraph" w:styleId="ListParagraph">
    <w:name w:val="List Paragraph"/>
    <w:basedOn w:val="Normal"/>
    <w:uiPriority w:val="34"/>
    <w:qFormat/>
    <w:rsid w:val="00EC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7</cp:revision>
  <dcterms:created xsi:type="dcterms:W3CDTF">2016-05-03T15:44:00Z</dcterms:created>
  <dcterms:modified xsi:type="dcterms:W3CDTF">2016-07-21T04:17:00Z</dcterms:modified>
</cp:coreProperties>
</file>