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591867">
        <w:t>March 21</w:t>
      </w:r>
      <w:r w:rsidR="00DE2E24">
        <w:t>, 2019</w:t>
      </w:r>
      <w:r>
        <w:t xml:space="preserve">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7C4047" w:rsidRDefault="007C4047" w:rsidP="007C4047">
      <w:pPr>
        <w:pStyle w:val="ListParagraph"/>
        <w:numPr>
          <w:ilvl w:val="0"/>
          <w:numId w:val="25"/>
        </w:numPr>
        <w:spacing w:line="252" w:lineRule="auto"/>
      </w:pPr>
      <w:r>
        <w:t xml:space="preserve">Approve minutes from </w:t>
      </w:r>
      <w:hyperlink r:id="rId6" w:history="1">
        <w:r w:rsidR="00E02ED9" w:rsidRPr="00E46C7E">
          <w:rPr>
            <w:rStyle w:val="Hyperlink"/>
          </w:rPr>
          <w:t>2</w:t>
        </w:r>
        <w:r w:rsidR="003C5C41" w:rsidRPr="00E46C7E">
          <w:rPr>
            <w:rStyle w:val="Hyperlink"/>
          </w:rPr>
          <w:t>/</w:t>
        </w:r>
        <w:r w:rsidR="00591867">
          <w:rPr>
            <w:rStyle w:val="Hyperlink"/>
          </w:rPr>
          <w:t>28</w:t>
        </w:r>
        <w:r w:rsidR="003C5C41" w:rsidRPr="00E46C7E">
          <w:rPr>
            <w:rStyle w:val="Hyperlink"/>
          </w:rPr>
          <w:t>/19</w:t>
        </w:r>
      </w:hyperlink>
      <w:r>
        <w:t xml:space="preserve"> meeting</w:t>
      </w:r>
    </w:p>
    <w:p w:rsidR="007C4047" w:rsidRDefault="007C4047" w:rsidP="007C4047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t xml:space="preserve">Public Comment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Communication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Chair’s report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Business items:</w:t>
      </w:r>
    </w:p>
    <w:p w:rsidR="00F80EFA" w:rsidRDefault="00F80EFA" w:rsidP="0059442A">
      <w:pPr>
        <w:pStyle w:val="ListParagraph"/>
        <w:spacing w:line="252" w:lineRule="auto"/>
      </w:pP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Evaluation of the Administration </w:t>
      </w:r>
      <w:r w:rsidR="00F01584">
        <w:t>Questions</w:t>
      </w:r>
      <w:r w:rsidR="00CF1A0E">
        <w:t xml:space="preserve"> Edits</w:t>
      </w:r>
    </w:p>
    <w:p w:rsidR="00CF1A0E" w:rsidRDefault="00CF1A0E" w:rsidP="00CF1A0E">
      <w:pPr>
        <w:pStyle w:val="ListParagraph"/>
        <w:numPr>
          <w:ilvl w:val="1"/>
          <w:numId w:val="26"/>
        </w:numPr>
        <w:spacing w:line="252" w:lineRule="auto"/>
      </w:pPr>
      <w:r>
        <w:t xml:space="preserve">Two interim deans do not qualify for being on the job for an academic year (McNulty &amp; Downing). </w:t>
      </w:r>
      <w:proofErr w:type="gramStart"/>
      <w:r>
        <w:t>Should</w:t>
      </w:r>
      <w:proofErr w:type="gramEnd"/>
      <w:r>
        <w:t xml:space="preserve"> the criteria be changed to one semester? Or should they not be reviewed?  </w:t>
      </w:r>
    </w:p>
    <w:p w:rsidR="00CF1A0E" w:rsidRDefault="00CF1A0E" w:rsidP="00CF1A0E">
      <w:pPr>
        <w:pStyle w:val="ListParagraph"/>
        <w:numPr>
          <w:ilvl w:val="1"/>
          <w:numId w:val="26"/>
        </w:numPr>
        <w:spacing w:line="252" w:lineRule="auto"/>
      </w:pPr>
      <w:r>
        <w:t xml:space="preserve">The VPRCS effectively communicates to faculty how the </w:t>
      </w:r>
      <w:r w:rsidRPr="00986B1D">
        <w:rPr>
          <w:u w:val="single"/>
        </w:rPr>
        <w:t>recovered F&amp;A</w:t>
      </w:r>
      <w:r>
        <w:t xml:space="preserve"> from grants are spent.</w:t>
      </w:r>
    </w:p>
    <w:p w:rsidR="00986B1D" w:rsidRDefault="00986B1D" w:rsidP="00986B1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color w:val="1F497D"/>
        </w:rPr>
      </w:pPr>
      <w:r>
        <w:t>Consider adding:</w:t>
      </w:r>
      <w:r w:rsidRPr="00986B1D">
        <w:rPr>
          <w:color w:val="1F497D"/>
        </w:rPr>
        <w:t xml:space="preserve"> </w:t>
      </w:r>
      <w:r w:rsidRPr="00986B1D">
        <w:t>The Dean effectively promotes a positive and welcoming culture that helps build community within the College</w:t>
      </w:r>
      <w:r>
        <w:t>. (Dean DeLuca)</w:t>
      </w:r>
    </w:p>
    <w:p w:rsidR="00CF1A0E" w:rsidRDefault="00986B1D" w:rsidP="00CF1A0E">
      <w:pPr>
        <w:pStyle w:val="ListParagraph"/>
        <w:numPr>
          <w:ilvl w:val="1"/>
          <w:numId w:val="26"/>
        </w:numPr>
        <w:spacing w:line="252" w:lineRule="auto"/>
      </w:pPr>
      <w:r>
        <w:t xml:space="preserve">Changes to units managed by Vice Provost Lindsay.   Should the Centers be included given center review? </w:t>
      </w:r>
    </w:p>
    <w:p w:rsidR="00986B1D" w:rsidRPr="00986B1D" w:rsidRDefault="00986B1D" w:rsidP="00986B1D">
      <w:pPr>
        <w:pStyle w:val="ListParagraph"/>
        <w:numPr>
          <w:ilvl w:val="2"/>
          <w:numId w:val="26"/>
        </w:numPr>
        <w:jc w:val="both"/>
        <w:rPr>
          <w:strike/>
        </w:rPr>
      </w:pPr>
      <w:r w:rsidRPr="00986B1D">
        <w:rPr>
          <w:strike/>
        </w:rPr>
        <w:t>Office of Student Success</w:t>
      </w:r>
      <w:r w:rsidRPr="00986B1D">
        <w:rPr>
          <w:rFonts w:ascii="Times New Roman" w:hAnsi="Times New Roman" w:cs="Times New Roman"/>
          <w:strike/>
          <w:sz w:val="14"/>
          <w:szCs w:val="14"/>
        </w:rPr>
        <w:t xml:space="preserve">   </w:t>
      </w:r>
    </w:p>
    <w:p w:rsidR="00986B1D" w:rsidRDefault="00986B1D" w:rsidP="00986B1D">
      <w:pPr>
        <w:pStyle w:val="ListParagraph"/>
        <w:numPr>
          <w:ilvl w:val="2"/>
          <w:numId w:val="26"/>
        </w:numPr>
        <w:jc w:val="both"/>
      </w:pPr>
      <w:r>
        <w:t>Global Engagement Office</w:t>
      </w:r>
    </w:p>
    <w:p w:rsidR="00986B1D" w:rsidRDefault="00986B1D" w:rsidP="00986B1D">
      <w:pPr>
        <w:pStyle w:val="ListParagraph"/>
        <w:numPr>
          <w:ilvl w:val="2"/>
          <w:numId w:val="26"/>
        </w:numPr>
        <w:jc w:val="both"/>
      </w:pPr>
      <w:r>
        <w:t>Global Leadership Initiative</w:t>
      </w:r>
    </w:p>
    <w:p w:rsidR="00986B1D" w:rsidRDefault="00986B1D" w:rsidP="00986B1D">
      <w:pPr>
        <w:pStyle w:val="ListParagraph"/>
        <w:numPr>
          <w:ilvl w:val="2"/>
          <w:numId w:val="26"/>
        </w:numPr>
        <w:jc w:val="both"/>
      </w:pPr>
      <w:r>
        <w:t>Mansfield Center</w:t>
      </w:r>
    </w:p>
    <w:p w:rsidR="00986B1D" w:rsidRPr="00986B1D" w:rsidRDefault="00986B1D" w:rsidP="00986B1D">
      <w:pPr>
        <w:pStyle w:val="ListParagraph"/>
        <w:numPr>
          <w:ilvl w:val="2"/>
          <w:numId w:val="26"/>
        </w:numPr>
        <w:jc w:val="both"/>
      </w:pPr>
      <w:r w:rsidRPr="00986B1D">
        <w:t>Central and Southwest Asian Studies Center</w:t>
      </w:r>
    </w:p>
    <w:p w:rsidR="007E4801" w:rsidRDefault="007E4801" w:rsidP="007E4801">
      <w:pPr>
        <w:pStyle w:val="ListParagraph"/>
        <w:spacing w:line="252" w:lineRule="auto"/>
        <w:ind w:left="1440"/>
      </w:pPr>
    </w:p>
    <w:p w:rsidR="00591867" w:rsidRDefault="0059186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Review Senate Dates for next academic year / </w:t>
      </w:r>
      <w:hyperlink r:id="rId7" w:history="1">
        <w:r w:rsidRPr="00591867">
          <w:rPr>
            <w:rStyle w:val="Hyperlink"/>
          </w:rPr>
          <w:t>academic calendars</w:t>
        </w:r>
      </w:hyperlink>
    </w:p>
    <w:p w:rsidR="00591867" w:rsidRDefault="00BA29F5" w:rsidP="00591867">
      <w:pPr>
        <w:pStyle w:val="ListParagraph"/>
        <w:numPr>
          <w:ilvl w:val="1"/>
          <w:numId w:val="26"/>
        </w:numPr>
        <w:spacing w:line="252" w:lineRule="auto"/>
      </w:pPr>
      <w:r>
        <w:t>Autumn 9/19 (BOR 9/12), 10/10, 11/14, 12/5</w:t>
      </w:r>
    </w:p>
    <w:p w:rsidR="00BA29F5" w:rsidRDefault="00BA29F5" w:rsidP="00591867">
      <w:pPr>
        <w:pStyle w:val="ListParagraph"/>
        <w:numPr>
          <w:ilvl w:val="1"/>
          <w:numId w:val="26"/>
        </w:numPr>
        <w:spacing w:line="252" w:lineRule="auto"/>
      </w:pPr>
      <w:r>
        <w:t>Spring 1/23, 2/20, 3/26, 4/23</w:t>
      </w:r>
    </w:p>
    <w:p w:rsidR="00261A3D" w:rsidRDefault="00261A3D" w:rsidP="007A4D2F">
      <w:pPr>
        <w:pStyle w:val="ListParagraph"/>
        <w:spacing w:line="252" w:lineRule="auto"/>
        <w:ind w:left="1440"/>
      </w:pPr>
    </w:p>
    <w:p w:rsidR="001221C0" w:rsidRDefault="00B27F4A" w:rsidP="00B27F4A">
      <w:pPr>
        <w:pStyle w:val="ListParagraph"/>
        <w:numPr>
          <w:ilvl w:val="0"/>
          <w:numId w:val="24"/>
        </w:numPr>
      </w:pPr>
      <w:r>
        <w:t>Center Review</w:t>
      </w:r>
      <w:r w:rsidR="00C332C7">
        <w:t>s</w:t>
      </w:r>
      <w:r w:rsidR="005323FF">
        <w:t xml:space="preserve"> </w:t>
      </w:r>
    </w:p>
    <w:p w:rsidR="00E51941" w:rsidRDefault="00020D25" w:rsidP="00E10AEB">
      <w:pPr>
        <w:pStyle w:val="ListParagraph"/>
        <w:numPr>
          <w:ilvl w:val="1"/>
          <w:numId w:val="24"/>
        </w:numPr>
      </w:pPr>
      <w:hyperlink r:id="rId8" w:history="1">
        <w:r w:rsidR="005323FF" w:rsidRPr="00C332C7">
          <w:rPr>
            <w:rStyle w:val="Hyperlink"/>
            <w:rFonts w:cstheme="minorHAnsi"/>
          </w:rPr>
          <w:t>University Center Policy (310)</w:t>
        </w:r>
      </w:hyperlink>
      <w:r w:rsidR="005323FF" w:rsidRPr="00C332C7">
        <w:rPr>
          <w:rFonts w:cstheme="minorHAnsi"/>
          <w:color w:val="000000"/>
        </w:rPr>
        <w:t xml:space="preserve">  / </w:t>
      </w:r>
      <w:r w:rsidR="005323FF" w:rsidRPr="00C332C7">
        <w:rPr>
          <w:rStyle w:val="Hyperlink"/>
          <w:i/>
        </w:rPr>
        <w:t xml:space="preserve">ECOS Center Review Procedure  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079"/>
        <w:gridCol w:w="1877"/>
      </w:tblGrid>
      <w:tr w:rsidR="005323FF" w:rsidTr="00645BEB"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rStyle w:val="Hyperlink"/>
                <w:i/>
              </w:rPr>
              <w:t xml:space="preserve"> (</w:t>
            </w:r>
            <w:hyperlink r:id="rId9" w:history="1">
              <w:r w:rsidRPr="005323FF">
                <w:rPr>
                  <w:rStyle w:val="Hyperlink"/>
                  <w:i/>
                </w:rPr>
                <w:t>BOX</w:t>
              </w:r>
            </w:hyperlink>
            <w:r w:rsidRPr="005323FF">
              <w:rPr>
                <w:rStyle w:val="Hyperlink"/>
                <w:i/>
              </w:rPr>
              <w:t xml:space="preserve">  </w:t>
            </w:r>
            <w:r w:rsidRPr="005323FF">
              <w:rPr>
                <w:i/>
              </w:rPr>
              <w:t xml:space="preserve">/ </w:t>
            </w:r>
            <w:hyperlink r:id="rId10" w:history="1">
              <w:r w:rsidRPr="005323FF">
                <w:rPr>
                  <w:rStyle w:val="Hyperlink"/>
                  <w:i/>
                </w:rPr>
                <w:t>Past Reviews</w:t>
              </w:r>
            </w:hyperlink>
            <w:r w:rsidRPr="005323FF">
              <w:rPr>
                <w:rStyle w:val="Hyperlink"/>
                <w:i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C332C7">
            <w:pPr>
              <w:spacing w:after="0"/>
              <w:rPr>
                <w:rFonts w:ascii="Calibri" w:hAnsi="Calibri" w:cs="Calibri"/>
                <w:bCs/>
              </w:rPr>
            </w:pPr>
            <w:r w:rsidRPr="00C332C7">
              <w:rPr>
                <w:bCs/>
              </w:rPr>
              <w:t xml:space="preserve">Bureau of Business and Economic Research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993D06">
            <w:pPr>
              <w:spacing w:after="0"/>
              <w:rPr>
                <w:rFonts w:ascii="Calibri" w:hAnsi="Calibri" w:cs="Calibri"/>
                <w:bCs/>
              </w:rPr>
            </w:pPr>
            <w:r w:rsidRPr="00C332C7">
              <w:rPr>
                <w:bCs/>
              </w:rPr>
              <w:t>Clinical Psychology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326C0D">
            <w:pPr>
              <w:spacing w:after="0"/>
              <w:rPr>
                <w:rFonts w:ascii="Calibri" w:hAnsi="Calibri" w:cs="Calibri"/>
              </w:rPr>
            </w:pPr>
            <w:r w:rsidRPr="00C332C7">
              <w:t xml:space="preserve">Montana Geriatric Education Center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</w:tr>
      <w:tr w:rsidR="007A4D2F" w:rsidTr="006E27A2">
        <w:trPr>
          <w:trHeight w:val="24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Pr="00C332C7" w:rsidRDefault="007A4D2F" w:rsidP="006E27A2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Neural Injury Center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Ratto-Parks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Semanoff</w:t>
            </w:r>
          </w:p>
        </w:tc>
      </w:tr>
      <w:tr w:rsidR="007A4D2F" w:rsidTr="006E27A2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Rural Institute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Semanoff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Johnstone</w:t>
            </w:r>
          </w:p>
        </w:tc>
      </w:tr>
    </w:tbl>
    <w:p w:rsidR="007A4D2F" w:rsidRDefault="007A4D2F" w:rsidP="007A4D2F">
      <w:pPr>
        <w:pStyle w:val="ListParagraph"/>
        <w:ind w:left="1080"/>
      </w:pPr>
    </w:p>
    <w:p w:rsidR="001A1F94" w:rsidRDefault="007E4801" w:rsidP="00BA29F5">
      <w:pPr>
        <w:pStyle w:val="ListParagraph"/>
        <w:numPr>
          <w:ilvl w:val="0"/>
          <w:numId w:val="24"/>
        </w:numPr>
      </w:pPr>
      <w:r>
        <w:lastRenderedPageBreak/>
        <w:t>Elections – issue with changes for fall semester not reflected in Banner at time of spring elections – Should the procedure be revised?</w:t>
      </w:r>
    </w:p>
    <w:p w:rsidR="007E4801" w:rsidRDefault="00020D25" w:rsidP="001A1F94">
      <w:pPr>
        <w:pStyle w:val="ListParagraph"/>
        <w:numPr>
          <w:ilvl w:val="1"/>
          <w:numId w:val="24"/>
        </w:numPr>
      </w:pPr>
      <w:r>
        <w:t>Voting Groups short ballot entries</w:t>
      </w:r>
      <w:bookmarkStart w:id="0" w:name="_GoBack"/>
      <w:bookmarkEnd w:id="0"/>
      <w:r w:rsidR="00CF1A0E">
        <w:br/>
      </w:r>
    </w:p>
    <w:p w:rsidR="00CF1A0E" w:rsidRDefault="00CF1A0E" w:rsidP="00BA29F5">
      <w:pPr>
        <w:pStyle w:val="ListParagraph"/>
        <w:numPr>
          <w:ilvl w:val="0"/>
          <w:numId w:val="24"/>
        </w:numPr>
      </w:pPr>
      <w:r>
        <w:t xml:space="preserve">Develop procedure for Program Move Review in accordance with </w:t>
      </w:r>
      <w:hyperlink r:id="rId11" w:history="1">
        <w:r w:rsidRPr="008E4D68">
          <w:rPr>
            <w:rFonts w:ascii="Helvetica" w:eastAsia="Times New Roman" w:hAnsi="Helvetica" w:cs="Helvetica"/>
            <w:color w:val="961125"/>
            <w:sz w:val="21"/>
            <w:szCs w:val="21"/>
            <w:u w:val="single"/>
          </w:rPr>
          <w:t>Intercollegiate Graduate Program Move Process Resolution</w:t>
        </w:r>
      </w:hyperlink>
      <w:r>
        <w:rPr>
          <w:rFonts w:ascii="Helvetica" w:eastAsia="Times New Roman" w:hAnsi="Helvetica" w:cs="Helvetica"/>
          <w:color w:val="961125"/>
          <w:sz w:val="21"/>
          <w:szCs w:val="21"/>
          <w:u w:val="single"/>
        </w:rPr>
        <w:br/>
      </w:r>
    </w:p>
    <w:p w:rsidR="00BA29F5" w:rsidRDefault="00BA29F5" w:rsidP="00BA29F5">
      <w:pPr>
        <w:pStyle w:val="ListParagraph"/>
        <w:numPr>
          <w:ilvl w:val="0"/>
          <w:numId w:val="24"/>
        </w:numPr>
      </w:pPr>
      <w:r>
        <w:t xml:space="preserve">Review </w:t>
      </w:r>
      <w:hyperlink r:id="rId12" w:history="1">
        <w:r w:rsidRPr="00BA29F5">
          <w:rPr>
            <w:rStyle w:val="Hyperlink"/>
          </w:rPr>
          <w:t>program of the senate</w:t>
        </w:r>
      </w:hyperlink>
      <w:r>
        <w:t xml:space="preserve"> progress for annual report</w:t>
      </w:r>
    </w:p>
    <w:p w:rsidR="00BA29F5" w:rsidRDefault="00BA29F5" w:rsidP="002D7FB6">
      <w:pPr>
        <w:pStyle w:val="Heading2"/>
      </w:pPr>
    </w:p>
    <w:p w:rsidR="003C7179" w:rsidRDefault="002D7FB6" w:rsidP="002D7FB6">
      <w:pPr>
        <w:pStyle w:val="Heading2"/>
      </w:pPr>
      <w:r>
        <w:t>Adjournment</w:t>
      </w:r>
    </w:p>
    <w:p w:rsidR="00A25B1C" w:rsidRDefault="00A25B1C" w:rsidP="00A25B1C"/>
    <w:sectPr w:rsidR="00A2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85C"/>
    <w:multiLevelType w:val="hybridMultilevel"/>
    <w:tmpl w:val="D8BC6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F7E"/>
    <w:multiLevelType w:val="hybridMultilevel"/>
    <w:tmpl w:val="EF9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D32"/>
    <w:multiLevelType w:val="multilevel"/>
    <w:tmpl w:val="F09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6ADE"/>
    <w:multiLevelType w:val="hybridMultilevel"/>
    <w:tmpl w:val="3ADA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7D55"/>
    <w:multiLevelType w:val="multilevel"/>
    <w:tmpl w:val="135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4750"/>
    <w:multiLevelType w:val="multilevel"/>
    <w:tmpl w:val="08D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059D"/>
    <w:multiLevelType w:val="multilevel"/>
    <w:tmpl w:val="17A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800B03"/>
    <w:multiLevelType w:val="multilevel"/>
    <w:tmpl w:val="54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1659D"/>
    <w:multiLevelType w:val="hybridMultilevel"/>
    <w:tmpl w:val="A20E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"/>
  </w:num>
  <w:num w:numId="12">
    <w:abstractNumId w:val="20"/>
  </w:num>
  <w:num w:numId="13">
    <w:abstractNumId w:val="8"/>
  </w:num>
  <w:num w:numId="14">
    <w:abstractNumId w:val="13"/>
  </w:num>
  <w:num w:numId="15">
    <w:abstractNumId w:val="18"/>
  </w:num>
  <w:num w:numId="16">
    <w:abstractNumId w:val="3"/>
  </w:num>
  <w:num w:numId="17">
    <w:abstractNumId w:val="23"/>
  </w:num>
  <w:num w:numId="18">
    <w:abstractNumId w:val="14"/>
  </w:num>
  <w:num w:numId="19">
    <w:abstractNumId w:val="17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26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21"/>
  </w:num>
  <w:num w:numId="31">
    <w:abstractNumId w:val="19"/>
  </w:num>
  <w:num w:numId="32">
    <w:abstractNumId w:val="7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07008"/>
    <w:rsid w:val="00020D25"/>
    <w:rsid w:val="000214B4"/>
    <w:rsid w:val="00027C64"/>
    <w:rsid w:val="00033E00"/>
    <w:rsid w:val="00074F28"/>
    <w:rsid w:val="00075179"/>
    <w:rsid w:val="000A1E98"/>
    <w:rsid w:val="000A4FD1"/>
    <w:rsid w:val="000C4660"/>
    <w:rsid w:val="001221C0"/>
    <w:rsid w:val="00123CEA"/>
    <w:rsid w:val="001301A1"/>
    <w:rsid w:val="001638AA"/>
    <w:rsid w:val="00166596"/>
    <w:rsid w:val="00190ECA"/>
    <w:rsid w:val="001A1F94"/>
    <w:rsid w:val="001B587E"/>
    <w:rsid w:val="001C386D"/>
    <w:rsid w:val="001C4A0D"/>
    <w:rsid w:val="001D18A2"/>
    <w:rsid w:val="001F6B1B"/>
    <w:rsid w:val="00205C28"/>
    <w:rsid w:val="00236595"/>
    <w:rsid w:val="00261A3D"/>
    <w:rsid w:val="00265074"/>
    <w:rsid w:val="00271C83"/>
    <w:rsid w:val="002939E8"/>
    <w:rsid w:val="002D7FB6"/>
    <w:rsid w:val="002E6C13"/>
    <w:rsid w:val="002F2367"/>
    <w:rsid w:val="00314427"/>
    <w:rsid w:val="00317321"/>
    <w:rsid w:val="00322D02"/>
    <w:rsid w:val="00326C0D"/>
    <w:rsid w:val="0036509B"/>
    <w:rsid w:val="0037534C"/>
    <w:rsid w:val="003B4A6A"/>
    <w:rsid w:val="003B528D"/>
    <w:rsid w:val="003C5C41"/>
    <w:rsid w:val="003C7179"/>
    <w:rsid w:val="003D0547"/>
    <w:rsid w:val="00410687"/>
    <w:rsid w:val="00411E3C"/>
    <w:rsid w:val="00436C0D"/>
    <w:rsid w:val="004434D4"/>
    <w:rsid w:val="0044455D"/>
    <w:rsid w:val="0049316C"/>
    <w:rsid w:val="004972DF"/>
    <w:rsid w:val="004B17AC"/>
    <w:rsid w:val="004B754F"/>
    <w:rsid w:val="004D0F18"/>
    <w:rsid w:val="004D1E28"/>
    <w:rsid w:val="004F33C7"/>
    <w:rsid w:val="00500156"/>
    <w:rsid w:val="00501218"/>
    <w:rsid w:val="005323FF"/>
    <w:rsid w:val="00535D7C"/>
    <w:rsid w:val="00587019"/>
    <w:rsid w:val="00591867"/>
    <w:rsid w:val="0059442A"/>
    <w:rsid w:val="005B5F0B"/>
    <w:rsid w:val="005F66C9"/>
    <w:rsid w:val="00645BEB"/>
    <w:rsid w:val="00655D77"/>
    <w:rsid w:val="006811AF"/>
    <w:rsid w:val="0068522B"/>
    <w:rsid w:val="00685912"/>
    <w:rsid w:val="006912BC"/>
    <w:rsid w:val="006C4558"/>
    <w:rsid w:val="006D17F9"/>
    <w:rsid w:val="006E3AFC"/>
    <w:rsid w:val="00706D77"/>
    <w:rsid w:val="00732344"/>
    <w:rsid w:val="007722A8"/>
    <w:rsid w:val="007A4D2F"/>
    <w:rsid w:val="007A640C"/>
    <w:rsid w:val="007C4047"/>
    <w:rsid w:val="007C60CB"/>
    <w:rsid w:val="007E4801"/>
    <w:rsid w:val="0081529D"/>
    <w:rsid w:val="008279C7"/>
    <w:rsid w:val="008412D5"/>
    <w:rsid w:val="0085035A"/>
    <w:rsid w:val="00855230"/>
    <w:rsid w:val="00894017"/>
    <w:rsid w:val="008C36E9"/>
    <w:rsid w:val="00923882"/>
    <w:rsid w:val="00930E93"/>
    <w:rsid w:val="009467E5"/>
    <w:rsid w:val="009543B1"/>
    <w:rsid w:val="00956F14"/>
    <w:rsid w:val="00960467"/>
    <w:rsid w:val="00960EF7"/>
    <w:rsid w:val="00986B1D"/>
    <w:rsid w:val="00993D06"/>
    <w:rsid w:val="009B561C"/>
    <w:rsid w:val="009B7547"/>
    <w:rsid w:val="009E453D"/>
    <w:rsid w:val="00A179A7"/>
    <w:rsid w:val="00A25B1C"/>
    <w:rsid w:val="00A44B5A"/>
    <w:rsid w:val="00A97FE0"/>
    <w:rsid w:val="00AA5749"/>
    <w:rsid w:val="00AB202B"/>
    <w:rsid w:val="00AE04AC"/>
    <w:rsid w:val="00AF0E19"/>
    <w:rsid w:val="00AF3B02"/>
    <w:rsid w:val="00B27F4A"/>
    <w:rsid w:val="00B31A11"/>
    <w:rsid w:val="00B67D24"/>
    <w:rsid w:val="00B70EB9"/>
    <w:rsid w:val="00BA29F5"/>
    <w:rsid w:val="00C32D27"/>
    <w:rsid w:val="00C332C7"/>
    <w:rsid w:val="00C44223"/>
    <w:rsid w:val="00C45389"/>
    <w:rsid w:val="00C808DA"/>
    <w:rsid w:val="00CA06A2"/>
    <w:rsid w:val="00CA3F3F"/>
    <w:rsid w:val="00CB3B8B"/>
    <w:rsid w:val="00CF1A0E"/>
    <w:rsid w:val="00D46991"/>
    <w:rsid w:val="00D57886"/>
    <w:rsid w:val="00D65A76"/>
    <w:rsid w:val="00D715A0"/>
    <w:rsid w:val="00D91497"/>
    <w:rsid w:val="00DB0E6B"/>
    <w:rsid w:val="00DC65AD"/>
    <w:rsid w:val="00DC7673"/>
    <w:rsid w:val="00DE2E24"/>
    <w:rsid w:val="00DE371B"/>
    <w:rsid w:val="00E02ED9"/>
    <w:rsid w:val="00E202AA"/>
    <w:rsid w:val="00E24089"/>
    <w:rsid w:val="00E309DA"/>
    <w:rsid w:val="00E3744C"/>
    <w:rsid w:val="00E46C7E"/>
    <w:rsid w:val="00E51941"/>
    <w:rsid w:val="00E579A7"/>
    <w:rsid w:val="00E65C80"/>
    <w:rsid w:val="00EE08A3"/>
    <w:rsid w:val="00EE1E9E"/>
    <w:rsid w:val="00F01584"/>
    <w:rsid w:val="00F15956"/>
    <w:rsid w:val="00F33237"/>
    <w:rsid w:val="00F80EFA"/>
    <w:rsid w:val="00F942DF"/>
    <w:rsid w:val="00FA0EBE"/>
    <w:rsid w:val="00FB4BFB"/>
    <w:rsid w:val="00FB700E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olicies/browse/academic-affairs/establishment-and-periodic-review-of-academic-institutes-bureaus-centers-stations-labs-and-other-similar-entiti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t.edu/facultysenate/documents/FSDocs17-18/2019---2020-draft-calendar.pdf" TargetMode="External"/><Relationship Id="rId12" Type="http://schemas.openxmlformats.org/officeDocument/2006/relationships/hyperlink" Target="http://www.umt.edu/facultysenate/documents/FSDocs18-19/18-19%20Program%20of%20the%20Senate%209%207%20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.box.com/s/twu1kyh71hj43qqw33bwvumb2xdu81w4" TargetMode="External"/><Relationship Id="rId11" Type="http://schemas.openxmlformats.org/officeDocument/2006/relationships/hyperlink" Target="https://umt.box.com/s/xn1hasy2qbd7z0h85l6a4dj5rv8zzc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t.edu/facultysenate/archives/CenterReviews/defaul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t.box.com/s/w1635uvsm19p6ma1xdt96divqmxlrd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6</cp:revision>
  <cp:lastPrinted>2018-11-28T17:37:00Z</cp:lastPrinted>
  <dcterms:created xsi:type="dcterms:W3CDTF">2019-03-08T21:22:00Z</dcterms:created>
  <dcterms:modified xsi:type="dcterms:W3CDTF">2019-03-20T15:40:00Z</dcterms:modified>
</cp:coreProperties>
</file>