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79" w:rsidRDefault="001F4F79" w:rsidP="001F4F79">
      <w:pPr>
        <w:pStyle w:val="Heading1"/>
        <w:jc w:val="center"/>
      </w:pPr>
      <w:r>
        <w:t xml:space="preserve">ECOS Minutes, 4/25/18 </w:t>
      </w:r>
      <w:r w:rsidR="00764F71">
        <w:t>(5/1/18, 5/3/18, and 5/14/18)</w:t>
      </w:r>
      <w:r>
        <w:t xml:space="preserve"> </w:t>
      </w:r>
    </w:p>
    <w:p w:rsidR="001F4F79" w:rsidRDefault="001F4F79" w:rsidP="001F4F79">
      <w:pPr>
        <w:pStyle w:val="Heading2"/>
      </w:pPr>
    </w:p>
    <w:p w:rsidR="001F4F79" w:rsidRDefault="001F4F79" w:rsidP="00DF4ECB">
      <w:r>
        <w:rPr>
          <w:i/>
        </w:rPr>
        <w:t>Members Present:</w:t>
      </w:r>
      <w:r>
        <w:t xml:space="preserve">  M. Bowman, A. Delaney, S. Gordon</w:t>
      </w:r>
      <w:r w:rsidR="00764F71">
        <w:t xml:space="preserve"> (missing 5/1 and 5/3)</w:t>
      </w:r>
      <w:r w:rsidR="002A5BB5">
        <w:t>,</w:t>
      </w:r>
      <w:r>
        <w:t xml:space="preserve"> T. Manuel, G. Quintero, M. Semanoff, N. Vonessen</w:t>
      </w:r>
      <w:r w:rsidR="00764F71">
        <w:br/>
        <w:t xml:space="preserve">[new ECOS member A. </w:t>
      </w:r>
      <w:r w:rsidR="00DF4ECB">
        <w:t>Johnstone attended the May 14</w:t>
      </w:r>
      <w:r w:rsidR="00DF4ECB" w:rsidRPr="00DF4ECB">
        <w:rPr>
          <w:vertAlign w:val="superscript"/>
        </w:rPr>
        <w:t>th</w:t>
      </w:r>
      <w:r w:rsidR="00DF4ECB">
        <w:t xml:space="preserve"> meeting in the Pope Room in the Law Library, Ross Best, student and member of the public was also at the meeting.]</w:t>
      </w:r>
      <w:r w:rsidR="00764F71">
        <w:br/>
      </w:r>
      <w:r>
        <w:br/>
      </w:r>
      <w:r w:rsidRPr="00DF4ECB">
        <w:rPr>
          <w:rStyle w:val="Heading2Char"/>
        </w:rPr>
        <w:t>Call to Order</w:t>
      </w:r>
    </w:p>
    <w:p w:rsidR="001F4F79" w:rsidRPr="008D6240" w:rsidRDefault="001F4F79" w:rsidP="001F4F79">
      <w:pPr>
        <w:pStyle w:val="ListParagraph"/>
        <w:numPr>
          <w:ilvl w:val="0"/>
          <w:numId w:val="33"/>
        </w:numPr>
      </w:pPr>
      <w:r>
        <w:t>Approval of 4/19/18 minutes</w:t>
      </w:r>
      <w:r w:rsidR="00DF4ECB">
        <w:t xml:space="preserve"> was</w:t>
      </w:r>
      <w:r>
        <w:t xml:space="preserve"> postponed</w:t>
      </w:r>
    </w:p>
    <w:p w:rsidR="005F1A98" w:rsidRDefault="001F4F79" w:rsidP="001C5ADD">
      <w:pPr>
        <w:pStyle w:val="Heading2"/>
      </w:pPr>
      <w:r>
        <w:t>Communication</w:t>
      </w:r>
    </w:p>
    <w:p w:rsidR="001C5ADD" w:rsidRDefault="001C5ADD" w:rsidP="001C5ADD">
      <w:pPr>
        <w:pStyle w:val="ListParagraph"/>
      </w:pPr>
    </w:p>
    <w:p w:rsidR="00D745C1" w:rsidRDefault="00766A3E" w:rsidP="00D745C1">
      <w:pPr>
        <w:pStyle w:val="ListParagraph"/>
        <w:numPr>
          <w:ilvl w:val="0"/>
          <w:numId w:val="33"/>
        </w:numPr>
      </w:pPr>
      <w:r>
        <w:t>Chair</w:t>
      </w:r>
      <w:r w:rsidR="001E0A45">
        <w:t xml:space="preserve"> Bowman reported that she has been attending the meetings with Departments and Interim Provost K</w:t>
      </w:r>
      <w:r w:rsidR="00F62E8D">
        <w:t>i</w:t>
      </w:r>
      <w:bookmarkStart w:id="0" w:name="_GoBack"/>
      <w:bookmarkEnd w:id="0"/>
      <w:r w:rsidR="001E0A45">
        <w:t xml:space="preserve">rgis.  There is confusion (mixed messages) regarding when the FTE reduction counts start.  The cutoff is July 2017, but does that include lecturers given notice this academic year? The UFA President met with MCLL.  </w:t>
      </w:r>
      <w:r w:rsidR="00D745C1">
        <w:br/>
      </w:r>
    </w:p>
    <w:p w:rsidR="00D745C1" w:rsidRPr="00D745C1" w:rsidRDefault="00D745C1" w:rsidP="00D745C1">
      <w:pPr>
        <w:pStyle w:val="ListParagraph"/>
        <w:numPr>
          <w:ilvl w:val="0"/>
          <w:numId w:val="33"/>
        </w:numPr>
      </w:pPr>
      <w:r>
        <w:t xml:space="preserve">Pending items include the </w:t>
      </w:r>
      <w:r w:rsidRPr="00D745C1">
        <w:rPr>
          <w:rFonts w:ascii="Calibri" w:hAnsi="Calibri" w:cs="Calibri"/>
        </w:rPr>
        <w:t>Structural &amp; Functional Neuroscience</w:t>
      </w:r>
      <w:r w:rsidRPr="00D745C1">
        <w:rPr>
          <w:rFonts w:ascii="Tahoma" w:eastAsia="Times New Roman" w:hAnsi="Tahoma" w:cs="Tahoma"/>
          <w:sz w:val="20"/>
          <w:szCs w:val="20"/>
        </w:rPr>
        <w:t xml:space="preserve"> </w:t>
      </w:r>
      <w:r>
        <w:rPr>
          <w:rFonts w:ascii="Tahoma" w:eastAsia="Times New Roman" w:hAnsi="Tahoma" w:cs="Tahoma"/>
          <w:color w:val="000000"/>
          <w:sz w:val="20"/>
          <w:szCs w:val="20"/>
        </w:rPr>
        <w:t xml:space="preserve">Center review and the Faculty Senate Annual Report.  ASCRC is working on AP Capstone language and approved revised language for the Natural Science General Education Group. Possible items for the May Faculty Senate agenda </w:t>
      </w:r>
      <w:r w:rsidR="00DF4ECB">
        <w:rPr>
          <w:rFonts w:ascii="Tahoma" w:eastAsia="Times New Roman" w:hAnsi="Tahoma" w:cs="Tahoma"/>
          <w:color w:val="000000"/>
          <w:sz w:val="20"/>
          <w:szCs w:val="20"/>
        </w:rPr>
        <w:t xml:space="preserve">were </w:t>
      </w:r>
      <w:r w:rsidR="00FC5B72">
        <w:rPr>
          <w:rFonts w:ascii="Tahoma" w:eastAsia="Times New Roman" w:hAnsi="Tahoma" w:cs="Tahoma"/>
          <w:color w:val="000000"/>
          <w:sz w:val="20"/>
          <w:szCs w:val="20"/>
        </w:rPr>
        <w:t>discussed</w:t>
      </w:r>
      <w:r w:rsidR="00DF4ECB">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r>
      <w:r w:rsidRPr="00D745C1">
        <w:rPr>
          <w:rStyle w:val="Heading2Char"/>
        </w:rPr>
        <w:t>Business Items</w:t>
      </w:r>
    </w:p>
    <w:p w:rsidR="001E0A45" w:rsidRDefault="001E0A45" w:rsidP="00D745C1">
      <w:pPr>
        <w:pStyle w:val="ListParagraph"/>
      </w:pPr>
    </w:p>
    <w:p w:rsidR="00B378F4" w:rsidRDefault="001E0A45" w:rsidP="006C1F97">
      <w:pPr>
        <w:pStyle w:val="ListParagraph"/>
        <w:numPr>
          <w:ilvl w:val="0"/>
          <w:numId w:val="41"/>
        </w:numPr>
      </w:pPr>
      <w:r>
        <w:t>ECOS discussed how to frame a response.  Should the Senate vote on the revised mission statement or the Communities of Excellence? Or id</w:t>
      </w:r>
      <w:r w:rsidR="00F278F5">
        <w:t>entify strengths and weaknesses? The response</w:t>
      </w:r>
      <w:r>
        <w:t xml:space="preserve"> should a</w:t>
      </w:r>
      <w:r w:rsidR="00B378F4">
        <w:t xml:space="preserve">mplify </w:t>
      </w:r>
      <w:proofErr w:type="gramStart"/>
      <w:r w:rsidR="00B378F4">
        <w:t>the disconnect</w:t>
      </w:r>
      <w:proofErr w:type="gramEnd"/>
      <w:r w:rsidR="00B378F4">
        <w:t xml:space="preserve"> between the reductions and the communities of excellence</w:t>
      </w:r>
      <w:r>
        <w:t>.  Unfortunately there are clear winners and losers in the President’s recommendat</w:t>
      </w:r>
      <w:r w:rsidR="00D745C1">
        <w:t xml:space="preserve">ions.  ECOS should provide a thematic summary of the feedback. </w:t>
      </w:r>
      <w:r>
        <w:t xml:space="preserve"> </w:t>
      </w:r>
    </w:p>
    <w:p w:rsidR="006C1F97" w:rsidRDefault="006C1F97" w:rsidP="009B7E49">
      <w:pPr>
        <w:pStyle w:val="ListParagraph"/>
        <w:ind w:left="1440"/>
      </w:pPr>
    </w:p>
    <w:p w:rsidR="00FA2EBF" w:rsidRDefault="00FA2EBF" w:rsidP="00D745C1">
      <w:pPr>
        <w:ind w:firstLine="720"/>
      </w:pPr>
      <w:r>
        <w:t>Possib</w:t>
      </w:r>
      <w:r w:rsidR="00D745C1">
        <w:t xml:space="preserve">le motions for the </w:t>
      </w:r>
      <w:r>
        <w:t>May Senate meeting</w:t>
      </w:r>
      <w:r w:rsidR="00D745C1">
        <w:t xml:space="preserve"> include:</w:t>
      </w:r>
    </w:p>
    <w:p w:rsidR="00FA2EBF" w:rsidRDefault="00FA2EBF" w:rsidP="00FA2EBF">
      <w:pPr>
        <w:pStyle w:val="ListParagraph"/>
        <w:numPr>
          <w:ilvl w:val="0"/>
          <w:numId w:val="42"/>
        </w:numPr>
      </w:pPr>
      <w:r>
        <w:t>Mission</w:t>
      </w:r>
    </w:p>
    <w:p w:rsidR="00FA2EBF" w:rsidRDefault="00FA2EBF" w:rsidP="00FA2EBF">
      <w:pPr>
        <w:pStyle w:val="ListParagraph"/>
        <w:numPr>
          <w:ilvl w:val="0"/>
          <w:numId w:val="42"/>
        </w:numPr>
      </w:pPr>
      <w:r>
        <w:t>Communities of Excellence</w:t>
      </w:r>
    </w:p>
    <w:p w:rsidR="00FA2EBF" w:rsidRDefault="00FA2EBF" w:rsidP="00FA2EBF">
      <w:pPr>
        <w:pStyle w:val="ListParagraph"/>
        <w:numPr>
          <w:ilvl w:val="0"/>
          <w:numId w:val="42"/>
        </w:numPr>
      </w:pPr>
      <w:r>
        <w:t xml:space="preserve">Anything with curriculum implications must go through regular review process and be submitted to ASCRC and Graduate Council </w:t>
      </w:r>
    </w:p>
    <w:p w:rsidR="00FA2EBF" w:rsidRDefault="00FA2EBF" w:rsidP="00FA2EBF">
      <w:pPr>
        <w:pStyle w:val="ListParagraph"/>
        <w:numPr>
          <w:ilvl w:val="0"/>
          <w:numId w:val="42"/>
        </w:numPr>
      </w:pPr>
      <w:r>
        <w:t>Reduction in FTE must take into account the University’s Diversity plan.  This must be monitored</w:t>
      </w:r>
    </w:p>
    <w:p w:rsidR="00FA2EBF" w:rsidRDefault="00FA2EBF" w:rsidP="00FA2EBF">
      <w:pPr>
        <w:pStyle w:val="ListParagraph"/>
        <w:numPr>
          <w:ilvl w:val="0"/>
          <w:numId w:val="42"/>
        </w:numPr>
      </w:pPr>
      <w:r>
        <w:t xml:space="preserve">FTE reduction through attrition should be considered first.  </w:t>
      </w:r>
    </w:p>
    <w:p w:rsidR="00A03456" w:rsidRDefault="00764F71" w:rsidP="00764F71">
      <w:pPr>
        <w:ind w:left="720"/>
      </w:pPr>
      <w:r>
        <w:t>[ECOS had additional meetings on May 1</w:t>
      </w:r>
      <w:r w:rsidRPr="00764F71">
        <w:rPr>
          <w:vertAlign w:val="superscript"/>
        </w:rPr>
        <w:t>st</w:t>
      </w:r>
      <w:r>
        <w:t xml:space="preserve"> </w:t>
      </w:r>
      <w:r w:rsidR="0075213D">
        <w:t xml:space="preserve">and </w:t>
      </w:r>
      <w:r>
        <w:t>May 3</w:t>
      </w:r>
      <w:r w:rsidRPr="00764F71">
        <w:rPr>
          <w:vertAlign w:val="superscript"/>
        </w:rPr>
        <w:t>rd</w:t>
      </w:r>
      <w:r>
        <w:t xml:space="preserve"> to finalize the response and approve the May Faculty Senate agenda.  </w:t>
      </w:r>
      <w:r w:rsidR="00217045">
        <w:t xml:space="preserve">There was not an agenda circulated for these meetings.   A draft </w:t>
      </w:r>
      <w:r w:rsidR="00217045">
        <w:lastRenderedPageBreak/>
        <w:t>document was prepared prior to the May 3</w:t>
      </w:r>
      <w:r w:rsidR="00217045" w:rsidRPr="00217045">
        <w:rPr>
          <w:vertAlign w:val="superscript"/>
        </w:rPr>
        <w:t>rd</w:t>
      </w:r>
      <w:r w:rsidR="00217045">
        <w:t xml:space="preserve"> meeting. </w:t>
      </w:r>
      <w:r>
        <w:t xml:space="preserve">Mary-Ann </w:t>
      </w:r>
      <w:r w:rsidR="00FC5B72">
        <w:t xml:space="preserve">Bowman </w:t>
      </w:r>
      <w:r>
        <w:t xml:space="preserve">and Matt </w:t>
      </w:r>
      <w:r w:rsidR="00FC5B72">
        <w:t xml:space="preserve">Semanoff </w:t>
      </w:r>
      <w:r>
        <w:t>met with President Bodnar prior to the May Faculty Senate meeting.  He asked that the response be more detailed.  The deadline for feedback was set as May 12</w:t>
      </w:r>
      <w:r w:rsidRPr="00764F71">
        <w:rPr>
          <w:vertAlign w:val="superscript"/>
        </w:rPr>
        <w:t>th</w:t>
      </w:r>
      <w:r>
        <w:t xml:space="preserve"> and </w:t>
      </w:r>
      <w:r w:rsidR="0075213D">
        <w:t xml:space="preserve">message was sent to </w:t>
      </w:r>
      <w:r>
        <w:t xml:space="preserve">senators.  The out-going ECOS </w:t>
      </w:r>
      <w:r w:rsidR="00DF4ECB">
        <w:t xml:space="preserve">members </w:t>
      </w:r>
      <w:r>
        <w:t>met on May 14</w:t>
      </w:r>
      <w:r w:rsidRPr="00764F71">
        <w:rPr>
          <w:vertAlign w:val="superscript"/>
        </w:rPr>
        <w:t>th</w:t>
      </w:r>
      <w:r>
        <w:t xml:space="preserve"> to discuss the response.  There were numerous issues with the data used in the recommendations</w:t>
      </w:r>
      <w:r w:rsidR="00DF4ECB">
        <w:t xml:space="preserve"> that had yet to be addressed</w:t>
      </w:r>
      <w:r>
        <w:t>.</w:t>
      </w:r>
      <w:r w:rsidR="00DF4ECB">
        <w:t xml:space="preserve">  </w:t>
      </w:r>
      <w:r>
        <w:t xml:space="preserve">   </w:t>
      </w:r>
      <w:r w:rsidR="00DF4ECB">
        <w:t xml:space="preserve">Matt </w:t>
      </w:r>
      <w:r w:rsidR="00FC5B72">
        <w:t xml:space="preserve">Semanoff </w:t>
      </w:r>
      <w:r w:rsidR="00DF4ECB">
        <w:t>was asked to give a response at the Cabinet meeting May 31</w:t>
      </w:r>
      <w:r w:rsidR="00DF4ECB" w:rsidRPr="00DF4ECB">
        <w:rPr>
          <w:vertAlign w:val="superscript"/>
        </w:rPr>
        <w:t>st</w:t>
      </w:r>
      <w:r w:rsidR="00DF4ECB">
        <w:t xml:space="preserve">. </w:t>
      </w:r>
      <w:r w:rsidR="0075213D">
        <w:br/>
      </w:r>
      <w:r w:rsidR="0075213D">
        <w:br/>
        <w:t xml:space="preserve">Incoming </w:t>
      </w:r>
      <w:r w:rsidR="00217045">
        <w:t>ECOS m</w:t>
      </w:r>
      <w:r w:rsidR="0075213D">
        <w:t>embers met on June 21</w:t>
      </w:r>
      <w:r w:rsidR="0075213D" w:rsidRPr="0075213D">
        <w:rPr>
          <w:vertAlign w:val="superscript"/>
        </w:rPr>
        <w:t>st</w:t>
      </w:r>
      <w:r w:rsidR="0075213D">
        <w:t xml:space="preserve"> with the Chair of the General Education Committee,  James Randall and Tom Travis, committee member to discuss the administration’s desire for faculty to move forward with a UM Core Pilot that would be available for students  (self-select) fall 2019.   The General Education Committee Chair met with Interim Provost </w:t>
      </w:r>
      <w:proofErr w:type="spellStart"/>
      <w:r w:rsidR="0075213D">
        <w:t>Kurgis</w:t>
      </w:r>
      <w:proofErr w:type="spellEnd"/>
      <w:r w:rsidR="0075213D">
        <w:t xml:space="preserve"> and held a meeting </w:t>
      </w:r>
      <w:r w:rsidR="00A03456">
        <w:t xml:space="preserve">(7/17/18) </w:t>
      </w:r>
      <w:r w:rsidR="0075213D">
        <w:t xml:space="preserve">with several former General Education Committee Chairs, Associate Provost Nathan Lindsay, and Brian French to “consider how we might build upon some of the collective work done by past and present GE committees. He </w:t>
      </w:r>
      <w:r w:rsidR="00A03456">
        <w:t xml:space="preserve">hopes there </w:t>
      </w:r>
      <w:r w:rsidR="0075213D">
        <w:t>might be a way forward that maintains some of the strengths and distinctiveness of our current system, and at the same time addresses the current interest in competency-based learning outcomes and greater collaboration between disciplines.”</w:t>
      </w:r>
    </w:p>
    <w:p w:rsidR="00EA0D6A" w:rsidRDefault="00A03456" w:rsidP="00764F71">
      <w:pPr>
        <w:ind w:left="720"/>
      </w:pPr>
      <w:r>
        <w:t>ECOS met on June 28</w:t>
      </w:r>
      <w:r w:rsidRPr="00A03456">
        <w:rPr>
          <w:vertAlign w:val="superscript"/>
        </w:rPr>
        <w:t>th</w:t>
      </w:r>
      <w:r>
        <w:t xml:space="preserve"> to discuss the draft response.  </w:t>
      </w:r>
      <w:r w:rsidR="00EA0D6A">
        <w:t xml:space="preserve"> The letter appended was sent to the President and Provost in July.  ECOS met again August 9</w:t>
      </w:r>
      <w:r w:rsidR="00EA0D6A" w:rsidRPr="00EA0D6A">
        <w:rPr>
          <w:vertAlign w:val="superscript"/>
        </w:rPr>
        <w:t>th</w:t>
      </w:r>
      <w:r w:rsidR="00EA0D6A">
        <w:t xml:space="preserve">.  Chair Semanoff provided an update on the UPC process and next steps.  He also shared a matrix of action items and timeline that was discussed by the administration and representatives from OCHE.  A draft message to faculty was distributed to ECOS after the meeting. </w:t>
      </w:r>
    </w:p>
    <w:p w:rsidR="00EA0D6A" w:rsidRDefault="00EA0D6A" w:rsidP="00764F71">
      <w:pPr>
        <w:ind w:left="720"/>
      </w:pPr>
    </w:p>
    <w:p w:rsidR="00EA0D6A" w:rsidRPr="00AE52D0" w:rsidRDefault="00EA0D6A" w:rsidP="00EA0D6A">
      <w:pPr>
        <w:pStyle w:val="Heading3"/>
        <w:rPr>
          <w:rFonts w:cs="Century Gothic"/>
          <w:sz w:val="22"/>
          <w:szCs w:val="22"/>
        </w:rPr>
      </w:pPr>
      <w:r w:rsidRPr="00AE52D0">
        <w:t>Faculty Consensus and Concern in Allocating Faculty Reductions</w:t>
      </w:r>
      <w:r>
        <w:t xml:space="preserve"> Memo</w:t>
      </w:r>
    </w:p>
    <w:p w:rsidR="00EA0D6A" w:rsidRDefault="00EA0D6A" w:rsidP="00EA0D6A">
      <w:pPr>
        <w:rPr>
          <w:b/>
        </w:rPr>
      </w:pPr>
    </w:p>
    <w:p w:rsidR="00EA0D6A" w:rsidRPr="008E7544" w:rsidRDefault="00EA0D6A" w:rsidP="00EA0D6A">
      <w:r w:rsidRPr="008E7544">
        <w:t xml:space="preserve">In this memo ECOS responds to President </w:t>
      </w:r>
      <w:proofErr w:type="spellStart"/>
      <w:r w:rsidRPr="008E7544">
        <w:t>Bodnar’s</w:t>
      </w:r>
      <w:proofErr w:type="spellEnd"/>
      <w:r w:rsidRPr="008E7544">
        <w:t xml:space="preserve"> call for more specific comments on the </w:t>
      </w:r>
      <w:hyperlink r:id="rId6">
        <w:r w:rsidRPr="008E7544">
          <w:rPr>
            <w:i/>
            <w:color w:val="1155CC"/>
            <w:u w:val="single"/>
          </w:rPr>
          <w:t>Strategy for Distinction</w:t>
        </w:r>
      </w:hyperlink>
      <w:r w:rsidRPr="008E7544">
        <w:t xml:space="preserve"> at the May 3, 2018 Faculty Senate meeting. It is informed by the feedback submitted by faculty online comments and listening sessions, subsequent campus updates (in particular, the methodology detailed in Acting Provost </w:t>
      </w:r>
      <w:proofErr w:type="spellStart"/>
      <w:r w:rsidRPr="008E7544">
        <w:t>Kirgis’s</w:t>
      </w:r>
      <w:proofErr w:type="spellEnd"/>
      <w:r w:rsidRPr="008E7544">
        <w:t xml:space="preserve"> May 7 </w:t>
      </w:r>
      <w:hyperlink r:id="rId7">
        <w:r w:rsidRPr="008E7544">
          <w:rPr>
            <w:color w:val="1155CC"/>
            <w:u w:val="single"/>
          </w:rPr>
          <w:t>Stage 2 Analysis</w:t>
        </w:r>
      </w:hyperlink>
      <w:r w:rsidRPr="008E7544">
        <w:t xml:space="preserve">, the President’s May 8 </w:t>
      </w:r>
      <w:hyperlink r:id="rId8">
        <w:r w:rsidRPr="008E7544">
          <w:rPr>
            <w:color w:val="1155CC"/>
            <w:u w:val="single"/>
          </w:rPr>
          <w:t>Draft Recommendation Update</w:t>
        </w:r>
      </w:hyperlink>
      <w:r w:rsidRPr="008E7544">
        <w:t xml:space="preserve">), the update to the University Planning Committee (UPC) Data Subgroup (June 6, 2018) and the decision to include updated FTE and enrollment data through Spring 2018. Consistent with the Administration’s most recent communications on the </w:t>
      </w:r>
      <w:r w:rsidRPr="008E7544">
        <w:rPr>
          <w:i/>
        </w:rPr>
        <w:t>Strategy</w:t>
      </w:r>
      <w:r w:rsidRPr="008E7544">
        <w:t xml:space="preserve">, which suggested that major strategic reorganizations of academic programs (e.g., reorganizing the College of Humanities and Sciences into 10 divisions) are under reconsideration, our comments focus on the President’s revised recommendations for faculty FTE reductions expected in early fall 2018.  Since originally drafting this memo Acting Provost Kirgis presented to the UPC (July 19, 2018) a revised method of determining staffing levels; this memo does not respond directly to that particular method, but ECOS hopes that this memo can help further refine whatever method is adopted by offering the following observations.  </w:t>
      </w:r>
    </w:p>
    <w:p w:rsidR="00EA0D6A" w:rsidRPr="008E7544" w:rsidRDefault="00EA0D6A" w:rsidP="00EA0D6A"/>
    <w:p w:rsidR="00EA0D6A" w:rsidRPr="008E7544" w:rsidRDefault="00EA0D6A" w:rsidP="00EA0D6A">
      <w:r w:rsidRPr="008E7544">
        <w:t xml:space="preserve">ECOS offers this response to continue the shared governance dialogue and ensure that the revised recommendations are informed by areas of apparent faculty consensus and concern before they come </w:t>
      </w:r>
      <w:r w:rsidRPr="008E7544">
        <w:lastRenderedPageBreak/>
        <w:t xml:space="preserve">before the Faculty Senate for final review and recommendations in the fall. ECOS considers the revisions to the preliminary recommendations already made in response to faculty feedback (e.g. the revision of the mission statement and adaptation of data processes) signs of the Administration’s good-faith effort to honor faculty involvement in this process. It is in this collaborative spirit that ECOS offers the following observations informed by the faculty's feedback on the </w:t>
      </w:r>
      <w:r w:rsidRPr="008E7544">
        <w:rPr>
          <w:i/>
        </w:rPr>
        <w:t>Strategy for Distinction</w:t>
      </w:r>
      <w:r w:rsidRPr="008E7544">
        <w:t xml:space="preserve">. </w:t>
      </w:r>
    </w:p>
    <w:p w:rsidR="00EA0D6A" w:rsidRPr="008E7544" w:rsidRDefault="00EA0D6A" w:rsidP="00EA0D6A">
      <w:r w:rsidRPr="008E7544">
        <w:t xml:space="preserve"> </w:t>
      </w:r>
    </w:p>
    <w:p w:rsidR="00EA0D6A" w:rsidRPr="008E7544" w:rsidRDefault="00EA0D6A" w:rsidP="00EA0D6A">
      <w:r w:rsidRPr="008E7544">
        <w:t xml:space="preserve">ECOS has identified recurrent themes arising in the faculty feedback that suggest areas of consensus, as well as areas of recurrent concerns. The faculty, by and large, share the Administration’s commitment to achieving sustainable faculty levels to maintain and improve the quality of the University of Montana’s academic programs. General Comments, approximately 28% of the feedback submitted, supported the preliminary recommendations by 3 to 1. This reflects a shared recognition of the need to take strategic action and appreciation for President </w:t>
      </w:r>
      <w:proofErr w:type="spellStart"/>
      <w:r w:rsidRPr="008E7544">
        <w:t>Bodnar's</w:t>
      </w:r>
      <w:proofErr w:type="spellEnd"/>
      <w:r w:rsidRPr="008E7544">
        <w:t xml:space="preserve"> leadership and willingness to make hard decisions. The desire for change was palpable throughout all categories of feedback; even among the comments that critiqued the preliminary recommendations, there was often a shared understanding that the University was suffering from years of across-the-board cuts and needs a more strategic approach.  </w:t>
      </w:r>
    </w:p>
    <w:p w:rsidR="00EA0D6A" w:rsidRPr="008E7544" w:rsidRDefault="00EA0D6A" w:rsidP="00EA0D6A"/>
    <w:p w:rsidR="00EA0D6A" w:rsidRPr="008E7544" w:rsidRDefault="00EA0D6A" w:rsidP="00EA0D6A">
      <w:r w:rsidRPr="008E7544">
        <w:t xml:space="preserve">These areas of consensus, however, ought to be considered in light of recurrent concerns also raised in the faculty feedback. In our review of faculty feedback, we have identified three key procedural concerns. First, the Administration should provide transparency in the decision process and key metrics used. In order to effectively comment on substance or process, ECOS must be informed in a timely manner of substantive discussion about the Administration’s plan. Second, the Administration should articulate a clear strategy to improve student recruitment and retention that maintains the distinctiveness and quality of the University of Montana. At a minimum, recommendations to align faculty with enrollment over three years must be based on realistic estimates of what enrollment will be when the recommendations are fully implemented. Third, the Administration should respect existing processes in reducing faculty, mindful of the Faculty Senate’s oversight of the curriculum. </w:t>
      </w:r>
    </w:p>
    <w:p w:rsidR="00EA0D6A" w:rsidRPr="008E7544" w:rsidRDefault="00EA0D6A" w:rsidP="00EA0D6A"/>
    <w:p w:rsidR="00EA0D6A" w:rsidRPr="008E7544" w:rsidRDefault="00EA0D6A" w:rsidP="00EA0D6A">
      <w:r w:rsidRPr="008E7544">
        <w:t xml:space="preserve">On the substance of the proposed </w:t>
      </w:r>
      <w:r w:rsidRPr="008E7544">
        <w:rPr>
          <w:i/>
        </w:rPr>
        <w:t>Strategy</w:t>
      </w:r>
      <w:r w:rsidRPr="008E7544">
        <w:t xml:space="preserve">, we have identified several broad areas of consensus and a few areas of continued concern. It is difficult to distill individual concerns from the comments, which primarily advocated on behalf of specific programs, although many expressed a concern for maintaining the University’s commitment to the liberal arts.  ECOS appreciates the efforts Acting Provost Kirgis and President Bodnar made to meet with individual departments to work through specific concerns and encourages the Administration’s continued responsiveness to department-level and individual concerns.   </w:t>
      </w:r>
    </w:p>
    <w:p w:rsidR="00EA0D6A" w:rsidRPr="008E7544" w:rsidRDefault="00EA0D6A" w:rsidP="00EA0D6A">
      <w:r w:rsidRPr="008E7544">
        <w:t xml:space="preserve"> </w:t>
      </w:r>
    </w:p>
    <w:p w:rsidR="00EA0D6A" w:rsidRPr="008E7544" w:rsidRDefault="00EA0D6A" w:rsidP="00EA0D6A">
      <w:pPr>
        <w:rPr>
          <w:b/>
        </w:rPr>
      </w:pPr>
      <w:r w:rsidRPr="008E7544">
        <w:rPr>
          <w:b/>
        </w:rPr>
        <w:t>We have identified several areas of consensus on campus:</w:t>
      </w:r>
    </w:p>
    <w:p w:rsidR="00EA0D6A" w:rsidRPr="008E7544" w:rsidRDefault="00EA0D6A" w:rsidP="00EA0D6A">
      <w:pPr>
        <w:rPr>
          <w:b/>
        </w:rPr>
      </w:pPr>
    </w:p>
    <w:p w:rsidR="00EA0D6A" w:rsidRPr="008E7544" w:rsidRDefault="00EA0D6A" w:rsidP="00EA0D6A">
      <w:r w:rsidRPr="008E7544">
        <w:rPr>
          <w:b/>
        </w:rPr>
        <w:t xml:space="preserve">1. Strategic growth needs resources, some of which come from faculty reduction. </w:t>
      </w:r>
      <w:r w:rsidRPr="008E7544">
        <w:t xml:space="preserve">Fulfilling our mission through the Communities of Excellence and other recognized opportunities for development will require new resources. Although the Administration should continue to advocate for increased state and private </w:t>
      </w:r>
      <w:r w:rsidRPr="008E7544">
        <w:lastRenderedPageBreak/>
        <w:t>funding, and plan for increased enrollment and retention, faculty reductions play a necessary role in freeing funding for new investment, including in hiring new faculty in areas of critical needs.</w:t>
      </w:r>
    </w:p>
    <w:p w:rsidR="00EA0D6A" w:rsidRPr="008E7544" w:rsidRDefault="00EA0D6A" w:rsidP="00EA0D6A">
      <w:r w:rsidRPr="008E7544">
        <w:rPr>
          <w:b/>
        </w:rPr>
        <w:t>2. Enrollment-based faculty reductions are preferable to eliminating programs.</w:t>
      </w:r>
      <w:r w:rsidRPr="008E7544">
        <w:t xml:space="preserve"> Several rounds of program review (from AAIP to APASP) have concluded that nearly all academic programs are successful. The budget deficit appears to be due to an enrollment problem not a program problem. Therefore, any reductions should be based on department enrollments to ensure programs can continue to serve student demand. </w:t>
      </w:r>
    </w:p>
    <w:p w:rsidR="00EA0D6A" w:rsidRPr="008E7544" w:rsidRDefault="00EA0D6A" w:rsidP="00EA0D6A"/>
    <w:p w:rsidR="00EA0D6A" w:rsidRPr="008E7544" w:rsidRDefault="00EA0D6A" w:rsidP="00EA0D6A">
      <w:r w:rsidRPr="008E7544">
        <w:rPr>
          <w:b/>
        </w:rPr>
        <w:t xml:space="preserve">3. Student credit hours are an appropriate indicator of department enrollments but recommendations ought </w:t>
      </w:r>
      <w:proofErr w:type="gramStart"/>
      <w:r w:rsidRPr="008E7544">
        <w:rPr>
          <w:b/>
        </w:rPr>
        <w:t>not</w:t>
      </w:r>
      <w:proofErr w:type="gramEnd"/>
      <w:r w:rsidRPr="008E7544">
        <w:rPr>
          <w:b/>
        </w:rPr>
        <w:t xml:space="preserve"> be determined by demand alone. </w:t>
      </w:r>
      <w:r w:rsidRPr="008E7544">
        <w:t xml:space="preserve">Although any metric will be imperfect, student credit hours (SCH) account for student demand and tuition revenues across departments based on students’ instructional experiences. In each department, SCH should be counted, and faculty ratios determined, separately for undergraduate and graduate programs. The faculty frequently observe, however, that a simple SCH to FTE ratio cannot be used in isolation. Different programs require different SCH/FTE ratios.  The feedback also suggests concern that research productivity and creative scholarship be considered when reviewing enrollment figures.   In an effort to preserve transparency, ECOS proposes that the recommendations account for these distinctions in any deviations as described below.  </w:t>
      </w:r>
    </w:p>
    <w:p w:rsidR="00EA0D6A" w:rsidRPr="008E7544" w:rsidRDefault="00EA0D6A" w:rsidP="00EA0D6A"/>
    <w:p w:rsidR="00EA0D6A" w:rsidRPr="008E7544" w:rsidRDefault="00EA0D6A" w:rsidP="00EA0D6A">
      <w:r w:rsidRPr="008E7544">
        <w:rPr>
          <w:b/>
        </w:rPr>
        <w:t>4. Target faculty levels should start with broad benchmarks by department.</w:t>
      </w:r>
      <w:r w:rsidRPr="008E7544">
        <w:t xml:space="preserve"> Baseline faculty targets should meet a broad internal benchmark such as five-year average SCH per instructional FTE by department. This accounts for different departments’ instructional demand and minimizes the impact of year-to-year anomalies such as sabbaticals, other research leave, and service leave. A broad external benchmark such as the applicable Delaware ratio should help identify outliers.</w:t>
      </w:r>
    </w:p>
    <w:p w:rsidR="00EA0D6A" w:rsidRPr="008E7544" w:rsidRDefault="00EA0D6A" w:rsidP="00EA0D6A"/>
    <w:p w:rsidR="00EA0D6A" w:rsidRPr="008E7544" w:rsidRDefault="00EA0D6A" w:rsidP="00EA0D6A">
      <w:r w:rsidRPr="008E7544">
        <w:rPr>
          <w:b/>
        </w:rPr>
        <w:t xml:space="preserve">5. Identification of target faculty levels should begin in the </w:t>
      </w:r>
      <w:proofErr w:type="gramStart"/>
      <w:r w:rsidRPr="008E7544">
        <w:rPr>
          <w:b/>
        </w:rPr>
        <w:t>Fall</w:t>
      </w:r>
      <w:proofErr w:type="gramEnd"/>
      <w:r w:rsidRPr="008E7544">
        <w:rPr>
          <w:b/>
        </w:rPr>
        <w:t xml:space="preserve"> 2018 semester.</w:t>
      </w:r>
      <w:r w:rsidRPr="008E7544">
        <w:t xml:space="preserve"> Future growth depends on making the hard choices of allocating reductions sooner rather than later. Identifying target faculty levels in the fall will allow departments and individual faculty to plan toward those levels, maximize the opportunity for voluntary departures of more senior faculty, and minimize curtailment of junior faculty.</w:t>
      </w:r>
    </w:p>
    <w:p w:rsidR="00EA0D6A" w:rsidRPr="008E7544" w:rsidRDefault="00EA0D6A" w:rsidP="00EA0D6A">
      <w:pPr>
        <w:rPr>
          <w:b/>
        </w:rPr>
      </w:pPr>
    </w:p>
    <w:p w:rsidR="00EA0D6A" w:rsidRPr="008E7544" w:rsidRDefault="00EA0D6A" w:rsidP="00EA0D6A">
      <w:pPr>
        <w:rPr>
          <w:b/>
        </w:rPr>
      </w:pPr>
      <w:r w:rsidRPr="008E7544">
        <w:rPr>
          <w:b/>
        </w:rPr>
        <w:t xml:space="preserve">We have a few areas of concern about the </w:t>
      </w:r>
      <w:r w:rsidRPr="008E7544">
        <w:rPr>
          <w:b/>
          <w:i/>
        </w:rPr>
        <w:t>Strategy</w:t>
      </w:r>
      <w:r w:rsidRPr="008E7544">
        <w:rPr>
          <w:b/>
        </w:rPr>
        <w:t xml:space="preserve"> and next steps:</w:t>
      </w:r>
    </w:p>
    <w:p w:rsidR="00EA0D6A" w:rsidRPr="008E7544" w:rsidRDefault="00EA0D6A" w:rsidP="00EA0D6A">
      <w:pPr>
        <w:rPr>
          <w:b/>
        </w:rPr>
      </w:pPr>
    </w:p>
    <w:p w:rsidR="00EA0D6A" w:rsidRPr="008E7544" w:rsidRDefault="00EA0D6A" w:rsidP="00EA0D6A">
      <w:pPr>
        <w:rPr>
          <w:rFonts w:cs="Times New Roman"/>
          <w:color w:val="000000"/>
        </w:rPr>
      </w:pPr>
      <w:r w:rsidRPr="008E7544">
        <w:rPr>
          <w:b/>
        </w:rPr>
        <w:t xml:space="preserve">1. The UPC should have been more involved in reviewing the proposed </w:t>
      </w:r>
      <w:r w:rsidRPr="008E7544">
        <w:rPr>
          <w:b/>
          <w:i/>
        </w:rPr>
        <w:t>Strategy</w:t>
      </w:r>
      <w:r w:rsidRPr="008E7544">
        <w:rPr>
          <w:b/>
        </w:rPr>
        <w:t>.</w:t>
      </w:r>
      <w:r w:rsidRPr="008E7544">
        <w:rPr>
          <w:rFonts w:cs="Times New Roman"/>
          <w:color w:val="000000"/>
        </w:rPr>
        <w:t xml:space="preserve"> Faculty feedback consistently indicates concerns that the recommendations for FTE reductions in the draft Strategy do not meaningfully integrate the work of both UPC subcommittees nor adequately communicate to the Faculty Senate and the UPC any basis for departures from that work.  In the future we expect the faculty will be more involved in developing and implementing strategic decisions such as curricular changes, reorganizations, etc.</w:t>
      </w:r>
    </w:p>
    <w:p w:rsidR="00EA0D6A" w:rsidRPr="008E7544" w:rsidRDefault="00EA0D6A" w:rsidP="00EA0D6A"/>
    <w:p w:rsidR="00EA0D6A" w:rsidRPr="008E7544" w:rsidRDefault="00EA0D6A" w:rsidP="00EA0D6A"/>
    <w:p w:rsidR="00EA0D6A" w:rsidRPr="008E7544" w:rsidRDefault="00EA0D6A" w:rsidP="00EA0D6A">
      <w:r w:rsidRPr="008E7544">
        <w:rPr>
          <w:b/>
        </w:rPr>
        <w:t xml:space="preserve">2. The Administration should address individual and systemic data problems.  </w:t>
      </w:r>
      <w:r w:rsidRPr="008E7544">
        <w:t>The use of broad benchmarks and target faculty levels ameliorates some data inadequacies and anomalies. Still, feedback suggests significant problems with the data that jeopardize the integrity of the process. After the 2018 data are released, but before the revised recommendations are published, ECOS strongly recommends that the Administration meet directly with department chairs to resolve remaining data accuracy issues. Furthermore, ECOS encourages the Administration to provide resources to improve data in support of future decisions. The legitimacy of the recommendations depends on the integrity of the underlying data.</w:t>
      </w:r>
    </w:p>
    <w:p w:rsidR="00EA0D6A" w:rsidRPr="008E7544" w:rsidRDefault="00EA0D6A" w:rsidP="00EA0D6A"/>
    <w:p w:rsidR="00EA0D6A" w:rsidRPr="008E7544" w:rsidRDefault="00EA0D6A" w:rsidP="00EA0D6A">
      <w:r w:rsidRPr="008E7544">
        <w:rPr>
          <w:b/>
        </w:rPr>
        <w:t>3. The Administration should target faculty levels, not reductions from a changing base.</w:t>
      </w:r>
      <w:r w:rsidRPr="008E7544">
        <w:t xml:space="preserve"> The current “Stage 2 Analysis” appears to set targets (the “green circles”) based on tenure-track reductions in the draft </w:t>
      </w:r>
      <w:r w:rsidRPr="008E7544">
        <w:rPr>
          <w:i/>
        </w:rPr>
        <w:t>Strategy</w:t>
      </w:r>
      <w:r w:rsidRPr="008E7544">
        <w:t xml:space="preserve"> rather than the total instructional FTE targets that institutional budgeting and departmental staffing requires. The </w:t>
      </w:r>
      <w:r w:rsidRPr="008E7544">
        <w:rPr>
          <w:i/>
        </w:rPr>
        <w:t>Strategy</w:t>
      </w:r>
      <w:r w:rsidRPr="008E7544">
        <w:t xml:space="preserve"> should set enrollment-based targets (subject to strategic deviations, below) for total instructional FTE (tenure-track, lecturer, adjunct).</w:t>
      </w:r>
    </w:p>
    <w:p w:rsidR="00EA0D6A" w:rsidRPr="008E7544" w:rsidRDefault="00EA0D6A" w:rsidP="00EA0D6A"/>
    <w:p w:rsidR="00EA0D6A" w:rsidRPr="008E7544" w:rsidRDefault="00EA0D6A" w:rsidP="00EA0D6A">
      <w:r w:rsidRPr="008E7544">
        <w:rPr>
          <w:b/>
        </w:rPr>
        <w:t>4. Deviations from enrollment-based targets should be strategic and justified.</w:t>
      </w:r>
      <w:r w:rsidRPr="008E7544">
        <w:t xml:space="preserve"> All departments produce much more than SCH, including distinct instructional methods, research, public service, institutional service, and national reputation, any of which may merit a deviation from the enrollment-based target. In many cases these deviations will be reflected in departmental metrics, though strategy may dictate further deviations from historical or peer benchmarks. Given that budget constraints require a fixed number of faculty, an above-benchmark increase of FTE in one department requires an additional reduction of FTE in another. The </w:t>
      </w:r>
      <w:r w:rsidRPr="008E7544">
        <w:rPr>
          <w:i/>
        </w:rPr>
        <w:t>Strategy</w:t>
      </w:r>
      <w:r w:rsidRPr="008E7544">
        <w:t xml:space="preserve"> should clearly state the basis for any deviations and justify the decision with respect to generally recognized strategic principles.</w:t>
      </w:r>
    </w:p>
    <w:p w:rsidR="00764F71" w:rsidRPr="00FC5B72" w:rsidRDefault="0075213D" w:rsidP="00764F71">
      <w:pPr>
        <w:ind w:left="720"/>
      </w:pPr>
      <w:r w:rsidRPr="00FC5B72">
        <w:br/>
      </w:r>
      <w:r w:rsidRPr="00FC5B72">
        <w:br/>
      </w:r>
    </w:p>
    <w:p w:rsidR="008808B5" w:rsidRPr="008E7544" w:rsidRDefault="008808B5" w:rsidP="00AC10E0">
      <w:pPr>
        <w:pStyle w:val="ListParagraph"/>
        <w:ind w:left="1080"/>
        <w:rPr>
          <w:rFonts w:eastAsia="Times New Roman" w:cs="Tahoma"/>
          <w:color w:val="000000"/>
        </w:rPr>
      </w:pPr>
    </w:p>
    <w:p w:rsidR="00ED382B" w:rsidRPr="008E7544" w:rsidRDefault="002A3B12" w:rsidP="002A3B12">
      <w:pPr>
        <w:pStyle w:val="Heading2"/>
        <w:rPr>
          <w:rFonts w:asciiTheme="minorHAnsi" w:eastAsia="Times New Roman" w:hAnsiTheme="minorHAnsi"/>
          <w:sz w:val="22"/>
          <w:szCs w:val="22"/>
        </w:rPr>
      </w:pPr>
      <w:r w:rsidRPr="008E7544">
        <w:rPr>
          <w:rFonts w:asciiTheme="minorHAnsi" w:eastAsia="Times New Roman" w:hAnsiTheme="minorHAnsi"/>
          <w:sz w:val="22"/>
          <w:szCs w:val="22"/>
        </w:rPr>
        <w:t>Senate Agenda</w:t>
      </w:r>
    </w:p>
    <w:p w:rsidR="00DA7A3B" w:rsidRPr="008E7544" w:rsidRDefault="00DA7A3B" w:rsidP="002A3B12">
      <w:pPr>
        <w:pStyle w:val="Heading3"/>
        <w:rPr>
          <w:rFonts w:asciiTheme="minorHAnsi" w:hAnsiTheme="minorHAnsi"/>
          <w:sz w:val="22"/>
          <w:szCs w:val="22"/>
        </w:rPr>
      </w:pPr>
      <w:r w:rsidRPr="008E7544">
        <w:rPr>
          <w:rFonts w:asciiTheme="minorHAnsi" w:hAnsiTheme="minorHAnsi"/>
          <w:sz w:val="22"/>
          <w:szCs w:val="22"/>
        </w:rPr>
        <w:t>Public Comment</w:t>
      </w:r>
    </w:p>
    <w:p w:rsidR="00DA7A3B" w:rsidRPr="008E7544" w:rsidRDefault="00DA7A3B" w:rsidP="00DA7A3B">
      <w:pPr>
        <w:rPr>
          <w:rFonts w:cs="Times New Roman"/>
        </w:rPr>
      </w:pPr>
      <w:r w:rsidRPr="008E7544">
        <w:rPr>
          <w:rFonts w:cs="Helvetica"/>
          <w:color w:val="222222"/>
          <w:shd w:val="clear" w:color="auto" w:fill="FFFFFF"/>
        </w:rPr>
        <w:t>(</w:t>
      </w:r>
      <w:proofErr w:type="gramStart"/>
      <w:r w:rsidRPr="008E7544">
        <w:rPr>
          <w:rFonts w:cs="Helvetica"/>
          <w:color w:val="222222"/>
          <w:shd w:val="clear" w:color="auto" w:fill="FFFFFF"/>
        </w:rPr>
        <w:t>not</w:t>
      </w:r>
      <w:proofErr w:type="gramEnd"/>
      <w:r w:rsidRPr="008E7544">
        <w:rPr>
          <w:rFonts w:cs="Helvetica"/>
          <w:color w:val="222222"/>
          <w:shd w:val="clear" w:color="auto" w:fill="FFFFFF"/>
        </w:rPr>
        <w:t xml:space="preserve"> to exceed 10 minutes)</w:t>
      </w:r>
    </w:p>
    <w:p w:rsidR="00DA7A3B" w:rsidRPr="008E7544" w:rsidRDefault="00DA7A3B" w:rsidP="002A3B12">
      <w:pPr>
        <w:pStyle w:val="Heading3"/>
        <w:rPr>
          <w:rFonts w:asciiTheme="minorHAnsi" w:hAnsiTheme="minorHAnsi"/>
          <w:sz w:val="22"/>
          <w:szCs w:val="22"/>
        </w:rPr>
      </w:pPr>
      <w:r w:rsidRPr="008E7544">
        <w:rPr>
          <w:rFonts w:asciiTheme="minorHAnsi" w:hAnsiTheme="minorHAnsi"/>
          <w:sz w:val="22"/>
          <w:szCs w:val="22"/>
        </w:rPr>
        <w:t>Communications</w:t>
      </w:r>
    </w:p>
    <w:p w:rsidR="00DA7A3B" w:rsidRPr="008E7544" w:rsidRDefault="00DA7A3B" w:rsidP="00DA7A3B">
      <w:pPr>
        <w:numPr>
          <w:ilvl w:val="0"/>
          <w:numId w:val="35"/>
        </w:numPr>
        <w:shd w:val="clear" w:color="auto" w:fill="FFFFFF"/>
        <w:spacing w:before="100" w:beforeAutospacing="1" w:after="100" w:afterAutospacing="1" w:line="240" w:lineRule="auto"/>
        <w:rPr>
          <w:rFonts w:cstheme="minorHAnsi"/>
          <w:color w:val="222222"/>
        </w:rPr>
      </w:pPr>
      <w:r w:rsidRPr="008E7544">
        <w:rPr>
          <w:rFonts w:cstheme="minorHAnsi"/>
          <w:color w:val="222222"/>
        </w:rPr>
        <w:t xml:space="preserve">President </w:t>
      </w:r>
      <w:proofErr w:type="gramStart"/>
      <w:r w:rsidRPr="008E7544">
        <w:rPr>
          <w:rFonts w:cstheme="minorHAnsi"/>
          <w:color w:val="222222"/>
        </w:rPr>
        <w:t>Bodnar</w:t>
      </w:r>
      <w:r w:rsidR="00251906" w:rsidRPr="008E7544">
        <w:rPr>
          <w:rFonts w:cstheme="minorHAnsi"/>
          <w:color w:val="222222"/>
        </w:rPr>
        <w:t xml:space="preserve"> ?</w:t>
      </w:r>
      <w:proofErr w:type="gramEnd"/>
      <w:r w:rsidR="00251906" w:rsidRPr="008E7544">
        <w:rPr>
          <w:rFonts w:cstheme="minorHAnsi"/>
          <w:color w:val="222222"/>
        </w:rPr>
        <w:t xml:space="preserve"> </w:t>
      </w:r>
    </w:p>
    <w:p w:rsidR="00251906" w:rsidRPr="008E7544" w:rsidRDefault="00251906" w:rsidP="00DA7A3B">
      <w:pPr>
        <w:numPr>
          <w:ilvl w:val="0"/>
          <w:numId w:val="35"/>
        </w:numPr>
        <w:shd w:val="clear" w:color="auto" w:fill="FFFFFF"/>
        <w:spacing w:before="100" w:beforeAutospacing="1" w:after="100" w:afterAutospacing="1" w:line="240" w:lineRule="auto"/>
        <w:rPr>
          <w:rFonts w:cstheme="minorHAnsi"/>
          <w:color w:val="222222"/>
        </w:rPr>
      </w:pPr>
      <w:r w:rsidRPr="008E7544">
        <w:rPr>
          <w:rFonts w:cstheme="minorHAnsi"/>
          <w:color w:val="222222"/>
        </w:rPr>
        <w:t xml:space="preserve">Interim Provost Paul Kirgis </w:t>
      </w:r>
      <w:r w:rsidR="001C5ADD" w:rsidRPr="008E7544">
        <w:rPr>
          <w:rFonts w:cstheme="minorHAnsi"/>
          <w:color w:val="222222"/>
        </w:rPr>
        <w:t xml:space="preserve"> - Degree Candidates</w:t>
      </w:r>
      <w:r w:rsidRPr="008E7544">
        <w:rPr>
          <w:rFonts w:cstheme="minorHAnsi"/>
          <w:color w:val="222222"/>
        </w:rPr>
        <w:t xml:space="preserve"> </w:t>
      </w:r>
      <w:r w:rsidR="00DF4ECB" w:rsidRPr="008E7544">
        <w:rPr>
          <w:rFonts w:cstheme="minorHAnsi"/>
          <w:color w:val="222222"/>
        </w:rPr>
        <w:t>( future academic calendars added)</w:t>
      </w:r>
    </w:p>
    <w:p w:rsidR="00DA7A3B" w:rsidRPr="008E7544" w:rsidRDefault="00DA7A3B" w:rsidP="00DA7A3B">
      <w:pPr>
        <w:numPr>
          <w:ilvl w:val="0"/>
          <w:numId w:val="35"/>
        </w:numPr>
        <w:shd w:val="clear" w:color="auto" w:fill="FFFFFF"/>
        <w:spacing w:before="100" w:beforeAutospacing="1" w:after="100" w:afterAutospacing="1" w:line="240" w:lineRule="auto"/>
        <w:rPr>
          <w:rFonts w:cstheme="minorHAnsi"/>
          <w:color w:val="222222"/>
        </w:rPr>
      </w:pPr>
      <w:r w:rsidRPr="008E7544">
        <w:rPr>
          <w:rFonts w:cstheme="minorHAnsi"/>
          <w:color w:val="222222"/>
        </w:rPr>
        <w:t xml:space="preserve">ASUM </w:t>
      </w:r>
      <w:r w:rsidR="002A3B12" w:rsidRPr="008E7544">
        <w:rPr>
          <w:rFonts w:cstheme="minorHAnsi"/>
          <w:color w:val="222222"/>
        </w:rPr>
        <w:t>Leadership</w:t>
      </w:r>
      <w:r w:rsidR="001407A5" w:rsidRPr="008E7544">
        <w:rPr>
          <w:rFonts w:cstheme="minorHAnsi"/>
          <w:color w:val="222222"/>
        </w:rPr>
        <w:t xml:space="preserve"> </w:t>
      </w:r>
      <w:r w:rsidR="00DF4ECB" w:rsidRPr="008E7544">
        <w:rPr>
          <w:rFonts w:cstheme="minorHAnsi"/>
          <w:color w:val="222222"/>
        </w:rPr>
        <w:t>(Old introduce New)</w:t>
      </w:r>
    </w:p>
    <w:p w:rsidR="00DA7A3B" w:rsidRPr="008E7544" w:rsidRDefault="00DA7A3B" w:rsidP="00FF4EE7">
      <w:pPr>
        <w:numPr>
          <w:ilvl w:val="0"/>
          <w:numId w:val="35"/>
        </w:numPr>
        <w:shd w:val="clear" w:color="auto" w:fill="FFFFFF"/>
        <w:spacing w:before="100" w:beforeAutospacing="1" w:after="100" w:afterAutospacing="1" w:line="240" w:lineRule="auto"/>
        <w:rPr>
          <w:rFonts w:cstheme="minorHAnsi"/>
          <w:color w:val="222222"/>
        </w:rPr>
      </w:pPr>
      <w:r w:rsidRPr="008E7544">
        <w:rPr>
          <w:rFonts w:cstheme="minorHAnsi"/>
          <w:color w:val="222222"/>
        </w:rPr>
        <w:t xml:space="preserve">UFA President Paul </w:t>
      </w:r>
      <w:proofErr w:type="gramStart"/>
      <w:r w:rsidRPr="008E7544">
        <w:rPr>
          <w:rFonts w:cstheme="minorHAnsi"/>
          <w:color w:val="222222"/>
        </w:rPr>
        <w:t>Haber</w:t>
      </w:r>
      <w:r w:rsidR="0020534C" w:rsidRPr="008E7544">
        <w:rPr>
          <w:rFonts w:cstheme="minorHAnsi"/>
          <w:color w:val="222222"/>
        </w:rPr>
        <w:t xml:space="preserve"> ?</w:t>
      </w:r>
      <w:proofErr w:type="gramEnd"/>
    </w:p>
    <w:p w:rsidR="001407A5" w:rsidRPr="008E7544" w:rsidRDefault="00DA7A3B" w:rsidP="00DA7A3B">
      <w:pPr>
        <w:numPr>
          <w:ilvl w:val="0"/>
          <w:numId w:val="35"/>
        </w:numPr>
        <w:shd w:val="clear" w:color="auto" w:fill="FFFFFF"/>
        <w:spacing w:before="100" w:beforeAutospacing="1" w:after="100" w:afterAutospacing="1" w:line="240" w:lineRule="auto"/>
        <w:rPr>
          <w:rFonts w:cstheme="minorHAnsi"/>
          <w:color w:val="222222"/>
        </w:rPr>
      </w:pPr>
      <w:r w:rsidRPr="008E7544">
        <w:rPr>
          <w:rFonts w:cstheme="minorHAnsi"/>
          <w:color w:val="222222"/>
        </w:rPr>
        <w:t>Chair's Report</w:t>
      </w:r>
    </w:p>
    <w:p w:rsidR="00DF4ECB" w:rsidRPr="008E7544" w:rsidRDefault="00DF4ECB" w:rsidP="0015306D">
      <w:pPr>
        <w:numPr>
          <w:ilvl w:val="1"/>
          <w:numId w:val="35"/>
        </w:numPr>
        <w:shd w:val="clear" w:color="auto" w:fill="FFFFFF"/>
        <w:spacing w:before="100" w:beforeAutospacing="1" w:after="100" w:afterAutospacing="1" w:line="240" w:lineRule="auto"/>
        <w:rPr>
          <w:rFonts w:cstheme="minorHAnsi"/>
          <w:color w:val="222222"/>
          <w:u w:val="single"/>
        </w:rPr>
      </w:pPr>
      <w:r w:rsidRPr="008E7544">
        <w:rPr>
          <w:rFonts w:cstheme="minorHAnsi"/>
          <w:color w:val="222222"/>
          <w:u w:val="single"/>
        </w:rPr>
        <w:t>Curriculum Deadline</w:t>
      </w:r>
    </w:p>
    <w:p w:rsidR="00B6267E" w:rsidRPr="008E7544" w:rsidRDefault="00B6267E" w:rsidP="0015306D">
      <w:pPr>
        <w:numPr>
          <w:ilvl w:val="1"/>
          <w:numId w:val="35"/>
        </w:numPr>
        <w:shd w:val="clear" w:color="auto" w:fill="FFFFFF"/>
        <w:spacing w:before="100" w:beforeAutospacing="1" w:after="100" w:afterAutospacing="1" w:line="240" w:lineRule="auto"/>
        <w:rPr>
          <w:rFonts w:cstheme="minorHAnsi"/>
          <w:strike/>
          <w:color w:val="222222"/>
        </w:rPr>
      </w:pPr>
      <w:r w:rsidRPr="008E7544">
        <w:rPr>
          <w:rFonts w:cstheme="minorHAnsi"/>
          <w:strike/>
          <w:color w:val="222222"/>
        </w:rPr>
        <w:t>Senate Response to President’s Recommendations</w:t>
      </w:r>
    </w:p>
    <w:p w:rsidR="00217045" w:rsidRPr="008E7544" w:rsidRDefault="00DF4ECB" w:rsidP="00217045">
      <w:pPr>
        <w:spacing w:before="100" w:beforeAutospacing="1" w:after="100" w:afterAutospacing="1" w:line="240" w:lineRule="auto"/>
        <w:ind w:left="1080"/>
        <w:rPr>
          <w:color w:val="222222"/>
        </w:rPr>
      </w:pPr>
      <w:r w:rsidRPr="008E7544">
        <w:rPr>
          <w:rFonts w:cstheme="minorHAnsi"/>
          <w:color w:val="222222"/>
        </w:rPr>
        <w:lastRenderedPageBreak/>
        <w:t>Various items on dropdown</w:t>
      </w:r>
      <w:r w:rsidR="00217045" w:rsidRPr="008E7544">
        <w:rPr>
          <w:rFonts w:cstheme="minorHAnsi"/>
          <w:color w:val="222222"/>
        </w:rPr>
        <w:t xml:space="preserve"> with statement that postponed until September meeting. </w:t>
      </w:r>
      <w:r w:rsidRPr="008E7544">
        <w:rPr>
          <w:rFonts w:cstheme="minorHAnsi"/>
          <w:color w:val="222222"/>
        </w:rPr>
        <w:br/>
      </w:r>
      <w:r w:rsidR="00217045" w:rsidRPr="008E7544">
        <w:rPr>
          <w:color w:val="222222"/>
        </w:rPr>
        <w:t>Annual Reports (drafts are under review</w:t>
      </w:r>
      <w:proofErr w:type="gramStart"/>
      <w:r w:rsidR="00217045" w:rsidRPr="008E7544">
        <w:rPr>
          <w:color w:val="222222"/>
        </w:rPr>
        <w:t>)-</w:t>
      </w:r>
      <w:proofErr w:type="gramEnd"/>
      <w:r w:rsidR="00217045" w:rsidRPr="008E7544">
        <w:rPr>
          <w:color w:val="222222"/>
        </w:rPr>
        <w:t xml:space="preserve"> Faculty Senate, ASCRC, Gen Ed</w:t>
      </w:r>
    </w:p>
    <w:p w:rsidR="00217045" w:rsidRPr="00FC5B72" w:rsidRDefault="00F62E8D" w:rsidP="00217045">
      <w:pPr>
        <w:numPr>
          <w:ilvl w:val="1"/>
          <w:numId w:val="46"/>
        </w:numPr>
        <w:spacing w:before="100" w:beforeAutospacing="1" w:after="100" w:afterAutospacing="1" w:line="240" w:lineRule="auto"/>
        <w:rPr>
          <w:rFonts w:cstheme="minorHAnsi"/>
          <w:color w:val="222222"/>
        </w:rPr>
      </w:pPr>
      <w:hyperlink r:id="rId9" w:history="1">
        <w:r w:rsidR="00217045" w:rsidRPr="00FC5B72">
          <w:rPr>
            <w:rStyle w:val="Hyperlink"/>
            <w:rFonts w:cstheme="minorHAnsi"/>
            <w:color w:val="222222"/>
          </w:rPr>
          <w:t>Graduate Council</w:t>
        </w:r>
      </w:hyperlink>
    </w:p>
    <w:p w:rsidR="00217045" w:rsidRPr="00FC5B72" w:rsidRDefault="00F62E8D" w:rsidP="00217045">
      <w:pPr>
        <w:numPr>
          <w:ilvl w:val="1"/>
          <w:numId w:val="46"/>
        </w:numPr>
        <w:spacing w:before="100" w:beforeAutospacing="1" w:after="100" w:afterAutospacing="1" w:line="240" w:lineRule="auto"/>
        <w:rPr>
          <w:rFonts w:cstheme="minorHAnsi"/>
          <w:color w:val="222222"/>
        </w:rPr>
      </w:pPr>
      <w:hyperlink r:id="rId10" w:history="1">
        <w:r w:rsidR="00217045" w:rsidRPr="00FC5B72">
          <w:rPr>
            <w:rStyle w:val="Hyperlink"/>
            <w:rFonts w:cstheme="minorHAnsi"/>
            <w:color w:val="222222"/>
          </w:rPr>
          <w:t>University Library Committee</w:t>
        </w:r>
      </w:hyperlink>
    </w:p>
    <w:p w:rsidR="00217045" w:rsidRPr="00FC5B72" w:rsidRDefault="00F62E8D" w:rsidP="00217045">
      <w:pPr>
        <w:numPr>
          <w:ilvl w:val="1"/>
          <w:numId w:val="46"/>
        </w:numPr>
        <w:spacing w:before="100" w:beforeAutospacing="1" w:after="100" w:afterAutospacing="1" w:line="240" w:lineRule="auto"/>
        <w:rPr>
          <w:rFonts w:cstheme="minorHAnsi"/>
          <w:color w:val="222222"/>
        </w:rPr>
      </w:pPr>
      <w:hyperlink r:id="rId11" w:history="1">
        <w:r w:rsidR="00217045" w:rsidRPr="00FC5B72">
          <w:rPr>
            <w:rStyle w:val="Hyperlink"/>
            <w:rFonts w:cstheme="minorHAnsi"/>
            <w:color w:val="222222"/>
          </w:rPr>
          <w:t>Writing Committee</w:t>
        </w:r>
      </w:hyperlink>
    </w:p>
    <w:p w:rsidR="00217045" w:rsidRPr="00FC5B72" w:rsidRDefault="00F62E8D" w:rsidP="00217045">
      <w:pPr>
        <w:numPr>
          <w:ilvl w:val="0"/>
          <w:numId w:val="46"/>
        </w:numPr>
        <w:spacing w:before="100" w:beforeAutospacing="1" w:after="100" w:afterAutospacing="1" w:line="240" w:lineRule="auto"/>
        <w:rPr>
          <w:rFonts w:cstheme="minorHAnsi"/>
          <w:color w:val="222222"/>
        </w:rPr>
      </w:pPr>
      <w:hyperlink r:id="rId12" w:history="1">
        <w:r w:rsidR="00217045" w:rsidRPr="00FC5B72">
          <w:rPr>
            <w:rStyle w:val="Hyperlink"/>
            <w:rFonts w:cstheme="minorHAnsi"/>
            <w:color w:val="222222"/>
          </w:rPr>
          <w:t>Revised Requesting Reconsideration of Rejected Curriculum Proposal (201.30.4)</w:t>
        </w:r>
      </w:hyperlink>
    </w:p>
    <w:p w:rsidR="00217045" w:rsidRPr="00FC5B72" w:rsidRDefault="00217045" w:rsidP="00217045">
      <w:pPr>
        <w:numPr>
          <w:ilvl w:val="0"/>
          <w:numId w:val="46"/>
        </w:numPr>
        <w:spacing w:before="100" w:beforeAutospacing="1" w:after="100" w:afterAutospacing="1" w:line="240" w:lineRule="auto"/>
        <w:rPr>
          <w:rFonts w:cstheme="minorHAnsi"/>
          <w:color w:val="222222"/>
        </w:rPr>
      </w:pPr>
      <w:r w:rsidRPr="00FC5B72">
        <w:rPr>
          <w:rFonts w:cstheme="minorHAnsi"/>
          <w:color w:val="222222"/>
        </w:rPr>
        <w:t>Revised </w:t>
      </w:r>
      <w:hyperlink r:id="rId13" w:history="1">
        <w:r w:rsidRPr="00FC5B72">
          <w:rPr>
            <w:rStyle w:val="Hyperlink"/>
            <w:rFonts w:cstheme="minorHAnsi"/>
            <w:color w:val="222222"/>
          </w:rPr>
          <w:t>General Education Subcommittee Responsibilities (202.4.1)</w:t>
        </w:r>
      </w:hyperlink>
      <w:r w:rsidRPr="00FC5B72">
        <w:rPr>
          <w:rFonts w:cstheme="minorHAnsi"/>
          <w:color w:val="222222"/>
        </w:rPr>
        <w:t> / </w:t>
      </w:r>
      <w:hyperlink r:id="rId14" w:history="1">
        <w:r w:rsidRPr="00FC5B72">
          <w:rPr>
            <w:rStyle w:val="Hyperlink"/>
            <w:rFonts w:cstheme="minorHAnsi"/>
            <w:color w:val="222222"/>
          </w:rPr>
          <w:t>Rationale</w:t>
        </w:r>
      </w:hyperlink>
      <w:r w:rsidRPr="00FC5B72">
        <w:rPr>
          <w:rFonts w:cstheme="minorHAnsi"/>
          <w:color w:val="222222"/>
        </w:rPr>
        <w:t> / </w:t>
      </w:r>
      <w:hyperlink r:id="rId15" w:history="1">
        <w:r w:rsidRPr="00FC5B72">
          <w:rPr>
            <w:rStyle w:val="Hyperlink"/>
            <w:rFonts w:cstheme="minorHAnsi"/>
            <w:color w:val="222222"/>
          </w:rPr>
          <w:t>Old procedure</w:t>
        </w:r>
      </w:hyperlink>
    </w:p>
    <w:p w:rsidR="00217045" w:rsidRPr="00FC5B72" w:rsidRDefault="00F62E8D" w:rsidP="00217045">
      <w:pPr>
        <w:numPr>
          <w:ilvl w:val="0"/>
          <w:numId w:val="46"/>
        </w:numPr>
        <w:spacing w:before="100" w:beforeAutospacing="1" w:after="100" w:afterAutospacing="1" w:line="240" w:lineRule="auto"/>
        <w:rPr>
          <w:rFonts w:cstheme="minorHAnsi"/>
          <w:color w:val="222222"/>
        </w:rPr>
      </w:pPr>
      <w:hyperlink r:id="rId16" w:history="1">
        <w:r w:rsidR="00217045" w:rsidRPr="00FC5B72">
          <w:rPr>
            <w:rStyle w:val="Hyperlink"/>
            <w:rFonts w:cstheme="minorHAnsi"/>
            <w:color w:val="222222"/>
          </w:rPr>
          <w:t>Syllabus Guidelines (201.30.5)</w:t>
        </w:r>
      </w:hyperlink>
    </w:p>
    <w:p w:rsidR="00217045" w:rsidRPr="00FC5B72" w:rsidRDefault="00F62E8D" w:rsidP="00217045">
      <w:pPr>
        <w:numPr>
          <w:ilvl w:val="0"/>
          <w:numId w:val="46"/>
        </w:numPr>
        <w:spacing w:before="100" w:beforeAutospacing="1" w:after="100" w:afterAutospacing="1" w:line="240" w:lineRule="auto"/>
        <w:rPr>
          <w:rFonts w:cstheme="minorHAnsi"/>
          <w:color w:val="222222"/>
        </w:rPr>
      </w:pPr>
      <w:hyperlink r:id="rId17" w:history="1">
        <w:r w:rsidR="00217045" w:rsidRPr="00FC5B72">
          <w:rPr>
            <w:rStyle w:val="Hyperlink"/>
            <w:rFonts w:cstheme="minorHAnsi"/>
            <w:color w:val="222222"/>
          </w:rPr>
          <w:t>Revised Graduate Increment Requirements and Guidelines (301.30</w:t>
        </w:r>
      </w:hyperlink>
      <w:r w:rsidR="00217045" w:rsidRPr="00FC5B72">
        <w:rPr>
          <w:rFonts w:cstheme="minorHAnsi"/>
          <w:color w:val="222222"/>
        </w:rPr>
        <w:t>) / </w:t>
      </w:r>
      <w:hyperlink r:id="rId18" w:history="1">
        <w:r w:rsidR="00217045" w:rsidRPr="00FC5B72">
          <w:rPr>
            <w:rStyle w:val="Hyperlink"/>
            <w:rFonts w:cstheme="minorHAnsi"/>
            <w:color w:val="222222"/>
          </w:rPr>
          <w:t>Rationale</w:t>
        </w:r>
      </w:hyperlink>
      <w:r w:rsidR="00217045" w:rsidRPr="00FC5B72">
        <w:rPr>
          <w:rFonts w:cstheme="minorHAnsi"/>
          <w:color w:val="222222"/>
        </w:rPr>
        <w:t>/ </w:t>
      </w:r>
      <w:hyperlink r:id="rId19" w:history="1">
        <w:r w:rsidR="00217045" w:rsidRPr="00FC5B72">
          <w:rPr>
            <w:rStyle w:val="Hyperlink"/>
            <w:rFonts w:cstheme="minorHAnsi"/>
            <w:color w:val="222222"/>
          </w:rPr>
          <w:t>Old procedure</w:t>
        </w:r>
      </w:hyperlink>
    </w:p>
    <w:p w:rsidR="00217045" w:rsidRPr="00FC5B72" w:rsidRDefault="00217045" w:rsidP="00217045">
      <w:pPr>
        <w:numPr>
          <w:ilvl w:val="0"/>
          <w:numId w:val="46"/>
        </w:numPr>
        <w:spacing w:before="100" w:beforeAutospacing="1" w:after="100" w:afterAutospacing="1" w:line="240" w:lineRule="auto"/>
        <w:rPr>
          <w:rFonts w:cstheme="minorHAnsi"/>
          <w:color w:val="222222"/>
        </w:rPr>
      </w:pPr>
      <w:r w:rsidRPr="00FC5B72">
        <w:rPr>
          <w:rFonts w:cstheme="minorHAnsi"/>
          <w:color w:val="222222"/>
        </w:rPr>
        <w:t>AP Diploma Articulation Language for Admissions Website [item approved via email will be communicated to Senate in September ]</w:t>
      </w:r>
    </w:p>
    <w:p w:rsidR="00217045" w:rsidRPr="00FC5B72" w:rsidRDefault="00217045" w:rsidP="00217045">
      <w:pPr>
        <w:numPr>
          <w:ilvl w:val="0"/>
          <w:numId w:val="46"/>
        </w:numPr>
        <w:spacing w:before="100" w:beforeAutospacing="1" w:after="100" w:afterAutospacing="1" w:line="240" w:lineRule="auto"/>
        <w:rPr>
          <w:rFonts w:cstheme="minorHAnsi"/>
          <w:color w:val="222222"/>
        </w:rPr>
      </w:pPr>
      <w:r w:rsidRPr="00FC5B72">
        <w:rPr>
          <w:rFonts w:cstheme="minorHAnsi"/>
          <w:color w:val="222222"/>
        </w:rPr>
        <w:t>Semester Withdrawal Catalog Language</w:t>
      </w:r>
    </w:p>
    <w:p w:rsidR="00217045" w:rsidRPr="00FC5B72" w:rsidRDefault="00F62E8D" w:rsidP="00217045">
      <w:pPr>
        <w:numPr>
          <w:ilvl w:val="0"/>
          <w:numId w:val="46"/>
        </w:numPr>
        <w:spacing w:before="100" w:beforeAutospacing="1" w:after="100" w:afterAutospacing="1" w:line="240" w:lineRule="auto"/>
        <w:rPr>
          <w:rFonts w:cstheme="minorHAnsi"/>
          <w:color w:val="222222"/>
        </w:rPr>
      </w:pPr>
      <w:hyperlink r:id="rId20" w:history="1">
        <w:r w:rsidR="00217045" w:rsidRPr="00FC5B72">
          <w:rPr>
            <w:rStyle w:val="Hyperlink"/>
            <w:rFonts w:cstheme="minorHAnsi"/>
            <w:color w:val="222222"/>
          </w:rPr>
          <w:t>Proposal to revise Natural Science General Education Group</w:t>
        </w:r>
      </w:hyperlink>
    </w:p>
    <w:p w:rsidR="00217045" w:rsidRPr="00FC5B72" w:rsidRDefault="00F62E8D" w:rsidP="00217045">
      <w:pPr>
        <w:numPr>
          <w:ilvl w:val="0"/>
          <w:numId w:val="46"/>
        </w:numPr>
        <w:spacing w:before="100" w:beforeAutospacing="1" w:after="100" w:afterAutospacing="1" w:line="240" w:lineRule="auto"/>
        <w:rPr>
          <w:rFonts w:cstheme="minorHAnsi"/>
          <w:color w:val="222222"/>
        </w:rPr>
      </w:pPr>
      <w:hyperlink r:id="rId21" w:history="1">
        <w:r w:rsidR="00217045" w:rsidRPr="00FC5B72">
          <w:rPr>
            <w:rStyle w:val="Hyperlink"/>
            <w:rFonts w:cstheme="minorHAnsi"/>
            <w:color w:val="222222"/>
          </w:rPr>
          <w:t>Revised Graduate Increment Requirements and Guidelines (301.30)</w:t>
        </w:r>
      </w:hyperlink>
    </w:p>
    <w:p w:rsidR="00217045" w:rsidRPr="00FC5B72" w:rsidRDefault="00217045" w:rsidP="00217045">
      <w:pPr>
        <w:numPr>
          <w:ilvl w:val="0"/>
          <w:numId w:val="46"/>
        </w:numPr>
        <w:spacing w:before="100" w:beforeAutospacing="1" w:after="100" w:afterAutospacing="1" w:line="240" w:lineRule="auto"/>
        <w:rPr>
          <w:rFonts w:cstheme="minorHAnsi"/>
          <w:color w:val="222222"/>
        </w:rPr>
      </w:pPr>
      <w:r w:rsidRPr="00FC5B72">
        <w:rPr>
          <w:rFonts w:cstheme="minorHAnsi"/>
          <w:color w:val="222222"/>
        </w:rPr>
        <w:t>Center Review - Structural &amp; Functional Neuroscience</w:t>
      </w:r>
    </w:p>
    <w:p w:rsidR="00DA7A3B" w:rsidRPr="008E7544" w:rsidRDefault="00DA7A3B" w:rsidP="002A3B12">
      <w:pPr>
        <w:pStyle w:val="Heading3"/>
        <w:rPr>
          <w:rFonts w:asciiTheme="minorHAnsi" w:hAnsiTheme="minorHAnsi"/>
          <w:sz w:val="22"/>
          <w:szCs w:val="22"/>
        </w:rPr>
      </w:pPr>
      <w:r w:rsidRPr="008E7544">
        <w:rPr>
          <w:rFonts w:asciiTheme="minorHAnsi" w:hAnsiTheme="minorHAnsi"/>
          <w:sz w:val="22"/>
          <w:szCs w:val="22"/>
        </w:rPr>
        <w:t>Committee Reports</w:t>
      </w:r>
    </w:p>
    <w:p w:rsidR="00DA7A3B" w:rsidRPr="008E7544" w:rsidRDefault="00DA7A3B" w:rsidP="00DA7A3B">
      <w:pPr>
        <w:numPr>
          <w:ilvl w:val="0"/>
          <w:numId w:val="36"/>
        </w:numPr>
        <w:shd w:val="clear" w:color="auto" w:fill="FFFFFF"/>
        <w:spacing w:before="100" w:beforeAutospacing="1" w:after="100" w:afterAutospacing="1" w:line="240" w:lineRule="auto"/>
        <w:rPr>
          <w:rFonts w:cstheme="minorHAnsi"/>
          <w:color w:val="222222"/>
        </w:rPr>
      </w:pPr>
      <w:r w:rsidRPr="008E7544">
        <w:rPr>
          <w:rFonts w:cstheme="minorHAnsi"/>
          <w:color w:val="222222"/>
        </w:rPr>
        <w:t>ASCRC Chair Doug Coffin</w:t>
      </w:r>
    </w:p>
    <w:p w:rsidR="003A0179" w:rsidRPr="008E7544" w:rsidRDefault="003A0179" w:rsidP="001407A5">
      <w:pPr>
        <w:numPr>
          <w:ilvl w:val="1"/>
          <w:numId w:val="36"/>
        </w:numPr>
        <w:shd w:val="clear" w:color="auto" w:fill="FFFFFF"/>
        <w:spacing w:before="100" w:beforeAutospacing="1" w:after="100" w:afterAutospacing="1" w:line="240" w:lineRule="auto"/>
        <w:rPr>
          <w:rFonts w:eastAsia="Times New Roman" w:cstheme="minorHAnsi"/>
          <w:color w:val="222222"/>
        </w:rPr>
      </w:pPr>
      <w:r w:rsidRPr="008E7544">
        <w:rPr>
          <w:rFonts w:eastAsia="Times New Roman" w:cstheme="minorHAnsi"/>
          <w:color w:val="222222"/>
        </w:rPr>
        <w:t>Curriculum Consent Agenda</w:t>
      </w:r>
    </w:p>
    <w:p w:rsidR="003A0179" w:rsidRPr="008E7544" w:rsidRDefault="00F62E8D" w:rsidP="001407A5">
      <w:pPr>
        <w:numPr>
          <w:ilvl w:val="1"/>
          <w:numId w:val="36"/>
        </w:numPr>
        <w:shd w:val="clear" w:color="auto" w:fill="FFFFFF"/>
        <w:spacing w:before="100" w:beforeAutospacing="1" w:after="100" w:afterAutospacing="1" w:line="240" w:lineRule="auto"/>
        <w:rPr>
          <w:rStyle w:val="Hyperlink"/>
          <w:rFonts w:eastAsia="Times New Roman" w:cstheme="minorHAnsi"/>
          <w:color w:val="222222"/>
          <w:u w:val="none"/>
        </w:rPr>
      </w:pPr>
      <w:hyperlink r:id="rId22" w:history="1">
        <w:r w:rsidR="001407A5" w:rsidRPr="008E7544">
          <w:rPr>
            <w:rStyle w:val="Hyperlink"/>
            <w:rFonts w:eastAsia="Times New Roman" w:cstheme="minorHAnsi"/>
            <w:color w:val="961125"/>
          </w:rPr>
          <w:t>Double Major / Dual Degree Motion</w:t>
        </w:r>
      </w:hyperlink>
      <w:r w:rsidR="00F70AA9" w:rsidRPr="008E7544">
        <w:rPr>
          <w:rStyle w:val="Hyperlink"/>
          <w:rFonts w:eastAsia="Times New Roman" w:cstheme="minorHAnsi"/>
          <w:color w:val="961125"/>
        </w:rPr>
        <w:t xml:space="preserve">  </w:t>
      </w:r>
    </w:p>
    <w:p w:rsidR="001407A5" w:rsidRPr="008E7544" w:rsidRDefault="003A0179" w:rsidP="001407A5">
      <w:pPr>
        <w:numPr>
          <w:ilvl w:val="1"/>
          <w:numId w:val="36"/>
        </w:numPr>
        <w:shd w:val="clear" w:color="auto" w:fill="FFFFFF"/>
        <w:spacing w:before="100" w:beforeAutospacing="1" w:after="100" w:afterAutospacing="1" w:line="240" w:lineRule="auto"/>
        <w:rPr>
          <w:rFonts w:eastAsia="Times New Roman" w:cstheme="minorHAnsi"/>
          <w:strike/>
          <w:color w:val="222222"/>
        </w:rPr>
      </w:pPr>
      <w:r w:rsidRPr="00FC5B72">
        <w:rPr>
          <w:rFonts w:cstheme="minorHAnsi"/>
          <w:strike/>
          <w:color w:val="222222"/>
        </w:rPr>
        <w:t>Curriculum Deadline</w:t>
      </w:r>
    </w:p>
    <w:p w:rsidR="00DA7A3B" w:rsidRPr="008E7544" w:rsidRDefault="00DA7A3B" w:rsidP="00DA7A3B">
      <w:pPr>
        <w:numPr>
          <w:ilvl w:val="0"/>
          <w:numId w:val="36"/>
        </w:numPr>
        <w:shd w:val="clear" w:color="auto" w:fill="FFFFFF"/>
        <w:spacing w:before="100" w:beforeAutospacing="1" w:after="100" w:afterAutospacing="1" w:line="240" w:lineRule="auto"/>
        <w:rPr>
          <w:rFonts w:cstheme="minorHAnsi"/>
          <w:color w:val="222222"/>
        </w:rPr>
      </w:pPr>
      <w:r w:rsidRPr="008E7544">
        <w:rPr>
          <w:rFonts w:cstheme="minorHAnsi"/>
          <w:color w:val="222222"/>
        </w:rPr>
        <w:t>Graduate Council</w:t>
      </w:r>
    </w:p>
    <w:p w:rsidR="00DA7A3B" w:rsidRPr="008E7544" w:rsidRDefault="001407A5" w:rsidP="00DA7A3B">
      <w:pPr>
        <w:numPr>
          <w:ilvl w:val="1"/>
          <w:numId w:val="36"/>
        </w:numPr>
        <w:shd w:val="clear" w:color="auto" w:fill="FFFFFF"/>
        <w:spacing w:before="100" w:beforeAutospacing="1" w:after="100" w:afterAutospacing="1" w:line="240" w:lineRule="auto"/>
        <w:rPr>
          <w:rFonts w:cstheme="minorHAnsi"/>
          <w:color w:val="222222"/>
        </w:rPr>
      </w:pPr>
      <w:r w:rsidRPr="008E7544">
        <w:rPr>
          <w:rFonts w:cstheme="minorHAnsi"/>
          <w:color w:val="222222"/>
        </w:rPr>
        <w:t>Curriculum Consent Agenda</w:t>
      </w:r>
    </w:p>
    <w:p w:rsidR="001407A5" w:rsidRPr="008E7544" w:rsidRDefault="001407A5" w:rsidP="00DA7A3B">
      <w:pPr>
        <w:numPr>
          <w:ilvl w:val="1"/>
          <w:numId w:val="36"/>
        </w:numPr>
        <w:shd w:val="clear" w:color="auto" w:fill="FFFFFF"/>
        <w:spacing w:before="100" w:beforeAutospacing="1" w:after="100" w:afterAutospacing="1" w:line="240" w:lineRule="auto"/>
        <w:rPr>
          <w:rFonts w:cstheme="minorHAnsi"/>
          <w:strike/>
          <w:color w:val="222222"/>
        </w:rPr>
      </w:pPr>
      <w:r w:rsidRPr="008E7544">
        <w:rPr>
          <w:rFonts w:cstheme="minorHAnsi"/>
          <w:strike/>
          <w:color w:val="222222"/>
        </w:rPr>
        <w:t>Graduate Council Annual Report</w:t>
      </w:r>
    </w:p>
    <w:p w:rsidR="00A342CF" w:rsidRPr="008E7544" w:rsidRDefault="00A342CF" w:rsidP="002A3B12">
      <w:pPr>
        <w:pStyle w:val="Heading3"/>
        <w:rPr>
          <w:rFonts w:asciiTheme="minorHAnsi" w:hAnsiTheme="minorHAnsi"/>
          <w:sz w:val="22"/>
          <w:szCs w:val="22"/>
        </w:rPr>
      </w:pPr>
      <w:r w:rsidRPr="008E7544">
        <w:rPr>
          <w:rFonts w:asciiTheme="minorHAnsi" w:hAnsiTheme="minorHAnsi"/>
          <w:sz w:val="22"/>
          <w:szCs w:val="22"/>
        </w:rPr>
        <w:t>New Business</w:t>
      </w:r>
    </w:p>
    <w:p w:rsidR="00A342CF" w:rsidRPr="00FC5B72" w:rsidRDefault="00A342CF" w:rsidP="003A0179">
      <w:pPr>
        <w:pStyle w:val="ListParagraph"/>
      </w:pPr>
    </w:p>
    <w:p w:rsidR="00DF4ECB" w:rsidRPr="00FC5B72" w:rsidRDefault="00DF4ECB" w:rsidP="00A342CF">
      <w:pPr>
        <w:pStyle w:val="ListParagraph"/>
        <w:numPr>
          <w:ilvl w:val="0"/>
          <w:numId w:val="39"/>
        </w:numPr>
        <w:rPr>
          <w:u w:val="single"/>
        </w:rPr>
      </w:pPr>
      <w:r w:rsidRPr="00FC5B72">
        <w:rPr>
          <w:u w:val="single"/>
        </w:rPr>
        <w:t>Senate Response to the draft Strategy for Distinction</w:t>
      </w:r>
    </w:p>
    <w:p w:rsidR="001407A5" w:rsidRPr="00FC5B72" w:rsidRDefault="001407A5" w:rsidP="00A342CF">
      <w:pPr>
        <w:pStyle w:val="ListParagraph"/>
        <w:numPr>
          <w:ilvl w:val="0"/>
          <w:numId w:val="39"/>
        </w:numPr>
      </w:pPr>
      <w:r w:rsidRPr="00FC5B72">
        <w:t>Thank Outgoing Senators and Seat New Senators</w:t>
      </w:r>
    </w:p>
    <w:p w:rsidR="001407A5" w:rsidRPr="00FC5B72" w:rsidRDefault="001407A5" w:rsidP="00864F39">
      <w:pPr>
        <w:pStyle w:val="ListParagraph"/>
        <w:numPr>
          <w:ilvl w:val="0"/>
          <w:numId w:val="39"/>
        </w:numPr>
      </w:pPr>
      <w:r w:rsidRPr="00FC5B72">
        <w:t>Election of Chair-Elect</w:t>
      </w:r>
    </w:p>
    <w:p w:rsidR="001407A5" w:rsidRPr="00FC5B72" w:rsidRDefault="001407A5" w:rsidP="00864F39">
      <w:pPr>
        <w:pStyle w:val="ListParagraph"/>
        <w:numPr>
          <w:ilvl w:val="0"/>
          <w:numId w:val="39"/>
        </w:numPr>
      </w:pPr>
      <w:r w:rsidRPr="00FC5B72">
        <w:t xml:space="preserve">Caucus to elect new </w:t>
      </w:r>
      <w:r w:rsidR="00F70AA9" w:rsidRPr="00FC5B72">
        <w:t xml:space="preserve">ECOS </w:t>
      </w:r>
      <w:r w:rsidRPr="00FC5B72">
        <w:t xml:space="preserve">members  </w:t>
      </w:r>
    </w:p>
    <w:p w:rsidR="00ED382B" w:rsidRPr="008E7544" w:rsidRDefault="00ED382B" w:rsidP="00DA7A3B">
      <w:pPr>
        <w:pStyle w:val="ListParagraph"/>
        <w:ind w:left="0"/>
        <w:rPr>
          <w:rFonts w:eastAsia="Times New Roman" w:cs="Tahoma"/>
          <w:color w:val="000000"/>
        </w:rPr>
      </w:pPr>
    </w:p>
    <w:p w:rsidR="00DF4ECB" w:rsidRPr="008E7544" w:rsidRDefault="00DF4ECB" w:rsidP="00DA7A3B">
      <w:pPr>
        <w:pStyle w:val="ListParagraph"/>
        <w:ind w:left="0"/>
        <w:rPr>
          <w:rFonts w:eastAsia="Times New Roman" w:cs="Tahoma"/>
          <w:color w:val="000000"/>
        </w:rPr>
      </w:pPr>
    </w:p>
    <w:p w:rsidR="00DF4ECB" w:rsidRPr="008E7544" w:rsidRDefault="00DF4ECB" w:rsidP="00DA7A3B">
      <w:pPr>
        <w:pStyle w:val="ListParagraph"/>
        <w:ind w:left="0"/>
        <w:rPr>
          <w:rFonts w:eastAsia="Times New Roman" w:cs="Tahoma"/>
          <w:color w:val="000000"/>
        </w:rPr>
      </w:pPr>
    </w:p>
    <w:sectPr w:rsidR="00DF4ECB" w:rsidRPr="008E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A2"/>
    <w:multiLevelType w:val="multilevel"/>
    <w:tmpl w:val="977C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D4475"/>
    <w:multiLevelType w:val="hybridMultilevel"/>
    <w:tmpl w:val="F0D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7EF7"/>
    <w:multiLevelType w:val="hybridMultilevel"/>
    <w:tmpl w:val="C41E6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F0BFB"/>
    <w:multiLevelType w:val="hybridMultilevel"/>
    <w:tmpl w:val="3A5C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22F5A"/>
    <w:multiLevelType w:val="multilevel"/>
    <w:tmpl w:val="AF9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0556B"/>
    <w:multiLevelType w:val="multilevel"/>
    <w:tmpl w:val="6B42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02C33"/>
    <w:multiLevelType w:val="hybridMultilevel"/>
    <w:tmpl w:val="185011D0"/>
    <w:lvl w:ilvl="0" w:tplc="06C04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510F0E"/>
    <w:multiLevelType w:val="multilevel"/>
    <w:tmpl w:val="59D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B3BFC"/>
    <w:multiLevelType w:val="multilevel"/>
    <w:tmpl w:val="0BB6C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C6CA9"/>
    <w:multiLevelType w:val="multilevel"/>
    <w:tmpl w:val="BC603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35159"/>
    <w:multiLevelType w:val="multilevel"/>
    <w:tmpl w:val="0986D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B6505"/>
    <w:multiLevelType w:val="hybridMultilevel"/>
    <w:tmpl w:val="00AC301E"/>
    <w:lvl w:ilvl="0" w:tplc="EE720B76">
      <w:start w:val="6"/>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A570595"/>
    <w:multiLevelType w:val="multilevel"/>
    <w:tmpl w:val="9022E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F683D"/>
    <w:multiLevelType w:val="multilevel"/>
    <w:tmpl w:val="88CEE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13FED"/>
    <w:multiLevelType w:val="multilevel"/>
    <w:tmpl w:val="251A9C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3590022C"/>
    <w:multiLevelType w:val="hybridMultilevel"/>
    <w:tmpl w:val="DC2A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01965"/>
    <w:multiLevelType w:val="multilevel"/>
    <w:tmpl w:val="C23C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50011"/>
    <w:multiLevelType w:val="multilevel"/>
    <w:tmpl w:val="75BA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24E84"/>
    <w:multiLevelType w:val="multilevel"/>
    <w:tmpl w:val="C35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153D6"/>
    <w:multiLevelType w:val="multilevel"/>
    <w:tmpl w:val="03EE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E41FE"/>
    <w:multiLevelType w:val="multilevel"/>
    <w:tmpl w:val="C454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33E8C"/>
    <w:multiLevelType w:val="multilevel"/>
    <w:tmpl w:val="9CEA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D03098"/>
    <w:multiLevelType w:val="hybridMultilevel"/>
    <w:tmpl w:val="682CB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B098D"/>
    <w:multiLevelType w:val="hybridMultilevel"/>
    <w:tmpl w:val="850A68DC"/>
    <w:lvl w:ilvl="0" w:tplc="2F90F5C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A9A4105"/>
    <w:multiLevelType w:val="multilevel"/>
    <w:tmpl w:val="16E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9F43B9"/>
    <w:multiLevelType w:val="multilevel"/>
    <w:tmpl w:val="96E4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65829"/>
    <w:multiLevelType w:val="hybridMultilevel"/>
    <w:tmpl w:val="A85418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50760D4C"/>
    <w:multiLevelType w:val="hybridMultilevel"/>
    <w:tmpl w:val="A4108DD8"/>
    <w:lvl w:ilvl="0" w:tplc="75966BEC">
      <w:start w:val="4"/>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28">
    <w:nsid w:val="50E518BC"/>
    <w:multiLevelType w:val="hybridMultilevel"/>
    <w:tmpl w:val="362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C3D88"/>
    <w:multiLevelType w:val="hybridMultilevel"/>
    <w:tmpl w:val="7AB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A233B"/>
    <w:multiLevelType w:val="multilevel"/>
    <w:tmpl w:val="9914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A1BEA"/>
    <w:multiLevelType w:val="multilevel"/>
    <w:tmpl w:val="218C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597314"/>
    <w:multiLevelType w:val="hybridMultilevel"/>
    <w:tmpl w:val="49A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13866"/>
    <w:multiLevelType w:val="hybridMultilevel"/>
    <w:tmpl w:val="64AE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D6022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A50E4"/>
    <w:multiLevelType w:val="hybridMultilevel"/>
    <w:tmpl w:val="BBEC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56729"/>
    <w:multiLevelType w:val="hybridMultilevel"/>
    <w:tmpl w:val="9AD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F5F21"/>
    <w:multiLevelType w:val="multilevel"/>
    <w:tmpl w:val="94F4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02341FB"/>
    <w:multiLevelType w:val="hybridMultilevel"/>
    <w:tmpl w:val="E7B46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25A2CB8"/>
    <w:multiLevelType w:val="multilevel"/>
    <w:tmpl w:val="AF68D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750DC6"/>
    <w:multiLevelType w:val="multilevel"/>
    <w:tmpl w:val="251A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2A1737"/>
    <w:multiLevelType w:val="hybridMultilevel"/>
    <w:tmpl w:val="B096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918D8"/>
    <w:multiLevelType w:val="multilevel"/>
    <w:tmpl w:val="AA78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447295"/>
    <w:multiLevelType w:val="multilevel"/>
    <w:tmpl w:val="1280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1"/>
  </w:num>
  <w:num w:numId="4">
    <w:abstractNumId w:val="4"/>
  </w:num>
  <w:num w:numId="5">
    <w:abstractNumId w:val="24"/>
  </w:num>
  <w:num w:numId="6">
    <w:abstractNumId w:val="18"/>
  </w:num>
  <w:num w:numId="7">
    <w:abstractNumId w:val="20"/>
  </w:num>
  <w:num w:numId="8">
    <w:abstractNumId w:val="41"/>
  </w:num>
  <w:num w:numId="9">
    <w:abstractNumId w:val="30"/>
  </w:num>
  <w:num w:numId="10">
    <w:abstractNumId w:val="31"/>
  </w:num>
  <w:num w:numId="11">
    <w:abstractNumId w:val="5"/>
  </w:num>
  <w:num w:numId="12">
    <w:abstractNumId w:val="28"/>
  </w:num>
  <w:num w:numId="13">
    <w:abstractNumId w:val="37"/>
  </w:num>
  <w:num w:numId="14">
    <w:abstractNumId w:val="3"/>
  </w:num>
  <w:num w:numId="15">
    <w:abstractNumId w:val="17"/>
  </w:num>
  <w:num w:numId="16">
    <w:abstractNumId w:val="0"/>
  </w:num>
  <w:num w:numId="17">
    <w:abstractNumId w:val="16"/>
  </w:num>
  <w:num w:numId="18">
    <w:abstractNumId w:val="35"/>
  </w:num>
  <w:num w:numId="19">
    <w:abstractNumId w:val="34"/>
  </w:num>
  <w:num w:numId="20">
    <w:abstractNumId w:val="3"/>
  </w:num>
  <w:num w:numId="21">
    <w:abstractNumId w:val="23"/>
  </w:num>
  <w:num w:numId="22">
    <w:abstractNumId w:val="26"/>
  </w:num>
  <w:num w:numId="23">
    <w:abstractNumId w:val="9"/>
  </w:num>
  <w:num w:numId="24">
    <w:abstractNumId w:val="25"/>
  </w:num>
  <w:num w:numId="25">
    <w:abstractNumId w:val="22"/>
  </w:num>
  <w:num w:numId="26">
    <w:abstractNumId w:val="8"/>
  </w:num>
  <w:num w:numId="27">
    <w:abstractNumId w:val="12"/>
  </w:num>
  <w:num w:numId="28">
    <w:abstractNumId w:val="21"/>
  </w:num>
  <w:num w:numId="29">
    <w:abstractNumId w:val="40"/>
  </w:num>
  <w:num w:numId="3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num>
  <w:num w:numId="34">
    <w:abstractNumId w:val="29"/>
  </w:num>
  <w:num w:numId="35">
    <w:abstractNumId w:val="13"/>
  </w:num>
  <w:num w:numId="36">
    <w:abstractNumId w:val="39"/>
  </w:num>
  <w:num w:numId="37">
    <w:abstractNumId w:val="7"/>
  </w:num>
  <w:num w:numId="38">
    <w:abstractNumId w:val="42"/>
  </w:num>
  <w:num w:numId="39">
    <w:abstractNumId w:val="15"/>
  </w:num>
  <w:num w:numId="40">
    <w:abstractNumId w:val="36"/>
  </w:num>
  <w:num w:numId="41">
    <w:abstractNumId w:val="32"/>
  </w:num>
  <w:num w:numId="42">
    <w:abstractNumId w:val="6"/>
  </w:num>
  <w:num w:numId="43">
    <w:abstractNumId w:val="19"/>
  </w:num>
  <w:num w:numId="44">
    <w:abstractNumId w:val="10"/>
  </w:num>
  <w:num w:numId="45">
    <w:abstractNumId w:val="38"/>
  </w:num>
  <w:num w:numId="4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Tim (Dr)">
    <w15:presenceInfo w15:providerId="AD" w15:userId="S-1-5-21-2136482048-1813729882-202879865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A7"/>
    <w:rsid w:val="00011813"/>
    <w:rsid w:val="000178C1"/>
    <w:rsid w:val="00022B27"/>
    <w:rsid w:val="00027F19"/>
    <w:rsid w:val="00037A45"/>
    <w:rsid w:val="0004164A"/>
    <w:rsid w:val="000525B0"/>
    <w:rsid w:val="000863E1"/>
    <w:rsid w:val="00097C09"/>
    <w:rsid w:val="000D1303"/>
    <w:rsid w:val="000D2FEF"/>
    <w:rsid w:val="000D5E12"/>
    <w:rsid w:val="000D6B59"/>
    <w:rsid w:val="000F154E"/>
    <w:rsid w:val="00126989"/>
    <w:rsid w:val="001356C0"/>
    <w:rsid w:val="001407A5"/>
    <w:rsid w:val="001435B9"/>
    <w:rsid w:val="00153C04"/>
    <w:rsid w:val="001543E8"/>
    <w:rsid w:val="0016355F"/>
    <w:rsid w:val="00167190"/>
    <w:rsid w:val="00173CB2"/>
    <w:rsid w:val="00181AE0"/>
    <w:rsid w:val="001A2C9F"/>
    <w:rsid w:val="001B0386"/>
    <w:rsid w:val="001C5ADD"/>
    <w:rsid w:val="001D6FA1"/>
    <w:rsid w:val="001E0A45"/>
    <w:rsid w:val="001E2D87"/>
    <w:rsid w:val="001E404F"/>
    <w:rsid w:val="001E44FB"/>
    <w:rsid w:val="001F089B"/>
    <w:rsid w:val="001F08C8"/>
    <w:rsid w:val="001F4F79"/>
    <w:rsid w:val="00203163"/>
    <w:rsid w:val="00205285"/>
    <w:rsid w:val="0020534C"/>
    <w:rsid w:val="00205E3C"/>
    <w:rsid w:val="00215EBA"/>
    <w:rsid w:val="00217045"/>
    <w:rsid w:val="00223001"/>
    <w:rsid w:val="00231060"/>
    <w:rsid w:val="00231A36"/>
    <w:rsid w:val="002416A5"/>
    <w:rsid w:val="00241915"/>
    <w:rsid w:val="00243B7C"/>
    <w:rsid w:val="002442DD"/>
    <w:rsid w:val="00251906"/>
    <w:rsid w:val="00256C01"/>
    <w:rsid w:val="002766D6"/>
    <w:rsid w:val="002A3B12"/>
    <w:rsid w:val="002A5BB5"/>
    <w:rsid w:val="002B0B79"/>
    <w:rsid w:val="002C1D20"/>
    <w:rsid w:val="002C5C77"/>
    <w:rsid w:val="002D53DA"/>
    <w:rsid w:val="002F22D0"/>
    <w:rsid w:val="00310229"/>
    <w:rsid w:val="00314678"/>
    <w:rsid w:val="00325C62"/>
    <w:rsid w:val="003565FF"/>
    <w:rsid w:val="00366124"/>
    <w:rsid w:val="00372D97"/>
    <w:rsid w:val="00377054"/>
    <w:rsid w:val="00380B86"/>
    <w:rsid w:val="003841BF"/>
    <w:rsid w:val="003852D6"/>
    <w:rsid w:val="003858B1"/>
    <w:rsid w:val="00385926"/>
    <w:rsid w:val="00385B94"/>
    <w:rsid w:val="003A0179"/>
    <w:rsid w:val="003A5209"/>
    <w:rsid w:val="003A683D"/>
    <w:rsid w:val="003B0794"/>
    <w:rsid w:val="003B4CA4"/>
    <w:rsid w:val="003D53EF"/>
    <w:rsid w:val="003D7E34"/>
    <w:rsid w:val="003E32AF"/>
    <w:rsid w:val="003F126E"/>
    <w:rsid w:val="004054F6"/>
    <w:rsid w:val="0041692E"/>
    <w:rsid w:val="00444966"/>
    <w:rsid w:val="00467BFA"/>
    <w:rsid w:val="00473521"/>
    <w:rsid w:val="00482873"/>
    <w:rsid w:val="00484745"/>
    <w:rsid w:val="004875E1"/>
    <w:rsid w:val="00493313"/>
    <w:rsid w:val="004A15D3"/>
    <w:rsid w:val="004B321D"/>
    <w:rsid w:val="004B3BE8"/>
    <w:rsid w:val="004E3713"/>
    <w:rsid w:val="004E6240"/>
    <w:rsid w:val="00510F2D"/>
    <w:rsid w:val="00513C3D"/>
    <w:rsid w:val="00517EBB"/>
    <w:rsid w:val="00545D37"/>
    <w:rsid w:val="00560D4B"/>
    <w:rsid w:val="0058241D"/>
    <w:rsid w:val="005915A7"/>
    <w:rsid w:val="00592493"/>
    <w:rsid w:val="0059372D"/>
    <w:rsid w:val="005956FF"/>
    <w:rsid w:val="005A1A0B"/>
    <w:rsid w:val="005C00A6"/>
    <w:rsid w:val="005C5905"/>
    <w:rsid w:val="005C6947"/>
    <w:rsid w:val="005F1A98"/>
    <w:rsid w:val="00604E34"/>
    <w:rsid w:val="006103DF"/>
    <w:rsid w:val="00610FD3"/>
    <w:rsid w:val="00613C62"/>
    <w:rsid w:val="00626190"/>
    <w:rsid w:val="00627DEC"/>
    <w:rsid w:val="00630BA8"/>
    <w:rsid w:val="006572F3"/>
    <w:rsid w:val="0068010D"/>
    <w:rsid w:val="00690A77"/>
    <w:rsid w:val="006B3C4A"/>
    <w:rsid w:val="006B54E5"/>
    <w:rsid w:val="006C0240"/>
    <w:rsid w:val="006C1F97"/>
    <w:rsid w:val="006D4183"/>
    <w:rsid w:val="006E38FE"/>
    <w:rsid w:val="006F1646"/>
    <w:rsid w:val="006F5E97"/>
    <w:rsid w:val="006F7BDB"/>
    <w:rsid w:val="00701345"/>
    <w:rsid w:val="00701731"/>
    <w:rsid w:val="00710B89"/>
    <w:rsid w:val="00726354"/>
    <w:rsid w:val="00727EDA"/>
    <w:rsid w:val="007403AA"/>
    <w:rsid w:val="0075213D"/>
    <w:rsid w:val="007533A2"/>
    <w:rsid w:val="007601AA"/>
    <w:rsid w:val="00764F71"/>
    <w:rsid w:val="00766A3E"/>
    <w:rsid w:val="007A067C"/>
    <w:rsid w:val="007B31D9"/>
    <w:rsid w:val="007B6945"/>
    <w:rsid w:val="007B6BBC"/>
    <w:rsid w:val="007C4D9E"/>
    <w:rsid w:val="007D3171"/>
    <w:rsid w:val="007F2287"/>
    <w:rsid w:val="00801722"/>
    <w:rsid w:val="00805604"/>
    <w:rsid w:val="0081333B"/>
    <w:rsid w:val="00822C72"/>
    <w:rsid w:val="00826C2D"/>
    <w:rsid w:val="00830527"/>
    <w:rsid w:val="00843293"/>
    <w:rsid w:val="00844B7F"/>
    <w:rsid w:val="008462E7"/>
    <w:rsid w:val="00871624"/>
    <w:rsid w:val="008808B5"/>
    <w:rsid w:val="008923A7"/>
    <w:rsid w:val="008962C1"/>
    <w:rsid w:val="0089719A"/>
    <w:rsid w:val="008C0194"/>
    <w:rsid w:val="008D32C0"/>
    <w:rsid w:val="008D6240"/>
    <w:rsid w:val="008D6E56"/>
    <w:rsid w:val="008E389C"/>
    <w:rsid w:val="008E7544"/>
    <w:rsid w:val="008F416C"/>
    <w:rsid w:val="00900630"/>
    <w:rsid w:val="00913DD1"/>
    <w:rsid w:val="00935011"/>
    <w:rsid w:val="00942DEB"/>
    <w:rsid w:val="00947D79"/>
    <w:rsid w:val="00961B8F"/>
    <w:rsid w:val="00977349"/>
    <w:rsid w:val="00980513"/>
    <w:rsid w:val="00995488"/>
    <w:rsid w:val="009A4F23"/>
    <w:rsid w:val="009A5CCD"/>
    <w:rsid w:val="009A6841"/>
    <w:rsid w:val="009B1FB2"/>
    <w:rsid w:val="009B5E94"/>
    <w:rsid w:val="009B7E49"/>
    <w:rsid w:val="009C683B"/>
    <w:rsid w:val="009E508C"/>
    <w:rsid w:val="00A03456"/>
    <w:rsid w:val="00A342CF"/>
    <w:rsid w:val="00A367AB"/>
    <w:rsid w:val="00A36F60"/>
    <w:rsid w:val="00A431FA"/>
    <w:rsid w:val="00A523BF"/>
    <w:rsid w:val="00A6289C"/>
    <w:rsid w:val="00A738BF"/>
    <w:rsid w:val="00A775B4"/>
    <w:rsid w:val="00A90B28"/>
    <w:rsid w:val="00A9257F"/>
    <w:rsid w:val="00A969E0"/>
    <w:rsid w:val="00AA5226"/>
    <w:rsid w:val="00AC10E0"/>
    <w:rsid w:val="00AD3CD5"/>
    <w:rsid w:val="00AD7D59"/>
    <w:rsid w:val="00AE3AB0"/>
    <w:rsid w:val="00AE52A4"/>
    <w:rsid w:val="00B16C6A"/>
    <w:rsid w:val="00B17E51"/>
    <w:rsid w:val="00B378F4"/>
    <w:rsid w:val="00B41440"/>
    <w:rsid w:val="00B6267E"/>
    <w:rsid w:val="00B748A1"/>
    <w:rsid w:val="00B76815"/>
    <w:rsid w:val="00B9128B"/>
    <w:rsid w:val="00BC354D"/>
    <w:rsid w:val="00BC35EE"/>
    <w:rsid w:val="00BC6366"/>
    <w:rsid w:val="00BC64D6"/>
    <w:rsid w:val="00BD3161"/>
    <w:rsid w:val="00BE7D02"/>
    <w:rsid w:val="00BF1FBD"/>
    <w:rsid w:val="00C16657"/>
    <w:rsid w:val="00C51FEE"/>
    <w:rsid w:val="00C611A3"/>
    <w:rsid w:val="00C8402A"/>
    <w:rsid w:val="00C87613"/>
    <w:rsid w:val="00C9342E"/>
    <w:rsid w:val="00C9729D"/>
    <w:rsid w:val="00CD267F"/>
    <w:rsid w:val="00CD76D3"/>
    <w:rsid w:val="00CE104F"/>
    <w:rsid w:val="00D33869"/>
    <w:rsid w:val="00D454F7"/>
    <w:rsid w:val="00D70ADE"/>
    <w:rsid w:val="00D745C1"/>
    <w:rsid w:val="00D849A3"/>
    <w:rsid w:val="00D85747"/>
    <w:rsid w:val="00D8612C"/>
    <w:rsid w:val="00D90D91"/>
    <w:rsid w:val="00DA03B9"/>
    <w:rsid w:val="00DA7A3B"/>
    <w:rsid w:val="00DB2B04"/>
    <w:rsid w:val="00DC1AEF"/>
    <w:rsid w:val="00DD5A94"/>
    <w:rsid w:val="00DD6BF4"/>
    <w:rsid w:val="00DE1284"/>
    <w:rsid w:val="00DF4ECB"/>
    <w:rsid w:val="00E00CF4"/>
    <w:rsid w:val="00E047D7"/>
    <w:rsid w:val="00E103D1"/>
    <w:rsid w:val="00E15F66"/>
    <w:rsid w:val="00E1783F"/>
    <w:rsid w:val="00E62940"/>
    <w:rsid w:val="00E65B5B"/>
    <w:rsid w:val="00E67748"/>
    <w:rsid w:val="00E84AAF"/>
    <w:rsid w:val="00E942A6"/>
    <w:rsid w:val="00EA0D6A"/>
    <w:rsid w:val="00EB46CA"/>
    <w:rsid w:val="00EC42FD"/>
    <w:rsid w:val="00ED289F"/>
    <w:rsid w:val="00ED382B"/>
    <w:rsid w:val="00EF2E12"/>
    <w:rsid w:val="00F07839"/>
    <w:rsid w:val="00F17BF3"/>
    <w:rsid w:val="00F22BC7"/>
    <w:rsid w:val="00F278F5"/>
    <w:rsid w:val="00F62E8D"/>
    <w:rsid w:val="00F645DD"/>
    <w:rsid w:val="00F677F9"/>
    <w:rsid w:val="00F70AA9"/>
    <w:rsid w:val="00F74E6F"/>
    <w:rsid w:val="00F76C72"/>
    <w:rsid w:val="00F77C7F"/>
    <w:rsid w:val="00FA2EBF"/>
    <w:rsid w:val="00FA368F"/>
    <w:rsid w:val="00FA4368"/>
    <w:rsid w:val="00FB1907"/>
    <w:rsid w:val="00FB37DE"/>
    <w:rsid w:val="00FB62F6"/>
    <w:rsid w:val="00FC467A"/>
    <w:rsid w:val="00FC5B72"/>
    <w:rsid w:val="00FC66F9"/>
    <w:rsid w:val="00FD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B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F4EC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5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92493"/>
    <w:rPr>
      <w:color w:val="0563C1" w:themeColor="hyperlink"/>
      <w:u w:val="single"/>
    </w:rPr>
  </w:style>
  <w:style w:type="character" w:customStyle="1" w:styleId="Heading2Char">
    <w:name w:val="Heading 2 Char"/>
    <w:basedOn w:val="DefaultParagraphFont"/>
    <w:link w:val="Heading2"/>
    <w:uiPriority w:val="9"/>
    <w:rsid w:val="005924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2493"/>
    <w:pPr>
      <w:ind w:left="720"/>
      <w:contextualSpacing/>
    </w:pPr>
  </w:style>
  <w:style w:type="character" w:customStyle="1" w:styleId="Heading3Char">
    <w:name w:val="Heading 3 Char"/>
    <w:basedOn w:val="DefaultParagraphFont"/>
    <w:link w:val="Heading3"/>
    <w:uiPriority w:val="9"/>
    <w:rsid w:val="00630B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0BA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B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D9"/>
    <w:rPr>
      <w:rFonts w:ascii="Segoe UI" w:hAnsi="Segoe UI" w:cs="Segoe UI"/>
      <w:sz w:val="18"/>
      <w:szCs w:val="18"/>
    </w:rPr>
  </w:style>
  <w:style w:type="character" w:styleId="FollowedHyperlink">
    <w:name w:val="FollowedHyperlink"/>
    <w:basedOn w:val="DefaultParagraphFont"/>
    <w:uiPriority w:val="99"/>
    <w:semiHidden/>
    <w:unhideWhenUsed/>
    <w:rsid w:val="00231060"/>
    <w:rPr>
      <w:color w:val="954F72" w:themeColor="followedHyperlink"/>
      <w:u w:val="single"/>
    </w:rPr>
  </w:style>
  <w:style w:type="paragraph" w:styleId="NormalWeb">
    <w:name w:val="Normal (Web)"/>
    <w:basedOn w:val="Normal"/>
    <w:uiPriority w:val="99"/>
    <w:unhideWhenUsed/>
    <w:rsid w:val="005C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F4EC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DF4E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B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F4EC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5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92493"/>
    <w:rPr>
      <w:color w:val="0563C1" w:themeColor="hyperlink"/>
      <w:u w:val="single"/>
    </w:rPr>
  </w:style>
  <w:style w:type="character" w:customStyle="1" w:styleId="Heading2Char">
    <w:name w:val="Heading 2 Char"/>
    <w:basedOn w:val="DefaultParagraphFont"/>
    <w:link w:val="Heading2"/>
    <w:uiPriority w:val="9"/>
    <w:rsid w:val="005924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2493"/>
    <w:pPr>
      <w:ind w:left="720"/>
      <w:contextualSpacing/>
    </w:pPr>
  </w:style>
  <w:style w:type="character" w:customStyle="1" w:styleId="Heading3Char">
    <w:name w:val="Heading 3 Char"/>
    <w:basedOn w:val="DefaultParagraphFont"/>
    <w:link w:val="Heading3"/>
    <w:uiPriority w:val="9"/>
    <w:rsid w:val="00630B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0BA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B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D9"/>
    <w:rPr>
      <w:rFonts w:ascii="Segoe UI" w:hAnsi="Segoe UI" w:cs="Segoe UI"/>
      <w:sz w:val="18"/>
      <w:szCs w:val="18"/>
    </w:rPr>
  </w:style>
  <w:style w:type="character" w:styleId="FollowedHyperlink">
    <w:name w:val="FollowedHyperlink"/>
    <w:basedOn w:val="DefaultParagraphFont"/>
    <w:uiPriority w:val="99"/>
    <w:semiHidden/>
    <w:unhideWhenUsed/>
    <w:rsid w:val="00231060"/>
    <w:rPr>
      <w:color w:val="954F72" w:themeColor="followedHyperlink"/>
      <w:u w:val="single"/>
    </w:rPr>
  </w:style>
  <w:style w:type="paragraph" w:styleId="NormalWeb">
    <w:name w:val="Normal (Web)"/>
    <w:basedOn w:val="Normal"/>
    <w:uiPriority w:val="99"/>
    <w:unhideWhenUsed/>
    <w:rsid w:val="005C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F4EC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DF4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7160">
      <w:bodyDiv w:val="1"/>
      <w:marLeft w:val="0"/>
      <w:marRight w:val="0"/>
      <w:marTop w:val="0"/>
      <w:marBottom w:val="0"/>
      <w:divBdr>
        <w:top w:val="none" w:sz="0" w:space="0" w:color="auto"/>
        <w:left w:val="none" w:sz="0" w:space="0" w:color="auto"/>
        <w:bottom w:val="none" w:sz="0" w:space="0" w:color="auto"/>
        <w:right w:val="none" w:sz="0" w:space="0" w:color="auto"/>
      </w:divBdr>
    </w:div>
    <w:div w:id="66730974">
      <w:bodyDiv w:val="1"/>
      <w:marLeft w:val="0"/>
      <w:marRight w:val="0"/>
      <w:marTop w:val="0"/>
      <w:marBottom w:val="0"/>
      <w:divBdr>
        <w:top w:val="none" w:sz="0" w:space="0" w:color="auto"/>
        <w:left w:val="none" w:sz="0" w:space="0" w:color="auto"/>
        <w:bottom w:val="none" w:sz="0" w:space="0" w:color="auto"/>
        <w:right w:val="none" w:sz="0" w:space="0" w:color="auto"/>
      </w:divBdr>
      <w:divsChild>
        <w:div w:id="2113352014">
          <w:marLeft w:val="-225"/>
          <w:marRight w:val="-225"/>
          <w:marTop w:val="0"/>
          <w:marBottom w:val="0"/>
          <w:divBdr>
            <w:top w:val="none" w:sz="0" w:space="0" w:color="auto"/>
            <w:left w:val="none" w:sz="0" w:space="0" w:color="auto"/>
            <w:bottom w:val="none" w:sz="0" w:space="0" w:color="auto"/>
            <w:right w:val="none" w:sz="0" w:space="0" w:color="auto"/>
          </w:divBdr>
          <w:divsChild>
            <w:div w:id="797725058">
              <w:marLeft w:val="0"/>
              <w:marRight w:val="0"/>
              <w:marTop w:val="0"/>
              <w:marBottom w:val="0"/>
              <w:divBdr>
                <w:top w:val="none" w:sz="0" w:space="0" w:color="auto"/>
                <w:left w:val="none" w:sz="0" w:space="0" w:color="auto"/>
                <w:bottom w:val="none" w:sz="0" w:space="0" w:color="auto"/>
                <w:right w:val="none" w:sz="0" w:space="0" w:color="auto"/>
              </w:divBdr>
              <w:divsChild>
                <w:div w:id="180778397">
                  <w:marLeft w:val="0"/>
                  <w:marRight w:val="0"/>
                  <w:marTop w:val="0"/>
                  <w:marBottom w:val="0"/>
                  <w:divBdr>
                    <w:top w:val="none" w:sz="0" w:space="0" w:color="auto"/>
                    <w:left w:val="none" w:sz="0" w:space="0" w:color="auto"/>
                    <w:bottom w:val="none" w:sz="0" w:space="0" w:color="auto"/>
                    <w:right w:val="none" w:sz="0" w:space="0" w:color="auto"/>
                  </w:divBdr>
                  <w:divsChild>
                    <w:div w:id="800734609">
                      <w:marLeft w:val="0"/>
                      <w:marRight w:val="0"/>
                      <w:marTop w:val="0"/>
                      <w:marBottom w:val="0"/>
                      <w:divBdr>
                        <w:top w:val="none" w:sz="0" w:space="0" w:color="auto"/>
                        <w:left w:val="none" w:sz="0" w:space="0" w:color="auto"/>
                        <w:bottom w:val="none" w:sz="0" w:space="0" w:color="auto"/>
                        <w:right w:val="none" w:sz="0" w:space="0" w:color="auto"/>
                      </w:divBdr>
                      <w:divsChild>
                        <w:div w:id="1654215627">
                          <w:marLeft w:val="0"/>
                          <w:marRight w:val="0"/>
                          <w:marTop w:val="0"/>
                          <w:marBottom w:val="300"/>
                          <w:divBdr>
                            <w:top w:val="none" w:sz="0" w:space="0" w:color="auto"/>
                            <w:left w:val="none" w:sz="0" w:space="0" w:color="auto"/>
                            <w:bottom w:val="none" w:sz="0" w:space="0" w:color="auto"/>
                            <w:right w:val="none" w:sz="0" w:space="0" w:color="auto"/>
                          </w:divBdr>
                          <w:divsChild>
                            <w:div w:id="1718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31090">
          <w:marLeft w:val="-225"/>
          <w:marRight w:val="-225"/>
          <w:marTop w:val="0"/>
          <w:marBottom w:val="0"/>
          <w:divBdr>
            <w:top w:val="none" w:sz="0" w:space="0" w:color="auto"/>
            <w:left w:val="none" w:sz="0" w:space="0" w:color="auto"/>
            <w:bottom w:val="none" w:sz="0" w:space="0" w:color="auto"/>
            <w:right w:val="none" w:sz="0" w:space="0" w:color="auto"/>
          </w:divBdr>
          <w:divsChild>
            <w:div w:id="13621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981">
      <w:bodyDiv w:val="1"/>
      <w:marLeft w:val="0"/>
      <w:marRight w:val="0"/>
      <w:marTop w:val="0"/>
      <w:marBottom w:val="0"/>
      <w:divBdr>
        <w:top w:val="none" w:sz="0" w:space="0" w:color="auto"/>
        <w:left w:val="none" w:sz="0" w:space="0" w:color="auto"/>
        <w:bottom w:val="none" w:sz="0" w:space="0" w:color="auto"/>
        <w:right w:val="none" w:sz="0" w:space="0" w:color="auto"/>
      </w:divBdr>
    </w:div>
    <w:div w:id="248194029">
      <w:bodyDiv w:val="1"/>
      <w:marLeft w:val="0"/>
      <w:marRight w:val="0"/>
      <w:marTop w:val="0"/>
      <w:marBottom w:val="0"/>
      <w:divBdr>
        <w:top w:val="none" w:sz="0" w:space="0" w:color="auto"/>
        <w:left w:val="none" w:sz="0" w:space="0" w:color="auto"/>
        <w:bottom w:val="none" w:sz="0" w:space="0" w:color="auto"/>
        <w:right w:val="none" w:sz="0" w:space="0" w:color="auto"/>
      </w:divBdr>
    </w:div>
    <w:div w:id="413825433">
      <w:bodyDiv w:val="1"/>
      <w:marLeft w:val="0"/>
      <w:marRight w:val="0"/>
      <w:marTop w:val="0"/>
      <w:marBottom w:val="0"/>
      <w:divBdr>
        <w:top w:val="none" w:sz="0" w:space="0" w:color="auto"/>
        <w:left w:val="none" w:sz="0" w:space="0" w:color="auto"/>
        <w:bottom w:val="none" w:sz="0" w:space="0" w:color="auto"/>
        <w:right w:val="none" w:sz="0" w:space="0" w:color="auto"/>
      </w:divBdr>
    </w:div>
    <w:div w:id="455025415">
      <w:bodyDiv w:val="1"/>
      <w:marLeft w:val="0"/>
      <w:marRight w:val="0"/>
      <w:marTop w:val="0"/>
      <w:marBottom w:val="0"/>
      <w:divBdr>
        <w:top w:val="none" w:sz="0" w:space="0" w:color="auto"/>
        <w:left w:val="none" w:sz="0" w:space="0" w:color="auto"/>
        <w:bottom w:val="none" w:sz="0" w:space="0" w:color="auto"/>
        <w:right w:val="none" w:sz="0" w:space="0" w:color="auto"/>
      </w:divBdr>
    </w:div>
    <w:div w:id="572470040">
      <w:bodyDiv w:val="1"/>
      <w:marLeft w:val="0"/>
      <w:marRight w:val="0"/>
      <w:marTop w:val="0"/>
      <w:marBottom w:val="0"/>
      <w:divBdr>
        <w:top w:val="none" w:sz="0" w:space="0" w:color="auto"/>
        <w:left w:val="none" w:sz="0" w:space="0" w:color="auto"/>
        <w:bottom w:val="none" w:sz="0" w:space="0" w:color="auto"/>
        <w:right w:val="none" w:sz="0" w:space="0" w:color="auto"/>
      </w:divBdr>
    </w:div>
    <w:div w:id="773019916">
      <w:bodyDiv w:val="1"/>
      <w:marLeft w:val="0"/>
      <w:marRight w:val="0"/>
      <w:marTop w:val="0"/>
      <w:marBottom w:val="0"/>
      <w:divBdr>
        <w:top w:val="none" w:sz="0" w:space="0" w:color="auto"/>
        <w:left w:val="none" w:sz="0" w:space="0" w:color="auto"/>
        <w:bottom w:val="none" w:sz="0" w:space="0" w:color="auto"/>
        <w:right w:val="none" w:sz="0" w:space="0" w:color="auto"/>
      </w:divBdr>
    </w:div>
    <w:div w:id="939604650">
      <w:bodyDiv w:val="1"/>
      <w:marLeft w:val="0"/>
      <w:marRight w:val="0"/>
      <w:marTop w:val="0"/>
      <w:marBottom w:val="0"/>
      <w:divBdr>
        <w:top w:val="none" w:sz="0" w:space="0" w:color="auto"/>
        <w:left w:val="none" w:sz="0" w:space="0" w:color="auto"/>
        <w:bottom w:val="none" w:sz="0" w:space="0" w:color="auto"/>
        <w:right w:val="none" w:sz="0" w:space="0" w:color="auto"/>
      </w:divBdr>
      <w:divsChild>
        <w:div w:id="1781491647">
          <w:marLeft w:val="0"/>
          <w:marRight w:val="0"/>
          <w:marTop w:val="0"/>
          <w:marBottom w:val="0"/>
          <w:divBdr>
            <w:top w:val="none" w:sz="0" w:space="0" w:color="auto"/>
            <w:left w:val="none" w:sz="0" w:space="0" w:color="auto"/>
            <w:bottom w:val="none" w:sz="0" w:space="0" w:color="auto"/>
            <w:right w:val="none" w:sz="0" w:space="0" w:color="auto"/>
          </w:divBdr>
          <w:divsChild>
            <w:div w:id="481851662">
              <w:marLeft w:val="0"/>
              <w:marRight w:val="0"/>
              <w:marTop w:val="0"/>
              <w:marBottom w:val="0"/>
              <w:divBdr>
                <w:top w:val="none" w:sz="0" w:space="0" w:color="auto"/>
                <w:left w:val="none" w:sz="0" w:space="0" w:color="auto"/>
                <w:bottom w:val="none" w:sz="0" w:space="0" w:color="auto"/>
                <w:right w:val="none" w:sz="0" w:space="0" w:color="auto"/>
              </w:divBdr>
              <w:divsChild>
                <w:div w:id="1579629900">
                  <w:marLeft w:val="0"/>
                  <w:marRight w:val="0"/>
                  <w:marTop w:val="0"/>
                  <w:marBottom w:val="0"/>
                  <w:divBdr>
                    <w:top w:val="none" w:sz="0" w:space="0" w:color="auto"/>
                    <w:left w:val="none" w:sz="0" w:space="0" w:color="auto"/>
                    <w:bottom w:val="none" w:sz="0" w:space="0" w:color="auto"/>
                    <w:right w:val="none" w:sz="0" w:space="0" w:color="auto"/>
                  </w:divBdr>
                </w:div>
              </w:divsChild>
            </w:div>
            <w:div w:id="1058430668">
              <w:marLeft w:val="0"/>
              <w:marRight w:val="0"/>
              <w:marTop w:val="0"/>
              <w:marBottom w:val="0"/>
              <w:divBdr>
                <w:top w:val="none" w:sz="0" w:space="0" w:color="auto"/>
                <w:left w:val="none" w:sz="0" w:space="0" w:color="auto"/>
                <w:bottom w:val="none" w:sz="0" w:space="0" w:color="auto"/>
                <w:right w:val="none" w:sz="0" w:space="0" w:color="auto"/>
              </w:divBdr>
              <w:divsChild>
                <w:div w:id="241565858">
                  <w:marLeft w:val="0"/>
                  <w:marRight w:val="0"/>
                  <w:marTop w:val="0"/>
                  <w:marBottom w:val="0"/>
                  <w:divBdr>
                    <w:top w:val="none" w:sz="0" w:space="0" w:color="auto"/>
                    <w:left w:val="none" w:sz="0" w:space="0" w:color="auto"/>
                    <w:bottom w:val="none" w:sz="0" w:space="0" w:color="auto"/>
                    <w:right w:val="none" w:sz="0" w:space="0" w:color="auto"/>
                  </w:divBdr>
                  <w:divsChild>
                    <w:div w:id="323898053">
                      <w:marLeft w:val="0"/>
                      <w:marRight w:val="0"/>
                      <w:marTop w:val="0"/>
                      <w:marBottom w:val="0"/>
                      <w:divBdr>
                        <w:top w:val="none" w:sz="0" w:space="0" w:color="auto"/>
                        <w:left w:val="none" w:sz="0" w:space="0" w:color="auto"/>
                        <w:bottom w:val="none" w:sz="0" w:space="0" w:color="auto"/>
                        <w:right w:val="none" w:sz="0" w:space="0" w:color="auto"/>
                      </w:divBdr>
                      <w:divsChild>
                        <w:div w:id="407267930">
                          <w:marLeft w:val="0"/>
                          <w:marRight w:val="0"/>
                          <w:marTop w:val="0"/>
                          <w:marBottom w:val="0"/>
                          <w:divBdr>
                            <w:top w:val="none" w:sz="0" w:space="0" w:color="auto"/>
                            <w:left w:val="none" w:sz="0" w:space="0" w:color="auto"/>
                            <w:bottom w:val="none" w:sz="0" w:space="0" w:color="auto"/>
                            <w:right w:val="none" w:sz="0" w:space="0" w:color="auto"/>
                          </w:divBdr>
                          <w:divsChild>
                            <w:div w:id="1966963104">
                              <w:marLeft w:val="0"/>
                              <w:marRight w:val="0"/>
                              <w:marTop w:val="0"/>
                              <w:marBottom w:val="0"/>
                              <w:divBdr>
                                <w:top w:val="none" w:sz="0" w:space="0" w:color="auto"/>
                                <w:left w:val="none" w:sz="0" w:space="0" w:color="auto"/>
                                <w:bottom w:val="none" w:sz="0" w:space="0" w:color="auto"/>
                                <w:right w:val="none" w:sz="0" w:space="0" w:color="auto"/>
                              </w:divBdr>
                              <w:divsChild>
                                <w:div w:id="1673684068">
                                  <w:marLeft w:val="0"/>
                                  <w:marRight w:val="0"/>
                                  <w:marTop w:val="0"/>
                                  <w:marBottom w:val="0"/>
                                  <w:divBdr>
                                    <w:top w:val="none" w:sz="0" w:space="0" w:color="auto"/>
                                    <w:left w:val="none" w:sz="0" w:space="0" w:color="auto"/>
                                    <w:bottom w:val="none" w:sz="0" w:space="0" w:color="auto"/>
                                    <w:right w:val="none" w:sz="0" w:space="0" w:color="auto"/>
                                  </w:divBdr>
                                  <w:divsChild>
                                    <w:div w:id="666712834">
                                      <w:marLeft w:val="0"/>
                                      <w:marRight w:val="0"/>
                                      <w:marTop w:val="0"/>
                                      <w:marBottom w:val="0"/>
                                      <w:divBdr>
                                        <w:top w:val="none" w:sz="0" w:space="0" w:color="auto"/>
                                        <w:left w:val="none" w:sz="0" w:space="0" w:color="auto"/>
                                        <w:bottom w:val="none" w:sz="0" w:space="0" w:color="auto"/>
                                        <w:right w:val="none" w:sz="0" w:space="0" w:color="auto"/>
                                      </w:divBdr>
                                      <w:divsChild>
                                        <w:div w:id="15167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76578">
                      <w:marLeft w:val="0"/>
                      <w:marRight w:val="0"/>
                      <w:marTop w:val="0"/>
                      <w:marBottom w:val="0"/>
                      <w:divBdr>
                        <w:top w:val="none" w:sz="0" w:space="0" w:color="auto"/>
                        <w:left w:val="none" w:sz="0" w:space="0" w:color="auto"/>
                        <w:bottom w:val="none" w:sz="0" w:space="0" w:color="auto"/>
                        <w:right w:val="none" w:sz="0" w:space="0" w:color="auto"/>
                      </w:divBdr>
                      <w:divsChild>
                        <w:div w:id="9146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3486">
      <w:bodyDiv w:val="1"/>
      <w:marLeft w:val="0"/>
      <w:marRight w:val="0"/>
      <w:marTop w:val="0"/>
      <w:marBottom w:val="0"/>
      <w:divBdr>
        <w:top w:val="none" w:sz="0" w:space="0" w:color="auto"/>
        <w:left w:val="none" w:sz="0" w:space="0" w:color="auto"/>
        <w:bottom w:val="none" w:sz="0" w:space="0" w:color="auto"/>
        <w:right w:val="none" w:sz="0" w:space="0" w:color="auto"/>
      </w:divBdr>
    </w:div>
    <w:div w:id="1169175799">
      <w:bodyDiv w:val="1"/>
      <w:marLeft w:val="0"/>
      <w:marRight w:val="0"/>
      <w:marTop w:val="0"/>
      <w:marBottom w:val="0"/>
      <w:divBdr>
        <w:top w:val="none" w:sz="0" w:space="0" w:color="auto"/>
        <w:left w:val="none" w:sz="0" w:space="0" w:color="auto"/>
        <w:bottom w:val="none" w:sz="0" w:space="0" w:color="auto"/>
        <w:right w:val="none" w:sz="0" w:space="0" w:color="auto"/>
      </w:divBdr>
    </w:div>
    <w:div w:id="1297108173">
      <w:bodyDiv w:val="1"/>
      <w:marLeft w:val="0"/>
      <w:marRight w:val="0"/>
      <w:marTop w:val="0"/>
      <w:marBottom w:val="0"/>
      <w:divBdr>
        <w:top w:val="none" w:sz="0" w:space="0" w:color="auto"/>
        <w:left w:val="none" w:sz="0" w:space="0" w:color="auto"/>
        <w:bottom w:val="none" w:sz="0" w:space="0" w:color="auto"/>
        <w:right w:val="none" w:sz="0" w:space="0" w:color="auto"/>
      </w:divBdr>
    </w:div>
    <w:div w:id="1350108729">
      <w:bodyDiv w:val="1"/>
      <w:marLeft w:val="0"/>
      <w:marRight w:val="0"/>
      <w:marTop w:val="0"/>
      <w:marBottom w:val="0"/>
      <w:divBdr>
        <w:top w:val="none" w:sz="0" w:space="0" w:color="auto"/>
        <w:left w:val="none" w:sz="0" w:space="0" w:color="auto"/>
        <w:bottom w:val="none" w:sz="0" w:space="0" w:color="auto"/>
        <w:right w:val="none" w:sz="0" w:space="0" w:color="auto"/>
      </w:divBdr>
    </w:div>
    <w:div w:id="1376194343">
      <w:bodyDiv w:val="1"/>
      <w:marLeft w:val="0"/>
      <w:marRight w:val="0"/>
      <w:marTop w:val="0"/>
      <w:marBottom w:val="0"/>
      <w:divBdr>
        <w:top w:val="none" w:sz="0" w:space="0" w:color="auto"/>
        <w:left w:val="none" w:sz="0" w:space="0" w:color="auto"/>
        <w:bottom w:val="none" w:sz="0" w:space="0" w:color="auto"/>
        <w:right w:val="none" w:sz="0" w:space="0" w:color="auto"/>
      </w:divBdr>
    </w:div>
    <w:div w:id="1466005424">
      <w:bodyDiv w:val="1"/>
      <w:marLeft w:val="0"/>
      <w:marRight w:val="0"/>
      <w:marTop w:val="0"/>
      <w:marBottom w:val="0"/>
      <w:divBdr>
        <w:top w:val="none" w:sz="0" w:space="0" w:color="auto"/>
        <w:left w:val="none" w:sz="0" w:space="0" w:color="auto"/>
        <w:bottom w:val="none" w:sz="0" w:space="0" w:color="auto"/>
        <w:right w:val="none" w:sz="0" w:space="0" w:color="auto"/>
      </w:divBdr>
    </w:div>
    <w:div w:id="1601833518">
      <w:bodyDiv w:val="1"/>
      <w:marLeft w:val="0"/>
      <w:marRight w:val="0"/>
      <w:marTop w:val="0"/>
      <w:marBottom w:val="0"/>
      <w:divBdr>
        <w:top w:val="none" w:sz="0" w:space="0" w:color="auto"/>
        <w:left w:val="none" w:sz="0" w:space="0" w:color="auto"/>
        <w:bottom w:val="none" w:sz="0" w:space="0" w:color="auto"/>
        <w:right w:val="none" w:sz="0" w:space="0" w:color="auto"/>
      </w:divBdr>
    </w:div>
    <w:div w:id="1713189898">
      <w:bodyDiv w:val="1"/>
      <w:marLeft w:val="0"/>
      <w:marRight w:val="0"/>
      <w:marTop w:val="0"/>
      <w:marBottom w:val="0"/>
      <w:divBdr>
        <w:top w:val="none" w:sz="0" w:space="0" w:color="auto"/>
        <w:left w:val="none" w:sz="0" w:space="0" w:color="auto"/>
        <w:bottom w:val="none" w:sz="0" w:space="0" w:color="auto"/>
        <w:right w:val="none" w:sz="0" w:space="0" w:color="auto"/>
      </w:divBdr>
    </w:div>
    <w:div w:id="18652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resident/communication/may82018.php" TargetMode="External"/><Relationship Id="rId13" Type="http://schemas.openxmlformats.org/officeDocument/2006/relationships/hyperlink" Target="https://www.umt.edu/facultysenate/documents/FSDocs17-18/GenEdSubcommitteeResponsibilities202.4.1Revised.docx" TargetMode="External"/><Relationship Id="rId18" Type="http://schemas.openxmlformats.org/officeDocument/2006/relationships/hyperlink" Target="http://www.umt.edu/facultysenate/documents/FSDocs17-18/Rationale-for-changes-to-Graduate-Increment-Procedure.docx" TargetMode="External"/><Relationship Id="rId3" Type="http://schemas.microsoft.com/office/2007/relationships/stylesWithEffects" Target="stylesWithEffects.xml"/><Relationship Id="rId21" Type="http://schemas.openxmlformats.org/officeDocument/2006/relationships/hyperlink" Target="http://www.umt.edu/facultysenate/procedures/GradCouncil_300/301-30_GraduateIncrement-4-18-18.docx" TargetMode="External"/><Relationship Id="rId7" Type="http://schemas.openxmlformats.org/officeDocument/2006/relationships/hyperlink" Target="http://www.umt.edu/planningassessmentcontinuum/Planning/UPCProcess/default.php" TargetMode="External"/><Relationship Id="rId12" Type="http://schemas.openxmlformats.org/officeDocument/2006/relationships/hyperlink" Target="https://www.umt.edu/facultysenate/documents/FSDocs17-18/201-30.-4_ReconsiderationRevised-4-12-18.docx" TargetMode="External"/><Relationship Id="rId17" Type="http://schemas.openxmlformats.org/officeDocument/2006/relationships/hyperlink" Target="http://www.umt.edu/facultysenate/procedures/GradCouncil_300/301.30_GraduateIncrement-4-18-18..docx"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umt.edu/facultysenate/procedures/ASCRC_200/201-30-5_SyllabusGuidelines_5.18.docx" TargetMode="External"/><Relationship Id="rId20" Type="http://schemas.openxmlformats.org/officeDocument/2006/relationships/hyperlink" Target="http://www.umt.edu/facultysenate/documents/FSDocs17-18/GenEd-computing-proposal-5-3-18.docx" TargetMode="External"/><Relationship Id="rId1" Type="http://schemas.openxmlformats.org/officeDocument/2006/relationships/numbering" Target="numbering.xml"/><Relationship Id="rId6" Type="http://schemas.openxmlformats.org/officeDocument/2006/relationships/hyperlink" Target="http://www.umt.edu/president/UM%20Strategy%20for%20Distinction%20/StrategyforDistinctionDRAFT_4.17.18-2.pdf" TargetMode="External"/><Relationship Id="rId11" Type="http://schemas.openxmlformats.org/officeDocument/2006/relationships/hyperlink" Target="http://www.umt.edu/facultysenate/archives/annualreports/17-18%20Annual%20Reports/Writing-Committee-Annual-Report17-18.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t.edu/facultysenate/procedures/ASCRC_200/202.4.1_GenEdSubResponsibilities.docx" TargetMode="External"/><Relationship Id="rId23" Type="http://schemas.openxmlformats.org/officeDocument/2006/relationships/fontTable" Target="fontTable.xml"/><Relationship Id="rId10" Type="http://schemas.openxmlformats.org/officeDocument/2006/relationships/hyperlink" Target="http://www.umt.edu/facultysenate/archives/annualreports/17-18%20Annual%20Reports/University-Library-Committee-Annual-Report1718.docx" TargetMode="External"/><Relationship Id="rId19" Type="http://schemas.openxmlformats.org/officeDocument/2006/relationships/hyperlink" Target="http://www.umt.edu/facultysenate/procedures/GradCouncil_300/301.30_GraduateIncrement.docx" TargetMode="External"/><Relationship Id="rId4" Type="http://schemas.openxmlformats.org/officeDocument/2006/relationships/settings" Target="settings.xml"/><Relationship Id="rId9" Type="http://schemas.openxmlformats.org/officeDocument/2006/relationships/hyperlink" Target="http://www.umt.edu/facultysenate/archives/annualreports/17-18%20Annual%20Reports/Graduate-Council-Annual-Report_sr.docx" TargetMode="External"/><Relationship Id="rId14" Type="http://schemas.openxmlformats.org/officeDocument/2006/relationships/hyperlink" Target="http://www.umt.edu/facultysenate/documents/FSDocs17-18/RationaleSubResp5-3-18.docx" TargetMode="External"/><Relationship Id="rId22" Type="http://schemas.openxmlformats.org/officeDocument/2006/relationships/hyperlink" Target="https://www.umt.edu/facultysenate/documents/FSDocs17-18/Double-Major_Dual-Degre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2018-03-01T22:00:00Z</cp:lastPrinted>
  <dcterms:created xsi:type="dcterms:W3CDTF">2018-09-13T16:27:00Z</dcterms:created>
  <dcterms:modified xsi:type="dcterms:W3CDTF">2018-09-13T16:32:00Z</dcterms:modified>
</cp:coreProperties>
</file>