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704" w:rsidRPr="00B4515D" w:rsidRDefault="00B97704" w:rsidP="00B97704">
      <w:pPr>
        <w:pStyle w:val="Heading1"/>
        <w:jc w:val="center"/>
      </w:pPr>
      <w:r w:rsidRPr="00B4515D">
        <w:t>Graduate Council Meeting Minutes</w:t>
      </w:r>
    </w:p>
    <w:p w:rsidR="00B97704" w:rsidRPr="00190EB1" w:rsidRDefault="00685050" w:rsidP="00B97704">
      <w:pPr>
        <w:jc w:val="center"/>
        <w:rPr>
          <w:rFonts w:ascii="Palatino" w:hAnsi="Palatino"/>
        </w:rPr>
      </w:pPr>
      <w:r>
        <w:t xml:space="preserve">September </w:t>
      </w:r>
      <w:r w:rsidR="00D0511E">
        <w:t>13</w:t>
      </w:r>
      <w:r w:rsidR="00B97704">
        <w:t xml:space="preserve"> 201</w:t>
      </w:r>
      <w:r w:rsidR="00B52B30">
        <w:t>7</w:t>
      </w:r>
      <w:r w:rsidR="00B97704">
        <w:t xml:space="preserve">, GBB </w:t>
      </w:r>
      <w:r w:rsidR="0062670A">
        <w:t>202</w:t>
      </w:r>
      <w:r w:rsidR="00B97704" w:rsidRPr="00190EB1">
        <w:t>, 12:</w:t>
      </w:r>
      <w:r w:rsidR="008E73FB">
        <w:t>0</w:t>
      </w:r>
      <w:r w:rsidR="00B97704" w:rsidRPr="00190EB1">
        <w:t>0 – 1:00 PM</w:t>
      </w:r>
      <w:r w:rsidR="00B97704">
        <w:br/>
      </w:r>
    </w:p>
    <w:p w:rsidR="006E514B" w:rsidRDefault="00B97704" w:rsidP="00B97704">
      <w:pPr>
        <w:rPr>
          <w:rFonts w:cs="Calibri"/>
          <w:sz w:val="24"/>
          <w:szCs w:val="24"/>
        </w:rPr>
      </w:pPr>
      <w:r>
        <w:rPr>
          <w:rFonts w:cs="Calibri"/>
          <w:i/>
          <w:sz w:val="24"/>
          <w:szCs w:val="24"/>
        </w:rPr>
        <w:t>Members Present:</w:t>
      </w:r>
      <w:r>
        <w:rPr>
          <w:rFonts w:cs="Calibri"/>
          <w:sz w:val="24"/>
          <w:szCs w:val="24"/>
        </w:rPr>
        <w:t xml:space="preserve">  </w:t>
      </w:r>
      <w:r w:rsidR="00685050">
        <w:rPr>
          <w:rFonts w:cs="Calibri"/>
          <w:sz w:val="24"/>
          <w:szCs w:val="24"/>
        </w:rPr>
        <w:t xml:space="preserve">F. Brown, </w:t>
      </w:r>
      <w:r w:rsidR="006E514B">
        <w:rPr>
          <w:rFonts w:cs="Calibri"/>
          <w:sz w:val="24"/>
          <w:szCs w:val="24"/>
        </w:rPr>
        <w:t xml:space="preserve">C. </w:t>
      </w:r>
      <w:proofErr w:type="spellStart"/>
      <w:r w:rsidR="006E514B">
        <w:rPr>
          <w:rFonts w:cs="Calibri"/>
          <w:sz w:val="24"/>
          <w:szCs w:val="24"/>
        </w:rPr>
        <w:t>Dumke</w:t>
      </w:r>
      <w:proofErr w:type="spellEnd"/>
      <w:r w:rsidR="006E514B">
        <w:rPr>
          <w:rFonts w:cs="Calibri"/>
          <w:sz w:val="24"/>
          <w:szCs w:val="24"/>
        </w:rPr>
        <w:t xml:space="preserve">, </w:t>
      </w:r>
      <w:r w:rsidR="00685050">
        <w:rPr>
          <w:rFonts w:cs="Calibri"/>
          <w:sz w:val="24"/>
          <w:szCs w:val="24"/>
        </w:rPr>
        <w:t xml:space="preserve">J. Farnsworth, C. </w:t>
      </w:r>
      <w:proofErr w:type="spellStart"/>
      <w:r w:rsidR="00685050">
        <w:rPr>
          <w:rFonts w:cs="Calibri"/>
          <w:sz w:val="24"/>
          <w:szCs w:val="24"/>
        </w:rPr>
        <w:t>Fitspatrick</w:t>
      </w:r>
      <w:proofErr w:type="spellEnd"/>
      <w:r w:rsidR="00685050">
        <w:rPr>
          <w:rFonts w:cs="Calibri"/>
          <w:sz w:val="24"/>
          <w:szCs w:val="24"/>
        </w:rPr>
        <w:t xml:space="preserve">, </w:t>
      </w:r>
      <w:r w:rsidR="006E514B">
        <w:rPr>
          <w:rFonts w:cs="Calibri"/>
          <w:sz w:val="24"/>
          <w:szCs w:val="24"/>
        </w:rPr>
        <w:t>K. Harris,</w:t>
      </w:r>
      <w:r w:rsidR="006E514B" w:rsidRPr="006E514B">
        <w:rPr>
          <w:rFonts w:cs="Calibri"/>
          <w:sz w:val="24"/>
          <w:szCs w:val="24"/>
        </w:rPr>
        <w:t xml:space="preserve"> </w:t>
      </w:r>
      <w:r w:rsidR="00685050">
        <w:rPr>
          <w:rFonts w:cs="Calibri"/>
          <w:sz w:val="24"/>
          <w:szCs w:val="24"/>
        </w:rPr>
        <w:t>G. Morrill, M. Murphy,</w:t>
      </w:r>
      <w:r w:rsidR="00685050" w:rsidRPr="007C71BC">
        <w:rPr>
          <w:rFonts w:cs="Calibri"/>
          <w:sz w:val="24"/>
          <w:szCs w:val="24"/>
        </w:rPr>
        <w:t xml:space="preserve"> </w:t>
      </w:r>
      <w:r w:rsidR="00685050">
        <w:rPr>
          <w:rFonts w:cs="Calibri"/>
          <w:sz w:val="24"/>
          <w:szCs w:val="24"/>
        </w:rPr>
        <w:t>S. Ross,</w:t>
      </w:r>
      <w:r w:rsidR="00685050" w:rsidRPr="00685050">
        <w:rPr>
          <w:rFonts w:cs="Calibri"/>
          <w:sz w:val="24"/>
          <w:szCs w:val="24"/>
        </w:rPr>
        <w:t xml:space="preserve"> </w:t>
      </w:r>
      <w:r w:rsidR="00685050">
        <w:rPr>
          <w:rFonts w:cs="Calibri"/>
          <w:sz w:val="24"/>
          <w:szCs w:val="24"/>
        </w:rPr>
        <w:t xml:space="preserve">D. </w:t>
      </w:r>
      <w:proofErr w:type="spellStart"/>
      <w:r w:rsidR="00685050">
        <w:rPr>
          <w:color w:val="000000"/>
        </w:rPr>
        <w:t>Schuldberg</w:t>
      </w:r>
      <w:proofErr w:type="spellEnd"/>
      <w:r w:rsidR="00685050">
        <w:rPr>
          <w:color w:val="000000"/>
        </w:rPr>
        <w:t>, R. Smith, K. Volk</w:t>
      </w:r>
      <w:r w:rsidR="00F46CBD">
        <w:rPr>
          <w:rFonts w:cs="Calibri"/>
          <w:sz w:val="24"/>
          <w:szCs w:val="24"/>
        </w:rPr>
        <w:br/>
      </w:r>
      <w:r>
        <w:rPr>
          <w:rFonts w:cs="Calibri"/>
          <w:i/>
          <w:sz w:val="24"/>
          <w:szCs w:val="24"/>
        </w:rPr>
        <w:t>Members Absent/Excused:</w:t>
      </w:r>
      <w:r w:rsidR="005154DB">
        <w:rPr>
          <w:rFonts w:cs="Calibri"/>
          <w:sz w:val="24"/>
          <w:szCs w:val="24"/>
        </w:rPr>
        <w:t xml:space="preserve"> </w:t>
      </w:r>
      <w:r w:rsidR="00685050">
        <w:rPr>
          <w:rFonts w:cs="Calibri"/>
          <w:sz w:val="24"/>
          <w:szCs w:val="24"/>
        </w:rPr>
        <w:t xml:space="preserve">L. </w:t>
      </w:r>
      <w:proofErr w:type="spellStart"/>
      <w:r w:rsidR="00685050">
        <w:rPr>
          <w:rFonts w:cs="Calibri"/>
          <w:sz w:val="24"/>
          <w:szCs w:val="24"/>
        </w:rPr>
        <w:t>Broberg</w:t>
      </w:r>
      <w:proofErr w:type="spellEnd"/>
      <w:r w:rsidR="00685050">
        <w:rPr>
          <w:rFonts w:cs="Calibri"/>
          <w:sz w:val="24"/>
          <w:szCs w:val="24"/>
        </w:rPr>
        <w:t>, C. Palmer,</w:t>
      </w:r>
      <w:r w:rsidR="00685050" w:rsidRPr="007C0EF1">
        <w:rPr>
          <w:rFonts w:cs="Calibri"/>
          <w:sz w:val="24"/>
          <w:szCs w:val="24"/>
        </w:rPr>
        <w:t xml:space="preserve"> </w:t>
      </w:r>
      <w:r w:rsidR="00685050">
        <w:rPr>
          <w:rFonts w:cs="Calibri"/>
          <w:sz w:val="24"/>
          <w:szCs w:val="24"/>
        </w:rPr>
        <w:t>S. Stan</w:t>
      </w:r>
      <w:r w:rsidR="00685050">
        <w:rPr>
          <w:rFonts w:cs="Calibri"/>
          <w:sz w:val="24"/>
          <w:szCs w:val="24"/>
        </w:rPr>
        <w:br/>
        <w:t>Ex-Officio Present:  A. Kinch</w:t>
      </w:r>
    </w:p>
    <w:p w:rsidR="00685050" w:rsidRDefault="00685050" w:rsidP="00B97704">
      <w:pPr>
        <w:rPr>
          <w:rFonts w:cs="Calibri"/>
          <w:sz w:val="24"/>
          <w:szCs w:val="24"/>
        </w:rPr>
      </w:pPr>
      <w:r>
        <w:rPr>
          <w:rFonts w:cs="Calibri"/>
          <w:sz w:val="24"/>
          <w:szCs w:val="24"/>
        </w:rPr>
        <w:t>Guest: Barry Brown- Mansfield Library</w:t>
      </w:r>
    </w:p>
    <w:p w:rsidR="00B97704" w:rsidRDefault="007C0EF1" w:rsidP="00B97704">
      <w:r>
        <w:rPr>
          <w:rFonts w:cs="Calibri"/>
          <w:sz w:val="24"/>
          <w:szCs w:val="24"/>
        </w:rPr>
        <w:br/>
      </w:r>
      <w:r w:rsidR="00B97704" w:rsidRPr="00962530">
        <w:rPr>
          <w:rStyle w:val="Heading2Char"/>
          <w:rFonts w:eastAsiaTheme="minorHAnsi"/>
        </w:rPr>
        <w:t>Call to Order</w:t>
      </w:r>
    </w:p>
    <w:p w:rsidR="00B97704" w:rsidRPr="002A56B9" w:rsidRDefault="007E274E" w:rsidP="000D0439">
      <w:pPr>
        <w:pStyle w:val="ListParagraph"/>
        <w:numPr>
          <w:ilvl w:val="0"/>
          <w:numId w:val="8"/>
        </w:numPr>
        <w:rPr>
          <w:b/>
        </w:rPr>
      </w:pPr>
      <w:r>
        <w:t xml:space="preserve">The minutes from </w:t>
      </w:r>
      <w:r w:rsidR="00685050">
        <w:t>4</w:t>
      </w:r>
      <w:r>
        <w:t>/</w:t>
      </w:r>
      <w:r w:rsidR="00685050">
        <w:t>26</w:t>
      </w:r>
      <w:r>
        <w:t>/1</w:t>
      </w:r>
      <w:r w:rsidR="006E514B">
        <w:t>7</w:t>
      </w:r>
      <w:r>
        <w:t xml:space="preserve"> </w:t>
      </w:r>
      <w:proofErr w:type="gramStart"/>
      <w:r>
        <w:t>were approved</w:t>
      </w:r>
      <w:proofErr w:type="gramEnd"/>
      <w:r w:rsidR="005154DB">
        <w:t xml:space="preserve">. </w:t>
      </w:r>
      <w:r w:rsidR="008C3D54">
        <w:t xml:space="preserve"> </w:t>
      </w:r>
      <w:r w:rsidR="00A15F33">
        <w:rPr>
          <w:rFonts w:cs="Tahoma"/>
          <w:color w:val="000000"/>
        </w:rPr>
        <w:t xml:space="preserve">  </w:t>
      </w:r>
    </w:p>
    <w:p w:rsidR="00B97704" w:rsidRDefault="00B97704" w:rsidP="00B97704">
      <w:pPr>
        <w:pStyle w:val="Heading2"/>
      </w:pPr>
      <w:r>
        <w:t>Communications</w:t>
      </w:r>
    </w:p>
    <w:p w:rsidR="00D270BC" w:rsidRDefault="00685050" w:rsidP="00C404B5">
      <w:pPr>
        <w:pStyle w:val="PlainText"/>
        <w:numPr>
          <w:ilvl w:val="0"/>
          <w:numId w:val="8"/>
        </w:numPr>
      </w:pPr>
      <w:r>
        <w:t xml:space="preserve">New members were welcomed and members introduced themselves. </w:t>
      </w:r>
      <w:r w:rsidR="00390CC0">
        <w:br/>
      </w:r>
    </w:p>
    <w:p w:rsidR="009B5ACA" w:rsidRDefault="009B5ACA" w:rsidP="00C404B5">
      <w:pPr>
        <w:pStyle w:val="PlainText"/>
        <w:numPr>
          <w:ilvl w:val="0"/>
          <w:numId w:val="8"/>
        </w:numPr>
      </w:pPr>
      <w:r>
        <w:t>Barry Brown distributed a handout</w:t>
      </w:r>
      <w:r w:rsidR="00D0511E">
        <w:t xml:space="preserve"> (appended below)</w:t>
      </w:r>
      <w:r>
        <w:t xml:space="preserve"> regarding the decreases to the library collection. </w:t>
      </w:r>
      <w:r w:rsidR="00390CC0">
        <w:t xml:space="preserve">  The library will have to break e-journal packages in order to meet the required budget reduction.  </w:t>
      </w:r>
      <w:r w:rsidR="002841BE">
        <w:t xml:space="preserve">It may be necessary to break some consortia with other campuses. </w:t>
      </w:r>
      <w:r w:rsidR="00390CC0">
        <w:t xml:space="preserve">Access to the most used titles </w:t>
      </w:r>
      <w:proofErr w:type="gramStart"/>
      <w:r w:rsidR="00390CC0">
        <w:t>will be renewed</w:t>
      </w:r>
      <w:proofErr w:type="gramEnd"/>
      <w:r w:rsidR="00DC1A70">
        <w:t>.</w:t>
      </w:r>
      <w:r w:rsidR="00390CC0">
        <w:t xml:space="preserve">  For the last few years, the library has not received an inflationary increase, which increases the size of the reduction.  </w:t>
      </w:r>
      <w:r w:rsidR="00DC1A70">
        <w:t xml:space="preserve">The increase </w:t>
      </w:r>
      <w:proofErr w:type="gramStart"/>
      <w:r w:rsidR="00DC1A70">
        <w:t>is usually covered</w:t>
      </w:r>
      <w:proofErr w:type="gramEnd"/>
      <w:r w:rsidR="00DC1A70">
        <w:t xml:space="preserve"> in the present law adjustment calculation. </w:t>
      </w:r>
      <w:r w:rsidR="00390CC0">
        <w:t xml:space="preserve">The proposed cancelations </w:t>
      </w:r>
      <w:proofErr w:type="gramStart"/>
      <w:r w:rsidR="00390CC0">
        <w:t>are based</w:t>
      </w:r>
      <w:proofErr w:type="gramEnd"/>
      <w:r w:rsidR="00390CC0">
        <w:t xml:space="preserve"> on low use or high cost.  A message went to department chairs requesting feedback.  A card </w:t>
      </w:r>
      <w:proofErr w:type="gramStart"/>
      <w:r w:rsidR="00390CC0">
        <w:t>was sent</w:t>
      </w:r>
      <w:proofErr w:type="gramEnd"/>
      <w:r w:rsidR="00390CC0">
        <w:t xml:space="preserve"> to faculty</w:t>
      </w:r>
      <w:r w:rsidR="00DC1A70">
        <w:t xml:space="preserve"> as well as a backup in case chairs did not forward the information. </w:t>
      </w:r>
      <w:r w:rsidR="00390CC0">
        <w:t xml:space="preserve"> </w:t>
      </w:r>
      <w:r w:rsidR="00DC1A70">
        <w:t xml:space="preserve"> The library has also had a 30% reduction in staff.  </w:t>
      </w:r>
      <w:proofErr w:type="gramStart"/>
      <w:r w:rsidR="00DC1A70">
        <w:t>And</w:t>
      </w:r>
      <w:proofErr w:type="gramEnd"/>
      <w:r w:rsidR="00DC1A70">
        <w:t xml:space="preserve"> has been told that the open hours must be retained.  </w:t>
      </w:r>
      <w:r w:rsidR="002841BE">
        <w:t xml:space="preserve">Interlibrary load is an expensive substitution at $29.00 per order. </w:t>
      </w:r>
      <w:r w:rsidR="00DC1A70">
        <w:t xml:space="preserve"> There have been three resolutions approved by shared governance. </w:t>
      </w:r>
    </w:p>
    <w:p w:rsidR="00DC1A70" w:rsidRDefault="00DC1A70" w:rsidP="00DC1A70">
      <w:pPr>
        <w:pStyle w:val="PlainText"/>
        <w:ind w:left="360"/>
      </w:pPr>
    </w:p>
    <w:p w:rsidR="00DC1A70" w:rsidRDefault="00DC1A70" w:rsidP="00DC1A70">
      <w:pPr>
        <w:pStyle w:val="PlainText"/>
        <w:ind w:left="360"/>
      </w:pPr>
      <w:r>
        <w:t xml:space="preserve">Although the Research Strategic Plan suggests that </w:t>
      </w:r>
      <w:proofErr w:type="gramStart"/>
      <w:r>
        <w:t>I%</w:t>
      </w:r>
      <w:proofErr w:type="gramEnd"/>
      <w:r>
        <w:t xml:space="preserve"> of IDCs go to the Library, this has not occurred. </w:t>
      </w:r>
      <w:r w:rsidR="00C83DD0">
        <w:t xml:space="preserve">Dean Kinch will find out more about this.  </w:t>
      </w:r>
      <w:r>
        <w:t xml:space="preserve">This year the VP of Research provide $50,000 to the library to keep the subscription to Web of Science.   This came about because top researchers spoke up.   </w:t>
      </w:r>
      <w:r w:rsidR="00C83DD0">
        <w:t xml:space="preserve">The library collection is part of the infrastructure that makes the university a research institution. </w:t>
      </w:r>
      <w:r w:rsidR="00C83DD0">
        <w:br/>
      </w:r>
      <w:r w:rsidR="00C83DD0">
        <w:br/>
        <w:t xml:space="preserve">The graduate and Professional Student Association is in discussions with the Vice President of Research and the Provost on the issue. </w:t>
      </w:r>
    </w:p>
    <w:p w:rsidR="00D0511E" w:rsidRDefault="00D0511E" w:rsidP="00D0511E">
      <w:pPr>
        <w:pStyle w:val="PlainText"/>
      </w:pPr>
    </w:p>
    <w:p w:rsidR="001320CA" w:rsidRDefault="001320CA" w:rsidP="005237C5">
      <w:pPr>
        <w:pStyle w:val="Heading2"/>
      </w:pPr>
      <w:bookmarkStart w:id="0" w:name="_GoBack"/>
      <w:bookmarkEnd w:id="0"/>
      <w:r>
        <w:t>Business Items</w:t>
      </w:r>
    </w:p>
    <w:p w:rsidR="00A61208" w:rsidRDefault="00F34396" w:rsidP="00F34396">
      <w:pPr>
        <w:pStyle w:val="ListParagraph"/>
        <w:numPr>
          <w:ilvl w:val="0"/>
          <w:numId w:val="16"/>
        </w:numPr>
      </w:pPr>
      <w:r>
        <w:t>The Council formed a workgroup</w:t>
      </w:r>
      <w:r w:rsidR="00C83DD0">
        <w:t xml:space="preserve"> (Chair Ross, Professor </w:t>
      </w:r>
      <w:proofErr w:type="spellStart"/>
      <w:r w:rsidR="00C83DD0">
        <w:rPr>
          <w:color w:val="000000"/>
        </w:rPr>
        <w:t>Schuldberg</w:t>
      </w:r>
      <w:proofErr w:type="spellEnd"/>
      <w:r w:rsidR="00C83DD0">
        <w:rPr>
          <w:color w:val="000000"/>
        </w:rPr>
        <w:t>, Students Farnsworth and Smith</w:t>
      </w:r>
      <w:proofErr w:type="gramStart"/>
      <w:r w:rsidR="00C83DD0">
        <w:rPr>
          <w:color w:val="000000"/>
        </w:rPr>
        <w:t>)</w:t>
      </w:r>
      <w:r w:rsidR="00C83DD0">
        <w:t xml:space="preserve"> </w:t>
      </w:r>
      <w:r>
        <w:t xml:space="preserve"> to</w:t>
      </w:r>
      <w:proofErr w:type="gramEnd"/>
      <w:r>
        <w:t xml:space="preserve"> draft a letter regarding its concerns</w:t>
      </w:r>
      <w:r w:rsidR="00C83DD0">
        <w:t xml:space="preserve">. The letter </w:t>
      </w:r>
      <w:proofErr w:type="gramStart"/>
      <w:r w:rsidR="00C83DD0">
        <w:t>will be addressed</w:t>
      </w:r>
      <w:proofErr w:type="gramEnd"/>
      <w:r w:rsidR="00C83DD0">
        <w:t xml:space="preserve"> to the President’s Cabinet and will i</w:t>
      </w:r>
      <w:r>
        <w:t>nvit</w:t>
      </w:r>
      <w:r w:rsidR="00C83DD0">
        <w:t>e</w:t>
      </w:r>
      <w:r>
        <w:t xml:space="preserve"> the President, Provost, and VP for Research to a meeting to discuss the issue.  </w:t>
      </w:r>
    </w:p>
    <w:p w:rsidR="005237C5" w:rsidRDefault="005237C5" w:rsidP="005237C5">
      <w:pPr>
        <w:pStyle w:val="Heading2"/>
      </w:pPr>
      <w:r>
        <w:t>Adjournment</w:t>
      </w:r>
    </w:p>
    <w:p w:rsidR="005237C5" w:rsidRDefault="005237C5" w:rsidP="005237C5">
      <w:r>
        <w:t xml:space="preserve">The meeting </w:t>
      </w:r>
      <w:proofErr w:type="gramStart"/>
      <w:r>
        <w:t>was adjourned</w:t>
      </w:r>
      <w:proofErr w:type="gramEnd"/>
      <w:r>
        <w:t xml:space="preserve"> at</w:t>
      </w:r>
      <w:r w:rsidR="000D0439">
        <w:t xml:space="preserve"> </w:t>
      </w:r>
      <w:r w:rsidR="006E514B">
        <w:t>1:</w:t>
      </w:r>
      <w:r w:rsidR="00C404B5">
        <w:t>0</w:t>
      </w:r>
      <w:r w:rsidR="00194919">
        <w:t>0</w:t>
      </w:r>
      <w:r>
        <w:t xml:space="preserve"> p.m.</w:t>
      </w:r>
    </w:p>
    <w:p w:rsidR="00D0511E" w:rsidRDefault="00D0511E" w:rsidP="005237C5"/>
    <w:p w:rsidR="00D0511E" w:rsidRDefault="00D0511E" w:rsidP="00D0511E">
      <w:pPr>
        <w:pStyle w:val="Heading1"/>
        <w:spacing w:before="65"/>
      </w:pPr>
      <w:r>
        <w:lastRenderedPageBreak/>
        <w:t>The Mansfield Library Collection Budget Reduction Overview - August 31, 2017</w:t>
      </w:r>
    </w:p>
    <w:p w:rsidR="00D0511E" w:rsidRDefault="00D0511E" w:rsidP="00D0511E">
      <w:pPr>
        <w:pStyle w:val="BodyText"/>
        <w:ind w:left="0"/>
        <w:rPr>
          <w:b/>
          <w:sz w:val="26"/>
        </w:rPr>
      </w:pPr>
    </w:p>
    <w:p w:rsidR="00D0511E" w:rsidRDefault="00D0511E" w:rsidP="00D0511E">
      <w:pPr>
        <w:pStyle w:val="BodyText"/>
        <w:spacing w:before="159" w:line="278" w:lineRule="auto"/>
        <w:ind w:left="220" w:right="259"/>
      </w:pPr>
      <w:r>
        <w:t xml:space="preserve">This year (FY 2018) the Mansfield library received a substantial base budget cut. In addition, no inflationary increase </w:t>
      </w:r>
      <w:proofErr w:type="gramStart"/>
      <w:r>
        <w:t>was received</w:t>
      </w:r>
      <w:proofErr w:type="gramEnd"/>
      <w:r>
        <w:t xml:space="preserve"> for the collections budget. The impact to the library collection budget is a reduction of $600,000 or 15% from FY 2017 (see table below) plus an inflation deficit of $202,000 (needed to sustain a 6% overall increase in costs of subscriptions in FY 2018). This reduction follows four previous years of budget reductions and means a large amount of resources need to </w:t>
      </w:r>
      <w:proofErr w:type="gramStart"/>
      <w:r>
        <w:t>be cancelled</w:t>
      </w:r>
      <w:proofErr w:type="gramEnd"/>
      <w:r>
        <w:t xml:space="preserve"> this year. The regular acquisition of books, via the core approval plan, </w:t>
      </w:r>
      <w:proofErr w:type="gramStart"/>
      <w:r>
        <w:t>has also been suspended</w:t>
      </w:r>
      <w:proofErr w:type="gramEnd"/>
      <w:r>
        <w:t xml:space="preserve"> for this fiscal</w:t>
      </w:r>
      <w:r>
        <w:rPr>
          <w:spacing w:val="-16"/>
        </w:rPr>
        <w:t xml:space="preserve"> </w:t>
      </w:r>
      <w:r>
        <w:t>year.</w:t>
      </w:r>
    </w:p>
    <w:p w:rsidR="00D0511E" w:rsidRDefault="00D0511E" w:rsidP="00D0511E">
      <w:pPr>
        <w:pStyle w:val="BodyText"/>
        <w:spacing w:before="9"/>
        <w:ind w:left="0"/>
        <w:rPr>
          <w:sz w:val="27"/>
        </w:rPr>
      </w:pPr>
    </w:p>
    <w:p w:rsidR="00D0511E" w:rsidRDefault="00D0511E" w:rsidP="00D0511E">
      <w:pPr>
        <w:pStyle w:val="BodyText"/>
        <w:spacing w:line="278" w:lineRule="auto"/>
        <w:ind w:left="219" w:right="216"/>
      </w:pPr>
      <w:r>
        <w:t xml:space="preserve">All the easy, least impactful cancellations have already occurred. This fiscal year (FY 2018), in addition to cancelling some individual </w:t>
      </w:r>
      <w:proofErr w:type="spellStart"/>
      <w:r>
        <w:t>ejournals</w:t>
      </w:r>
      <w:proofErr w:type="spellEnd"/>
      <w:r>
        <w:t xml:space="preserve"> and databases, it will no longer be possible to sustain all of the </w:t>
      </w:r>
      <w:proofErr w:type="spellStart"/>
      <w:r>
        <w:t>ejournal</w:t>
      </w:r>
      <w:proofErr w:type="spellEnd"/>
      <w:r>
        <w:t xml:space="preserve"> packages currently subscribed to (e.g. </w:t>
      </w:r>
      <w:proofErr w:type="spellStart"/>
      <w:r>
        <w:t>ScienceDirect</w:t>
      </w:r>
      <w:proofErr w:type="spellEnd"/>
      <w:r>
        <w:t xml:space="preserve">, Springer, Taylor &amp; Francis, Wiley, etc.) at their current cost. These large, expensive, resources </w:t>
      </w:r>
      <w:proofErr w:type="gramStart"/>
      <w:r>
        <w:t>were added</w:t>
      </w:r>
      <w:proofErr w:type="gramEnd"/>
      <w:r>
        <w:t xml:space="preserve"> in the mid 2000's, to support a greater depth and breadth of scholarship at UM, when the library could count on a stable collections budget and received yearly inflationary increases to it (see table below). Note that if a particular </w:t>
      </w:r>
      <w:proofErr w:type="spellStart"/>
      <w:r>
        <w:t>ejournal</w:t>
      </w:r>
      <w:proofErr w:type="spellEnd"/>
      <w:r>
        <w:t xml:space="preserve"> package </w:t>
      </w:r>
      <w:proofErr w:type="gramStart"/>
      <w:r>
        <w:t>is cancelled</w:t>
      </w:r>
      <w:proofErr w:type="gramEnd"/>
      <w:r>
        <w:t xml:space="preserve"> - it then becomes critical to add back some of the highest used, essential, individual journal title subscriptions from it (which then requires an even higher initial cancellation amount be targeted).</w:t>
      </w:r>
    </w:p>
    <w:p w:rsidR="00D0511E" w:rsidRDefault="00D0511E" w:rsidP="00D0511E">
      <w:pPr>
        <w:pStyle w:val="BodyText"/>
        <w:spacing w:before="10"/>
        <w:ind w:left="0"/>
        <w:rPr>
          <w:sz w:val="25"/>
        </w:rPr>
      </w:pPr>
    </w:p>
    <w:p w:rsidR="00D0511E" w:rsidRDefault="00D0511E" w:rsidP="00D0511E">
      <w:pPr>
        <w:pStyle w:val="BodyText"/>
        <w:spacing w:before="1" w:line="278" w:lineRule="auto"/>
        <w:ind w:left="220" w:right="322"/>
      </w:pPr>
      <w:r>
        <w:t xml:space="preserve">Campus communication regarding specific proposed resource cancellations for this year, and solicitation of feedback from, all departments and ASUM, will occur during September 2017 (see </w:t>
      </w:r>
      <w:r>
        <w:rPr>
          <w:color w:val="0000FF"/>
          <w:u w:val="single" w:color="0000FF"/>
        </w:rPr>
        <w:t>Fall 2017 Proposed Resource Cancellation Lists</w:t>
      </w:r>
      <w:r>
        <w:t xml:space="preserve">). Feedback about resources, identified for cancellation, will be accepted through September </w:t>
      </w:r>
      <w:proofErr w:type="gramStart"/>
      <w:r>
        <w:t>27th</w:t>
      </w:r>
      <w:proofErr w:type="gramEnd"/>
      <w:r>
        <w:t xml:space="preserve">. If any of the resources identified for cancellation are required to meet your program's accreditation </w:t>
      </w:r>
      <w:proofErr w:type="gramStart"/>
      <w:r>
        <w:t>standards</w:t>
      </w:r>
      <w:proofErr w:type="gramEnd"/>
      <w:r>
        <w:t xml:space="preserve"> please point us to or supply the requirement language / documentation. Cancellations of resources will begin January 2018.</w:t>
      </w:r>
    </w:p>
    <w:p w:rsidR="00D0511E" w:rsidRDefault="00D0511E" w:rsidP="00D0511E">
      <w:pPr>
        <w:pStyle w:val="Heading1"/>
        <w:spacing w:line="291" w:lineRule="exact"/>
        <w:ind w:left="940"/>
        <w:rPr>
          <w:rFonts w:ascii="Calibri"/>
        </w:rPr>
      </w:pPr>
      <w:r>
        <w:rPr>
          <w:rFonts w:ascii="Calibri"/>
        </w:rPr>
        <w:t>Total Mansfield Library Collection Budget Allocation - FY 2005 to FY 2018</w:t>
      </w:r>
    </w:p>
    <w:p w:rsidR="00D0511E" w:rsidRDefault="00D0511E" w:rsidP="00D0511E">
      <w:pPr>
        <w:pStyle w:val="BodyText"/>
        <w:spacing w:before="7"/>
        <w:ind w:left="0"/>
        <w:rPr>
          <w:rFonts w:ascii="Calibri"/>
          <w:b/>
          <w:sz w:val="2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8"/>
        <w:gridCol w:w="1426"/>
        <w:gridCol w:w="1205"/>
        <w:gridCol w:w="2213"/>
        <w:gridCol w:w="1334"/>
        <w:gridCol w:w="2366"/>
      </w:tblGrid>
      <w:tr w:rsidR="00D0511E" w:rsidTr="000D2C1E">
        <w:trPr>
          <w:trHeight w:val="540"/>
        </w:trPr>
        <w:tc>
          <w:tcPr>
            <w:tcW w:w="1018" w:type="dxa"/>
          </w:tcPr>
          <w:p w:rsidR="00D0511E" w:rsidRDefault="00D0511E" w:rsidP="000D2C1E">
            <w:pPr>
              <w:pStyle w:val="TableParagraph"/>
              <w:spacing w:line="240" w:lineRule="auto"/>
              <w:ind w:left="0"/>
              <w:rPr>
                <w:rFonts w:ascii="Times New Roman"/>
                <w:sz w:val="24"/>
              </w:rPr>
            </w:pPr>
          </w:p>
        </w:tc>
        <w:tc>
          <w:tcPr>
            <w:tcW w:w="1426" w:type="dxa"/>
          </w:tcPr>
          <w:p w:rsidR="00D0511E" w:rsidRDefault="00D0511E" w:rsidP="000D2C1E">
            <w:pPr>
              <w:pStyle w:val="TableParagraph"/>
              <w:spacing w:before="1" w:line="274" w:lineRule="exact"/>
              <w:ind w:left="345" w:right="157" w:hanging="120"/>
              <w:rPr>
                <w:rFonts w:ascii="Times New Roman"/>
                <w:sz w:val="24"/>
              </w:rPr>
            </w:pPr>
            <w:r>
              <w:rPr>
                <w:rFonts w:ascii="Times New Roman"/>
                <w:sz w:val="24"/>
              </w:rPr>
              <w:t>Allocation (Final)</w:t>
            </w:r>
          </w:p>
        </w:tc>
        <w:tc>
          <w:tcPr>
            <w:tcW w:w="1205" w:type="dxa"/>
          </w:tcPr>
          <w:p w:rsidR="00D0511E" w:rsidRDefault="00D0511E" w:rsidP="000D2C1E">
            <w:pPr>
              <w:pStyle w:val="TableParagraph"/>
              <w:spacing w:line="273" w:lineRule="exact"/>
              <w:rPr>
                <w:rFonts w:ascii="Times New Roman"/>
                <w:sz w:val="24"/>
              </w:rPr>
            </w:pPr>
            <w:r>
              <w:rPr>
                <w:rFonts w:ascii="Times New Roman"/>
                <w:sz w:val="24"/>
              </w:rPr>
              <w:t>Base Cut</w:t>
            </w:r>
          </w:p>
        </w:tc>
        <w:tc>
          <w:tcPr>
            <w:tcW w:w="2213" w:type="dxa"/>
          </w:tcPr>
          <w:p w:rsidR="00D0511E" w:rsidRDefault="00D0511E" w:rsidP="000D2C1E">
            <w:pPr>
              <w:pStyle w:val="TableParagraph"/>
              <w:spacing w:line="273" w:lineRule="exact"/>
              <w:rPr>
                <w:rFonts w:ascii="Times New Roman"/>
                <w:sz w:val="24"/>
              </w:rPr>
            </w:pPr>
            <w:r>
              <w:rPr>
                <w:rFonts w:ascii="Times New Roman"/>
                <w:sz w:val="24"/>
              </w:rPr>
              <w:t>Inflationary Increase</w:t>
            </w:r>
          </w:p>
        </w:tc>
        <w:tc>
          <w:tcPr>
            <w:tcW w:w="1334" w:type="dxa"/>
          </w:tcPr>
          <w:p w:rsidR="00D0511E" w:rsidRDefault="00D0511E" w:rsidP="000D2C1E">
            <w:pPr>
              <w:pStyle w:val="TableParagraph"/>
              <w:spacing w:line="273" w:lineRule="exact"/>
              <w:ind w:left="100"/>
              <w:rPr>
                <w:rFonts w:ascii="Times New Roman"/>
                <w:sz w:val="24"/>
              </w:rPr>
            </w:pPr>
            <w:r>
              <w:rPr>
                <w:rFonts w:ascii="Times New Roman"/>
                <w:sz w:val="24"/>
              </w:rPr>
              <w:t>Rescissions</w:t>
            </w:r>
          </w:p>
        </w:tc>
        <w:tc>
          <w:tcPr>
            <w:tcW w:w="2366" w:type="dxa"/>
          </w:tcPr>
          <w:p w:rsidR="00D0511E" w:rsidRDefault="00D0511E" w:rsidP="000D2C1E">
            <w:pPr>
              <w:pStyle w:val="TableParagraph"/>
              <w:spacing w:line="273" w:lineRule="exact"/>
              <w:rPr>
                <w:rFonts w:ascii="Times New Roman"/>
                <w:sz w:val="24"/>
              </w:rPr>
            </w:pPr>
            <w:r>
              <w:rPr>
                <w:rFonts w:ascii="Times New Roman"/>
                <w:sz w:val="24"/>
              </w:rPr>
              <w:t>Net Increase/Decrease</w:t>
            </w:r>
          </w:p>
        </w:tc>
      </w:tr>
      <w:tr w:rsidR="00D0511E" w:rsidTr="000D2C1E">
        <w:trPr>
          <w:trHeight w:val="260"/>
        </w:trPr>
        <w:tc>
          <w:tcPr>
            <w:tcW w:w="1018" w:type="dxa"/>
          </w:tcPr>
          <w:p w:rsidR="00D0511E" w:rsidRDefault="00D0511E" w:rsidP="000D2C1E">
            <w:pPr>
              <w:pStyle w:val="TableParagraph"/>
              <w:ind w:left="81" w:right="81"/>
              <w:jc w:val="center"/>
              <w:rPr>
                <w:sz w:val="24"/>
              </w:rPr>
            </w:pPr>
            <w:r>
              <w:rPr>
                <w:sz w:val="24"/>
              </w:rPr>
              <w:t>FY 2005</w:t>
            </w:r>
          </w:p>
        </w:tc>
        <w:tc>
          <w:tcPr>
            <w:tcW w:w="1426" w:type="dxa"/>
          </w:tcPr>
          <w:p w:rsidR="00D0511E" w:rsidRDefault="00D0511E" w:rsidP="000D2C1E">
            <w:pPr>
              <w:pStyle w:val="TableParagraph"/>
              <w:ind w:left="0" w:right="99"/>
              <w:jc w:val="right"/>
              <w:rPr>
                <w:sz w:val="24"/>
              </w:rPr>
            </w:pPr>
            <w:r>
              <w:rPr>
                <w:sz w:val="24"/>
              </w:rPr>
              <w:t>$2,823,606</w:t>
            </w:r>
          </w:p>
        </w:tc>
        <w:tc>
          <w:tcPr>
            <w:tcW w:w="1205" w:type="dxa"/>
          </w:tcPr>
          <w:p w:rsidR="00D0511E" w:rsidRDefault="00D0511E" w:rsidP="000D2C1E">
            <w:pPr>
              <w:pStyle w:val="TableParagraph"/>
              <w:spacing w:line="240" w:lineRule="auto"/>
              <w:ind w:left="0"/>
              <w:rPr>
                <w:rFonts w:ascii="Times New Roman"/>
                <w:sz w:val="20"/>
              </w:rPr>
            </w:pPr>
          </w:p>
        </w:tc>
        <w:tc>
          <w:tcPr>
            <w:tcW w:w="2213" w:type="dxa"/>
          </w:tcPr>
          <w:p w:rsidR="00D0511E" w:rsidRDefault="00D0511E" w:rsidP="000D2C1E">
            <w:pPr>
              <w:pStyle w:val="TableParagraph"/>
              <w:rPr>
                <w:sz w:val="24"/>
              </w:rPr>
            </w:pPr>
            <w:r>
              <w:rPr>
                <w:sz w:val="24"/>
              </w:rPr>
              <w:t>6%</w:t>
            </w:r>
          </w:p>
        </w:tc>
        <w:tc>
          <w:tcPr>
            <w:tcW w:w="1334" w:type="dxa"/>
          </w:tcPr>
          <w:p w:rsidR="00D0511E" w:rsidRDefault="00D0511E" w:rsidP="000D2C1E">
            <w:pPr>
              <w:pStyle w:val="TableParagraph"/>
              <w:ind w:left="100"/>
              <w:rPr>
                <w:sz w:val="24"/>
              </w:rPr>
            </w:pPr>
            <w:r>
              <w:rPr>
                <w:sz w:val="24"/>
              </w:rPr>
              <w:t>$10,241</w:t>
            </w:r>
          </w:p>
        </w:tc>
        <w:tc>
          <w:tcPr>
            <w:tcW w:w="2366" w:type="dxa"/>
          </w:tcPr>
          <w:p w:rsidR="00D0511E" w:rsidRDefault="00D0511E" w:rsidP="000D2C1E">
            <w:pPr>
              <w:pStyle w:val="TableParagraph"/>
              <w:rPr>
                <w:sz w:val="24"/>
              </w:rPr>
            </w:pPr>
            <w:r>
              <w:rPr>
                <w:sz w:val="24"/>
              </w:rPr>
              <w:t>+ 6%</w:t>
            </w:r>
          </w:p>
        </w:tc>
      </w:tr>
      <w:tr w:rsidR="00D0511E" w:rsidTr="000D2C1E">
        <w:trPr>
          <w:trHeight w:val="260"/>
        </w:trPr>
        <w:tc>
          <w:tcPr>
            <w:tcW w:w="1018" w:type="dxa"/>
          </w:tcPr>
          <w:p w:rsidR="00D0511E" w:rsidRDefault="00D0511E" w:rsidP="000D2C1E">
            <w:pPr>
              <w:pStyle w:val="TableParagraph"/>
              <w:ind w:left="81" w:right="81"/>
              <w:jc w:val="center"/>
              <w:rPr>
                <w:sz w:val="24"/>
              </w:rPr>
            </w:pPr>
            <w:r>
              <w:rPr>
                <w:sz w:val="24"/>
              </w:rPr>
              <w:t>FY 2006</w:t>
            </w:r>
          </w:p>
        </w:tc>
        <w:tc>
          <w:tcPr>
            <w:tcW w:w="1426" w:type="dxa"/>
          </w:tcPr>
          <w:p w:rsidR="00D0511E" w:rsidRDefault="00D0511E" w:rsidP="000D2C1E">
            <w:pPr>
              <w:pStyle w:val="TableParagraph"/>
              <w:ind w:left="0" w:right="99"/>
              <w:jc w:val="right"/>
              <w:rPr>
                <w:sz w:val="24"/>
              </w:rPr>
            </w:pPr>
            <w:r>
              <w:rPr>
                <w:sz w:val="24"/>
              </w:rPr>
              <w:t>$3,102,270</w:t>
            </w:r>
          </w:p>
        </w:tc>
        <w:tc>
          <w:tcPr>
            <w:tcW w:w="1205" w:type="dxa"/>
          </w:tcPr>
          <w:p w:rsidR="00D0511E" w:rsidRDefault="00D0511E" w:rsidP="000D2C1E">
            <w:pPr>
              <w:pStyle w:val="TableParagraph"/>
              <w:spacing w:line="240" w:lineRule="auto"/>
              <w:ind w:left="0"/>
              <w:rPr>
                <w:rFonts w:ascii="Times New Roman"/>
                <w:sz w:val="20"/>
              </w:rPr>
            </w:pPr>
          </w:p>
        </w:tc>
        <w:tc>
          <w:tcPr>
            <w:tcW w:w="2213" w:type="dxa"/>
          </w:tcPr>
          <w:p w:rsidR="00D0511E" w:rsidRDefault="00D0511E" w:rsidP="000D2C1E">
            <w:pPr>
              <w:pStyle w:val="TableParagraph"/>
              <w:rPr>
                <w:sz w:val="24"/>
              </w:rPr>
            </w:pPr>
            <w:r>
              <w:rPr>
                <w:sz w:val="24"/>
              </w:rPr>
              <w:t>9%</w:t>
            </w:r>
          </w:p>
        </w:tc>
        <w:tc>
          <w:tcPr>
            <w:tcW w:w="1334" w:type="dxa"/>
          </w:tcPr>
          <w:p w:rsidR="00D0511E" w:rsidRDefault="00D0511E" w:rsidP="000D2C1E">
            <w:pPr>
              <w:pStyle w:val="TableParagraph"/>
              <w:spacing w:line="240" w:lineRule="auto"/>
              <w:ind w:left="0"/>
              <w:rPr>
                <w:rFonts w:ascii="Times New Roman"/>
                <w:sz w:val="20"/>
              </w:rPr>
            </w:pPr>
          </w:p>
        </w:tc>
        <w:tc>
          <w:tcPr>
            <w:tcW w:w="2366" w:type="dxa"/>
          </w:tcPr>
          <w:p w:rsidR="00D0511E" w:rsidRDefault="00D0511E" w:rsidP="000D2C1E">
            <w:pPr>
              <w:pStyle w:val="TableParagraph"/>
              <w:rPr>
                <w:sz w:val="24"/>
              </w:rPr>
            </w:pPr>
            <w:r>
              <w:rPr>
                <w:sz w:val="24"/>
              </w:rPr>
              <w:t>+ 9%</w:t>
            </w:r>
          </w:p>
        </w:tc>
      </w:tr>
      <w:tr w:rsidR="00D0511E" w:rsidTr="000D2C1E">
        <w:trPr>
          <w:trHeight w:val="260"/>
        </w:trPr>
        <w:tc>
          <w:tcPr>
            <w:tcW w:w="1018" w:type="dxa"/>
          </w:tcPr>
          <w:p w:rsidR="00D0511E" w:rsidRDefault="00D0511E" w:rsidP="000D2C1E">
            <w:pPr>
              <w:pStyle w:val="TableParagraph"/>
              <w:ind w:left="81" w:right="81"/>
              <w:jc w:val="center"/>
              <w:rPr>
                <w:sz w:val="24"/>
              </w:rPr>
            </w:pPr>
            <w:r>
              <w:rPr>
                <w:sz w:val="24"/>
              </w:rPr>
              <w:t>FY 2007</w:t>
            </w:r>
          </w:p>
        </w:tc>
        <w:tc>
          <w:tcPr>
            <w:tcW w:w="1426" w:type="dxa"/>
          </w:tcPr>
          <w:p w:rsidR="00D0511E" w:rsidRDefault="00D0511E" w:rsidP="000D2C1E">
            <w:pPr>
              <w:pStyle w:val="TableParagraph"/>
              <w:ind w:left="0" w:right="99"/>
              <w:jc w:val="right"/>
              <w:rPr>
                <w:sz w:val="24"/>
              </w:rPr>
            </w:pPr>
            <w:r>
              <w:rPr>
                <w:sz w:val="24"/>
              </w:rPr>
              <w:t>$3,224,670</w:t>
            </w:r>
          </w:p>
        </w:tc>
        <w:tc>
          <w:tcPr>
            <w:tcW w:w="1205" w:type="dxa"/>
          </w:tcPr>
          <w:p w:rsidR="00D0511E" w:rsidRDefault="00D0511E" w:rsidP="000D2C1E">
            <w:pPr>
              <w:pStyle w:val="TableParagraph"/>
              <w:spacing w:line="240" w:lineRule="auto"/>
              <w:ind w:left="0"/>
              <w:rPr>
                <w:rFonts w:ascii="Times New Roman"/>
                <w:sz w:val="20"/>
              </w:rPr>
            </w:pPr>
          </w:p>
        </w:tc>
        <w:tc>
          <w:tcPr>
            <w:tcW w:w="2213" w:type="dxa"/>
          </w:tcPr>
          <w:p w:rsidR="00D0511E" w:rsidRDefault="00D0511E" w:rsidP="000D2C1E">
            <w:pPr>
              <w:pStyle w:val="TableParagraph"/>
              <w:rPr>
                <w:sz w:val="24"/>
              </w:rPr>
            </w:pPr>
            <w:r>
              <w:rPr>
                <w:sz w:val="24"/>
              </w:rPr>
              <w:t>9%</w:t>
            </w:r>
          </w:p>
        </w:tc>
        <w:tc>
          <w:tcPr>
            <w:tcW w:w="1334" w:type="dxa"/>
          </w:tcPr>
          <w:p w:rsidR="00D0511E" w:rsidRDefault="00D0511E" w:rsidP="000D2C1E">
            <w:pPr>
              <w:pStyle w:val="TableParagraph"/>
              <w:ind w:left="100"/>
              <w:rPr>
                <w:sz w:val="24"/>
              </w:rPr>
            </w:pPr>
            <w:r>
              <w:rPr>
                <w:sz w:val="24"/>
              </w:rPr>
              <w:t>$156,000</w:t>
            </w:r>
          </w:p>
        </w:tc>
        <w:tc>
          <w:tcPr>
            <w:tcW w:w="2366" w:type="dxa"/>
          </w:tcPr>
          <w:p w:rsidR="00D0511E" w:rsidRDefault="00D0511E" w:rsidP="000D2C1E">
            <w:pPr>
              <w:pStyle w:val="TableParagraph"/>
              <w:rPr>
                <w:sz w:val="24"/>
              </w:rPr>
            </w:pPr>
            <w:r>
              <w:rPr>
                <w:sz w:val="24"/>
              </w:rPr>
              <w:t>+ 4%</w:t>
            </w:r>
          </w:p>
        </w:tc>
      </w:tr>
      <w:tr w:rsidR="00D0511E" w:rsidTr="000D2C1E">
        <w:trPr>
          <w:trHeight w:val="260"/>
        </w:trPr>
        <w:tc>
          <w:tcPr>
            <w:tcW w:w="1018" w:type="dxa"/>
          </w:tcPr>
          <w:p w:rsidR="00D0511E" w:rsidRDefault="00D0511E" w:rsidP="000D2C1E">
            <w:pPr>
              <w:pStyle w:val="TableParagraph"/>
              <w:ind w:left="81" w:right="81"/>
              <w:jc w:val="center"/>
              <w:rPr>
                <w:sz w:val="24"/>
              </w:rPr>
            </w:pPr>
            <w:r>
              <w:rPr>
                <w:sz w:val="24"/>
              </w:rPr>
              <w:t>FY 2008</w:t>
            </w:r>
          </w:p>
        </w:tc>
        <w:tc>
          <w:tcPr>
            <w:tcW w:w="1426" w:type="dxa"/>
          </w:tcPr>
          <w:p w:rsidR="00D0511E" w:rsidRDefault="00D0511E" w:rsidP="000D2C1E">
            <w:pPr>
              <w:pStyle w:val="TableParagraph"/>
              <w:ind w:left="0" w:right="99"/>
              <w:jc w:val="right"/>
              <w:rPr>
                <w:sz w:val="24"/>
              </w:rPr>
            </w:pPr>
            <w:r>
              <w:rPr>
                <w:sz w:val="24"/>
              </w:rPr>
              <w:t>$3,450,396</w:t>
            </w:r>
          </w:p>
        </w:tc>
        <w:tc>
          <w:tcPr>
            <w:tcW w:w="1205" w:type="dxa"/>
          </w:tcPr>
          <w:p w:rsidR="00D0511E" w:rsidRDefault="00D0511E" w:rsidP="000D2C1E">
            <w:pPr>
              <w:pStyle w:val="TableParagraph"/>
              <w:rPr>
                <w:sz w:val="24"/>
              </w:rPr>
            </w:pPr>
            <w:r>
              <w:rPr>
                <w:sz w:val="24"/>
              </w:rPr>
              <w:t>$156,000</w:t>
            </w:r>
          </w:p>
        </w:tc>
        <w:tc>
          <w:tcPr>
            <w:tcW w:w="2213" w:type="dxa"/>
          </w:tcPr>
          <w:p w:rsidR="00D0511E" w:rsidRDefault="00D0511E" w:rsidP="000D2C1E">
            <w:pPr>
              <w:pStyle w:val="TableParagraph"/>
              <w:rPr>
                <w:sz w:val="24"/>
              </w:rPr>
            </w:pPr>
            <w:r>
              <w:rPr>
                <w:sz w:val="24"/>
              </w:rPr>
              <w:t>7%</w:t>
            </w:r>
          </w:p>
        </w:tc>
        <w:tc>
          <w:tcPr>
            <w:tcW w:w="1334" w:type="dxa"/>
          </w:tcPr>
          <w:p w:rsidR="00D0511E" w:rsidRDefault="00D0511E" w:rsidP="000D2C1E">
            <w:pPr>
              <w:pStyle w:val="TableParagraph"/>
              <w:spacing w:line="240" w:lineRule="auto"/>
              <w:ind w:left="0"/>
              <w:rPr>
                <w:rFonts w:ascii="Times New Roman"/>
                <w:sz w:val="20"/>
              </w:rPr>
            </w:pPr>
          </w:p>
        </w:tc>
        <w:tc>
          <w:tcPr>
            <w:tcW w:w="2366" w:type="dxa"/>
          </w:tcPr>
          <w:p w:rsidR="00D0511E" w:rsidRDefault="00D0511E" w:rsidP="000D2C1E">
            <w:pPr>
              <w:pStyle w:val="TableParagraph"/>
              <w:rPr>
                <w:sz w:val="24"/>
              </w:rPr>
            </w:pPr>
            <w:r>
              <w:rPr>
                <w:sz w:val="24"/>
              </w:rPr>
              <w:t>+ 7%</w:t>
            </w:r>
          </w:p>
        </w:tc>
      </w:tr>
      <w:tr w:rsidR="00D0511E" w:rsidTr="000D2C1E">
        <w:trPr>
          <w:trHeight w:val="260"/>
        </w:trPr>
        <w:tc>
          <w:tcPr>
            <w:tcW w:w="1018" w:type="dxa"/>
          </w:tcPr>
          <w:p w:rsidR="00D0511E" w:rsidRDefault="00D0511E" w:rsidP="000D2C1E">
            <w:pPr>
              <w:pStyle w:val="TableParagraph"/>
              <w:ind w:left="81" w:right="81"/>
              <w:jc w:val="center"/>
              <w:rPr>
                <w:sz w:val="24"/>
              </w:rPr>
            </w:pPr>
            <w:r>
              <w:rPr>
                <w:sz w:val="24"/>
              </w:rPr>
              <w:t>FY 2009</w:t>
            </w:r>
          </w:p>
        </w:tc>
        <w:tc>
          <w:tcPr>
            <w:tcW w:w="1426" w:type="dxa"/>
          </w:tcPr>
          <w:p w:rsidR="00D0511E" w:rsidRDefault="00D0511E" w:rsidP="000D2C1E">
            <w:pPr>
              <w:pStyle w:val="TableParagraph"/>
              <w:ind w:left="0" w:right="99"/>
              <w:jc w:val="right"/>
              <w:rPr>
                <w:sz w:val="24"/>
              </w:rPr>
            </w:pPr>
            <w:r>
              <w:rPr>
                <w:sz w:val="24"/>
              </w:rPr>
              <w:t>$3,691,925</w:t>
            </w:r>
          </w:p>
        </w:tc>
        <w:tc>
          <w:tcPr>
            <w:tcW w:w="1205" w:type="dxa"/>
          </w:tcPr>
          <w:p w:rsidR="00D0511E" w:rsidRDefault="00D0511E" w:rsidP="000D2C1E">
            <w:pPr>
              <w:pStyle w:val="TableParagraph"/>
              <w:spacing w:line="240" w:lineRule="auto"/>
              <w:ind w:left="0"/>
              <w:rPr>
                <w:rFonts w:ascii="Times New Roman"/>
                <w:sz w:val="20"/>
              </w:rPr>
            </w:pPr>
          </w:p>
        </w:tc>
        <w:tc>
          <w:tcPr>
            <w:tcW w:w="2213" w:type="dxa"/>
          </w:tcPr>
          <w:p w:rsidR="00D0511E" w:rsidRDefault="00D0511E" w:rsidP="000D2C1E">
            <w:pPr>
              <w:pStyle w:val="TableParagraph"/>
              <w:rPr>
                <w:sz w:val="24"/>
              </w:rPr>
            </w:pPr>
            <w:r>
              <w:rPr>
                <w:sz w:val="24"/>
              </w:rPr>
              <w:t>7%</w:t>
            </w:r>
          </w:p>
        </w:tc>
        <w:tc>
          <w:tcPr>
            <w:tcW w:w="1334" w:type="dxa"/>
          </w:tcPr>
          <w:p w:rsidR="00D0511E" w:rsidRDefault="00D0511E" w:rsidP="000D2C1E">
            <w:pPr>
              <w:pStyle w:val="TableParagraph"/>
              <w:spacing w:line="240" w:lineRule="auto"/>
              <w:ind w:left="0"/>
              <w:rPr>
                <w:rFonts w:ascii="Times New Roman"/>
                <w:sz w:val="20"/>
              </w:rPr>
            </w:pPr>
          </w:p>
        </w:tc>
        <w:tc>
          <w:tcPr>
            <w:tcW w:w="2366" w:type="dxa"/>
          </w:tcPr>
          <w:p w:rsidR="00D0511E" w:rsidRDefault="00D0511E" w:rsidP="000D2C1E">
            <w:pPr>
              <w:pStyle w:val="TableParagraph"/>
              <w:rPr>
                <w:sz w:val="24"/>
              </w:rPr>
            </w:pPr>
            <w:r>
              <w:rPr>
                <w:sz w:val="24"/>
              </w:rPr>
              <w:t>+ 7%</w:t>
            </w:r>
          </w:p>
        </w:tc>
      </w:tr>
      <w:tr w:rsidR="00D0511E" w:rsidTr="000D2C1E">
        <w:trPr>
          <w:trHeight w:val="260"/>
        </w:trPr>
        <w:tc>
          <w:tcPr>
            <w:tcW w:w="1018" w:type="dxa"/>
          </w:tcPr>
          <w:p w:rsidR="00D0511E" w:rsidRDefault="00D0511E" w:rsidP="000D2C1E">
            <w:pPr>
              <w:pStyle w:val="TableParagraph"/>
              <w:ind w:left="81" w:right="81"/>
              <w:jc w:val="center"/>
              <w:rPr>
                <w:sz w:val="24"/>
              </w:rPr>
            </w:pPr>
            <w:r>
              <w:rPr>
                <w:sz w:val="24"/>
              </w:rPr>
              <w:t>FY 2010</w:t>
            </w:r>
          </w:p>
        </w:tc>
        <w:tc>
          <w:tcPr>
            <w:tcW w:w="1426" w:type="dxa"/>
          </w:tcPr>
          <w:p w:rsidR="00D0511E" w:rsidRDefault="00D0511E" w:rsidP="000D2C1E">
            <w:pPr>
              <w:pStyle w:val="TableParagraph"/>
              <w:ind w:left="0" w:right="99"/>
              <w:jc w:val="right"/>
              <w:rPr>
                <w:sz w:val="24"/>
              </w:rPr>
            </w:pPr>
            <w:r>
              <w:rPr>
                <w:sz w:val="24"/>
              </w:rPr>
              <w:t>$3,985,088</w:t>
            </w:r>
          </w:p>
        </w:tc>
        <w:tc>
          <w:tcPr>
            <w:tcW w:w="1205" w:type="dxa"/>
          </w:tcPr>
          <w:p w:rsidR="00D0511E" w:rsidRDefault="00D0511E" w:rsidP="000D2C1E">
            <w:pPr>
              <w:pStyle w:val="TableParagraph"/>
              <w:spacing w:line="240" w:lineRule="auto"/>
              <w:ind w:left="0"/>
              <w:rPr>
                <w:rFonts w:ascii="Times New Roman"/>
                <w:sz w:val="20"/>
              </w:rPr>
            </w:pPr>
          </w:p>
        </w:tc>
        <w:tc>
          <w:tcPr>
            <w:tcW w:w="2213" w:type="dxa"/>
          </w:tcPr>
          <w:p w:rsidR="00D0511E" w:rsidRDefault="00D0511E" w:rsidP="000D2C1E">
            <w:pPr>
              <w:pStyle w:val="TableParagraph"/>
              <w:rPr>
                <w:sz w:val="24"/>
              </w:rPr>
            </w:pPr>
            <w:r>
              <w:rPr>
                <w:sz w:val="24"/>
              </w:rPr>
              <w:t>8%</w:t>
            </w:r>
          </w:p>
        </w:tc>
        <w:tc>
          <w:tcPr>
            <w:tcW w:w="1334" w:type="dxa"/>
          </w:tcPr>
          <w:p w:rsidR="00D0511E" w:rsidRDefault="00D0511E" w:rsidP="000D2C1E">
            <w:pPr>
              <w:pStyle w:val="TableParagraph"/>
              <w:spacing w:line="240" w:lineRule="auto"/>
              <w:ind w:left="0"/>
              <w:rPr>
                <w:rFonts w:ascii="Times New Roman"/>
                <w:sz w:val="20"/>
              </w:rPr>
            </w:pPr>
          </w:p>
        </w:tc>
        <w:tc>
          <w:tcPr>
            <w:tcW w:w="2366" w:type="dxa"/>
          </w:tcPr>
          <w:p w:rsidR="00D0511E" w:rsidRDefault="00D0511E" w:rsidP="000D2C1E">
            <w:pPr>
              <w:pStyle w:val="TableParagraph"/>
              <w:rPr>
                <w:sz w:val="24"/>
              </w:rPr>
            </w:pPr>
            <w:r>
              <w:rPr>
                <w:sz w:val="24"/>
              </w:rPr>
              <w:t>+ 8%</w:t>
            </w:r>
          </w:p>
        </w:tc>
      </w:tr>
      <w:tr w:rsidR="00D0511E" w:rsidTr="000D2C1E">
        <w:trPr>
          <w:trHeight w:val="260"/>
        </w:trPr>
        <w:tc>
          <w:tcPr>
            <w:tcW w:w="1018" w:type="dxa"/>
          </w:tcPr>
          <w:p w:rsidR="00D0511E" w:rsidRDefault="00D0511E" w:rsidP="000D2C1E">
            <w:pPr>
              <w:pStyle w:val="TableParagraph"/>
              <w:ind w:left="81" w:right="81"/>
              <w:jc w:val="center"/>
              <w:rPr>
                <w:sz w:val="24"/>
              </w:rPr>
            </w:pPr>
            <w:r>
              <w:rPr>
                <w:sz w:val="24"/>
              </w:rPr>
              <w:t>FY 2011</w:t>
            </w:r>
          </w:p>
        </w:tc>
        <w:tc>
          <w:tcPr>
            <w:tcW w:w="1426" w:type="dxa"/>
          </w:tcPr>
          <w:p w:rsidR="00D0511E" w:rsidRDefault="00D0511E" w:rsidP="000D2C1E">
            <w:pPr>
              <w:pStyle w:val="TableParagraph"/>
              <w:ind w:left="0" w:right="99"/>
              <w:jc w:val="right"/>
              <w:rPr>
                <w:sz w:val="24"/>
              </w:rPr>
            </w:pPr>
            <w:r>
              <w:rPr>
                <w:sz w:val="24"/>
              </w:rPr>
              <w:t>$4,300,695</w:t>
            </w:r>
          </w:p>
        </w:tc>
        <w:tc>
          <w:tcPr>
            <w:tcW w:w="1205" w:type="dxa"/>
          </w:tcPr>
          <w:p w:rsidR="00D0511E" w:rsidRDefault="00D0511E" w:rsidP="000D2C1E">
            <w:pPr>
              <w:pStyle w:val="TableParagraph"/>
              <w:spacing w:line="240" w:lineRule="auto"/>
              <w:ind w:left="0"/>
              <w:rPr>
                <w:rFonts w:ascii="Times New Roman"/>
                <w:sz w:val="20"/>
              </w:rPr>
            </w:pPr>
          </w:p>
        </w:tc>
        <w:tc>
          <w:tcPr>
            <w:tcW w:w="2213" w:type="dxa"/>
          </w:tcPr>
          <w:p w:rsidR="00D0511E" w:rsidRDefault="00D0511E" w:rsidP="000D2C1E">
            <w:pPr>
              <w:pStyle w:val="TableParagraph"/>
              <w:rPr>
                <w:sz w:val="24"/>
              </w:rPr>
            </w:pPr>
            <w:r>
              <w:rPr>
                <w:sz w:val="24"/>
              </w:rPr>
              <w:t>8%</w:t>
            </w:r>
          </w:p>
        </w:tc>
        <w:tc>
          <w:tcPr>
            <w:tcW w:w="1334" w:type="dxa"/>
          </w:tcPr>
          <w:p w:rsidR="00D0511E" w:rsidRDefault="00D0511E" w:rsidP="000D2C1E">
            <w:pPr>
              <w:pStyle w:val="TableParagraph"/>
              <w:spacing w:line="240" w:lineRule="auto"/>
              <w:ind w:left="0"/>
              <w:rPr>
                <w:rFonts w:ascii="Times New Roman"/>
                <w:sz w:val="20"/>
              </w:rPr>
            </w:pPr>
          </w:p>
        </w:tc>
        <w:tc>
          <w:tcPr>
            <w:tcW w:w="2366" w:type="dxa"/>
          </w:tcPr>
          <w:p w:rsidR="00D0511E" w:rsidRDefault="00D0511E" w:rsidP="000D2C1E">
            <w:pPr>
              <w:pStyle w:val="TableParagraph"/>
              <w:rPr>
                <w:sz w:val="24"/>
              </w:rPr>
            </w:pPr>
            <w:r>
              <w:rPr>
                <w:sz w:val="24"/>
              </w:rPr>
              <w:t>+ 8%</w:t>
            </w:r>
          </w:p>
        </w:tc>
      </w:tr>
      <w:tr w:rsidR="00D0511E" w:rsidTr="000D2C1E">
        <w:trPr>
          <w:trHeight w:val="260"/>
        </w:trPr>
        <w:tc>
          <w:tcPr>
            <w:tcW w:w="1018" w:type="dxa"/>
          </w:tcPr>
          <w:p w:rsidR="00D0511E" w:rsidRDefault="00D0511E" w:rsidP="000D2C1E">
            <w:pPr>
              <w:pStyle w:val="TableParagraph"/>
              <w:ind w:left="81" w:right="81"/>
              <w:jc w:val="center"/>
              <w:rPr>
                <w:sz w:val="24"/>
              </w:rPr>
            </w:pPr>
            <w:r>
              <w:rPr>
                <w:sz w:val="24"/>
              </w:rPr>
              <w:t>FY 2012</w:t>
            </w:r>
          </w:p>
        </w:tc>
        <w:tc>
          <w:tcPr>
            <w:tcW w:w="1426" w:type="dxa"/>
          </w:tcPr>
          <w:p w:rsidR="00D0511E" w:rsidRDefault="00D0511E" w:rsidP="000D2C1E">
            <w:pPr>
              <w:pStyle w:val="TableParagraph"/>
              <w:ind w:left="0" w:right="99"/>
              <w:jc w:val="right"/>
              <w:rPr>
                <w:sz w:val="24"/>
              </w:rPr>
            </w:pPr>
            <w:r>
              <w:rPr>
                <w:sz w:val="24"/>
              </w:rPr>
              <w:t>$4,641,551</w:t>
            </w:r>
          </w:p>
        </w:tc>
        <w:tc>
          <w:tcPr>
            <w:tcW w:w="1205" w:type="dxa"/>
          </w:tcPr>
          <w:p w:rsidR="00D0511E" w:rsidRDefault="00D0511E" w:rsidP="000D2C1E">
            <w:pPr>
              <w:pStyle w:val="TableParagraph"/>
              <w:spacing w:line="240" w:lineRule="auto"/>
              <w:ind w:left="0"/>
              <w:rPr>
                <w:rFonts w:ascii="Times New Roman"/>
                <w:sz w:val="20"/>
              </w:rPr>
            </w:pPr>
          </w:p>
        </w:tc>
        <w:tc>
          <w:tcPr>
            <w:tcW w:w="2213" w:type="dxa"/>
          </w:tcPr>
          <w:p w:rsidR="00D0511E" w:rsidRDefault="00D0511E" w:rsidP="000D2C1E">
            <w:pPr>
              <w:pStyle w:val="TableParagraph"/>
              <w:rPr>
                <w:sz w:val="24"/>
              </w:rPr>
            </w:pPr>
            <w:r>
              <w:rPr>
                <w:sz w:val="24"/>
              </w:rPr>
              <w:t>8%</w:t>
            </w:r>
          </w:p>
        </w:tc>
        <w:tc>
          <w:tcPr>
            <w:tcW w:w="1334" w:type="dxa"/>
          </w:tcPr>
          <w:p w:rsidR="00D0511E" w:rsidRDefault="00D0511E" w:rsidP="000D2C1E">
            <w:pPr>
              <w:pStyle w:val="TableParagraph"/>
              <w:spacing w:line="240" w:lineRule="auto"/>
              <w:ind w:left="0"/>
              <w:rPr>
                <w:rFonts w:ascii="Times New Roman"/>
                <w:sz w:val="20"/>
              </w:rPr>
            </w:pPr>
          </w:p>
        </w:tc>
        <w:tc>
          <w:tcPr>
            <w:tcW w:w="2366" w:type="dxa"/>
          </w:tcPr>
          <w:p w:rsidR="00D0511E" w:rsidRDefault="00D0511E" w:rsidP="000D2C1E">
            <w:pPr>
              <w:pStyle w:val="TableParagraph"/>
              <w:rPr>
                <w:sz w:val="24"/>
              </w:rPr>
            </w:pPr>
            <w:r>
              <w:rPr>
                <w:sz w:val="24"/>
              </w:rPr>
              <w:t>+ 8%</w:t>
            </w:r>
          </w:p>
        </w:tc>
      </w:tr>
      <w:tr w:rsidR="00D0511E" w:rsidTr="000D2C1E">
        <w:trPr>
          <w:trHeight w:val="280"/>
        </w:trPr>
        <w:tc>
          <w:tcPr>
            <w:tcW w:w="1018" w:type="dxa"/>
          </w:tcPr>
          <w:p w:rsidR="00D0511E" w:rsidRDefault="00D0511E" w:rsidP="000D2C1E">
            <w:pPr>
              <w:pStyle w:val="TableParagraph"/>
              <w:spacing w:line="263" w:lineRule="exact"/>
              <w:ind w:left="81" w:right="81"/>
              <w:jc w:val="center"/>
              <w:rPr>
                <w:sz w:val="24"/>
              </w:rPr>
            </w:pPr>
            <w:r>
              <w:rPr>
                <w:sz w:val="24"/>
              </w:rPr>
              <w:t>FY 2013</w:t>
            </w:r>
          </w:p>
        </w:tc>
        <w:tc>
          <w:tcPr>
            <w:tcW w:w="1426" w:type="dxa"/>
          </w:tcPr>
          <w:p w:rsidR="00D0511E" w:rsidRDefault="00D0511E" w:rsidP="000D2C1E">
            <w:pPr>
              <w:pStyle w:val="TableParagraph"/>
              <w:spacing w:line="263" w:lineRule="exact"/>
              <w:ind w:left="0" w:right="99"/>
              <w:jc w:val="right"/>
              <w:rPr>
                <w:sz w:val="24"/>
              </w:rPr>
            </w:pPr>
            <w:r>
              <w:rPr>
                <w:sz w:val="24"/>
              </w:rPr>
              <w:t>$4,868,532</w:t>
            </w:r>
          </w:p>
        </w:tc>
        <w:tc>
          <w:tcPr>
            <w:tcW w:w="1205" w:type="dxa"/>
          </w:tcPr>
          <w:p w:rsidR="00D0511E" w:rsidRDefault="00D0511E" w:rsidP="000D2C1E">
            <w:pPr>
              <w:pStyle w:val="TableParagraph"/>
              <w:spacing w:line="240" w:lineRule="auto"/>
              <w:ind w:left="0"/>
              <w:rPr>
                <w:rFonts w:ascii="Times New Roman"/>
                <w:sz w:val="20"/>
              </w:rPr>
            </w:pPr>
          </w:p>
        </w:tc>
        <w:tc>
          <w:tcPr>
            <w:tcW w:w="2213" w:type="dxa"/>
          </w:tcPr>
          <w:p w:rsidR="00D0511E" w:rsidRDefault="00D0511E" w:rsidP="000D2C1E">
            <w:pPr>
              <w:pStyle w:val="TableParagraph"/>
              <w:spacing w:line="263" w:lineRule="exact"/>
              <w:rPr>
                <w:sz w:val="24"/>
              </w:rPr>
            </w:pPr>
            <w:r>
              <w:rPr>
                <w:sz w:val="24"/>
              </w:rPr>
              <w:t>8%</w:t>
            </w:r>
          </w:p>
        </w:tc>
        <w:tc>
          <w:tcPr>
            <w:tcW w:w="1334" w:type="dxa"/>
          </w:tcPr>
          <w:p w:rsidR="00D0511E" w:rsidRDefault="00D0511E" w:rsidP="000D2C1E">
            <w:pPr>
              <w:pStyle w:val="TableParagraph"/>
              <w:spacing w:line="263" w:lineRule="exact"/>
              <w:ind w:left="100"/>
              <w:rPr>
                <w:sz w:val="24"/>
              </w:rPr>
            </w:pPr>
            <w:r>
              <w:rPr>
                <w:sz w:val="24"/>
              </w:rPr>
              <w:t>$141,544</w:t>
            </w:r>
          </w:p>
        </w:tc>
        <w:tc>
          <w:tcPr>
            <w:tcW w:w="2366" w:type="dxa"/>
          </w:tcPr>
          <w:p w:rsidR="00D0511E" w:rsidRDefault="00D0511E" w:rsidP="000D2C1E">
            <w:pPr>
              <w:pStyle w:val="TableParagraph"/>
              <w:spacing w:line="263" w:lineRule="exact"/>
              <w:rPr>
                <w:sz w:val="24"/>
              </w:rPr>
            </w:pPr>
            <w:r>
              <w:rPr>
                <w:sz w:val="24"/>
              </w:rPr>
              <w:t>+ 5%</w:t>
            </w:r>
          </w:p>
        </w:tc>
      </w:tr>
      <w:tr w:rsidR="00D0511E" w:rsidTr="000D2C1E">
        <w:trPr>
          <w:trHeight w:val="260"/>
        </w:trPr>
        <w:tc>
          <w:tcPr>
            <w:tcW w:w="1018" w:type="dxa"/>
          </w:tcPr>
          <w:p w:rsidR="00D0511E" w:rsidRDefault="00D0511E" w:rsidP="000D2C1E">
            <w:pPr>
              <w:pStyle w:val="TableParagraph"/>
              <w:ind w:left="81" w:right="81"/>
              <w:jc w:val="center"/>
              <w:rPr>
                <w:sz w:val="24"/>
              </w:rPr>
            </w:pPr>
            <w:r>
              <w:rPr>
                <w:sz w:val="24"/>
              </w:rPr>
              <w:t>FY 2014</w:t>
            </w:r>
          </w:p>
        </w:tc>
        <w:tc>
          <w:tcPr>
            <w:tcW w:w="1426" w:type="dxa"/>
          </w:tcPr>
          <w:p w:rsidR="00D0511E" w:rsidRDefault="00D0511E" w:rsidP="000D2C1E">
            <w:pPr>
              <w:pStyle w:val="TableParagraph"/>
              <w:ind w:left="0" w:right="99"/>
              <w:jc w:val="right"/>
              <w:rPr>
                <w:sz w:val="24"/>
              </w:rPr>
            </w:pPr>
            <w:r>
              <w:rPr>
                <w:sz w:val="24"/>
              </w:rPr>
              <w:t>$4,549,680</w:t>
            </w:r>
          </w:p>
        </w:tc>
        <w:tc>
          <w:tcPr>
            <w:tcW w:w="1205" w:type="dxa"/>
          </w:tcPr>
          <w:p w:rsidR="00D0511E" w:rsidRDefault="00D0511E" w:rsidP="000D2C1E">
            <w:pPr>
              <w:pStyle w:val="TableParagraph"/>
              <w:rPr>
                <w:sz w:val="24"/>
              </w:rPr>
            </w:pPr>
            <w:r>
              <w:rPr>
                <w:sz w:val="24"/>
              </w:rPr>
              <w:t>$360,000</w:t>
            </w:r>
          </w:p>
        </w:tc>
        <w:tc>
          <w:tcPr>
            <w:tcW w:w="2213" w:type="dxa"/>
          </w:tcPr>
          <w:p w:rsidR="00D0511E" w:rsidRDefault="00D0511E" w:rsidP="000D2C1E">
            <w:pPr>
              <w:pStyle w:val="TableParagraph"/>
              <w:rPr>
                <w:sz w:val="24"/>
              </w:rPr>
            </w:pPr>
            <w:r>
              <w:rPr>
                <w:sz w:val="24"/>
              </w:rPr>
              <w:t>0%</w:t>
            </w:r>
          </w:p>
        </w:tc>
        <w:tc>
          <w:tcPr>
            <w:tcW w:w="1334" w:type="dxa"/>
          </w:tcPr>
          <w:p w:rsidR="00D0511E" w:rsidRDefault="00D0511E" w:rsidP="000D2C1E">
            <w:pPr>
              <w:pStyle w:val="TableParagraph"/>
              <w:ind w:left="100"/>
              <w:rPr>
                <w:sz w:val="24"/>
              </w:rPr>
            </w:pPr>
            <w:r>
              <w:rPr>
                <w:sz w:val="24"/>
              </w:rPr>
              <w:t>$277,000</w:t>
            </w:r>
          </w:p>
        </w:tc>
        <w:tc>
          <w:tcPr>
            <w:tcW w:w="2366" w:type="dxa"/>
          </w:tcPr>
          <w:p w:rsidR="00D0511E" w:rsidRDefault="00D0511E" w:rsidP="000D2C1E">
            <w:pPr>
              <w:pStyle w:val="TableParagraph"/>
              <w:rPr>
                <w:sz w:val="24"/>
              </w:rPr>
            </w:pPr>
            <w:r>
              <w:rPr>
                <w:sz w:val="24"/>
              </w:rPr>
              <w:t>- 6.5%</w:t>
            </w:r>
          </w:p>
        </w:tc>
      </w:tr>
      <w:tr w:rsidR="00D0511E" w:rsidTr="000D2C1E">
        <w:trPr>
          <w:trHeight w:val="260"/>
        </w:trPr>
        <w:tc>
          <w:tcPr>
            <w:tcW w:w="1018" w:type="dxa"/>
          </w:tcPr>
          <w:p w:rsidR="00D0511E" w:rsidRDefault="00D0511E" w:rsidP="000D2C1E">
            <w:pPr>
              <w:pStyle w:val="TableParagraph"/>
              <w:ind w:left="81" w:right="81"/>
              <w:jc w:val="center"/>
              <w:rPr>
                <w:sz w:val="24"/>
              </w:rPr>
            </w:pPr>
            <w:r>
              <w:rPr>
                <w:sz w:val="24"/>
              </w:rPr>
              <w:t>FY 2015</w:t>
            </w:r>
          </w:p>
        </w:tc>
        <w:tc>
          <w:tcPr>
            <w:tcW w:w="1426" w:type="dxa"/>
          </w:tcPr>
          <w:p w:rsidR="00D0511E" w:rsidRDefault="00D0511E" w:rsidP="000D2C1E">
            <w:pPr>
              <w:pStyle w:val="TableParagraph"/>
              <w:ind w:left="0" w:right="99"/>
              <w:jc w:val="right"/>
              <w:rPr>
                <w:sz w:val="24"/>
              </w:rPr>
            </w:pPr>
            <w:r>
              <w:rPr>
                <w:sz w:val="24"/>
              </w:rPr>
              <w:t>$4,210,948</w:t>
            </w:r>
          </w:p>
        </w:tc>
        <w:tc>
          <w:tcPr>
            <w:tcW w:w="1205" w:type="dxa"/>
          </w:tcPr>
          <w:p w:rsidR="00D0511E" w:rsidRDefault="00D0511E" w:rsidP="000D2C1E">
            <w:pPr>
              <w:pStyle w:val="TableParagraph"/>
              <w:rPr>
                <w:sz w:val="24"/>
              </w:rPr>
            </w:pPr>
            <w:r>
              <w:rPr>
                <w:sz w:val="24"/>
              </w:rPr>
              <w:t>$615,732</w:t>
            </w:r>
          </w:p>
        </w:tc>
        <w:tc>
          <w:tcPr>
            <w:tcW w:w="2213" w:type="dxa"/>
          </w:tcPr>
          <w:p w:rsidR="00D0511E" w:rsidRDefault="00D0511E" w:rsidP="000D2C1E">
            <w:pPr>
              <w:pStyle w:val="TableParagraph"/>
              <w:rPr>
                <w:sz w:val="24"/>
              </w:rPr>
            </w:pPr>
            <w:r>
              <w:rPr>
                <w:sz w:val="24"/>
              </w:rPr>
              <w:t>0%</w:t>
            </w:r>
          </w:p>
        </w:tc>
        <w:tc>
          <w:tcPr>
            <w:tcW w:w="1334" w:type="dxa"/>
          </w:tcPr>
          <w:p w:rsidR="00D0511E" w:rsidRDefault="00D0511E" w:rsidP="000D2C1E">
            <w:pPr>
              <w:pStyle w:val="TableParagraph"/>
              <w:spacing w:line="240" w:lineRule="auto"/>
              <w:ind w:left="0"/>
              <w:rPr>
                <w:rFonts w:ascii="Times New Roman"/>
                <w:sz w:val="20"/>
              </w:rPr>
            </w:pPr>
          </w:p>
        </w:tc>
        <w:tc>
          <w:tcPr>
            <w:tcW w:w="2366" w:type="dxa"/>
          </w:tcPr>
          <w:p w:rsidR="00D0511E" w:rsidRDefault="00D0511E" w:rsidP="000D2C1E">
            <w:pPr>
              <w:pStyle w:val="TableParagraph"/>
              <w:rPr>
                <w:sz w:val="24"/>
              </w:rPr>
            </w:pPr>
            <w:r>
              <w:rPr>
                <w:sz w:val="24"/>
              </w:rPr>
              <w:t>- 7.4%</w:t>
            </w:r>
          </w:p>
        </w:tc>
      </w:tr>
      <w:tr w:rsidR="00D0511E" w:rsidTr="000D2C1E">
        <w:trPr>
          <w:trHeight w:val="260"/>
        </w:trPr>
        <w:tc>
          <w:tcPr>
            <w:tcW w:w="1018" w:type="dxa"/>
          </w:tcPr>
          <w:p w:rsidR="00D0511E" w:rsidRDefault="00D0511E" w:rsidP="000D2C1E">
            <w:pPr>
              <w:pStyle w:val="TableParagraph"/>
              <w:ind w:left="81" w:right="81"/>
              <w:jc w:val="center"/>
              <w:rPr>
                <w:sz w:val="24"/>
              </w:rPr>
            </w:pPr>
            <w:r>
              <w:rPr>
                <w:sz w:val="24"/>
              </w:rPr>
              <w:lastRenderedPageBreak/>
              <w:t>FY 2016</w:t>
            </w:r>
          </w:p>
        </w:tc>
        <w:tc>
          <w:tcPr>
            <w:tcW w:w="1426" w:type="dxa"/>
          </w:tcPr>
          <w:p w:rsidR="00D0511E" w:rsidRDefault="00D0511E" w:rsidP="000D2C1E">
            <w:pPr>
              <w:pStyle w:val="TableParagraph"/>
              <w:ind w:left="0" w:right="99"/>
              <w:jc w:val="right"/>
              <w:rPr>
                <w:sz w:val="24"/>
              </w:rPr>
            </w:pPr>
            <w:r>
              <w:rPr>
                <w:sz w:val="24"/>
              </w:rPr>
              <w:t>$4,171,948</w:t>
            </w:r>
          </w:p>
        </w:tc>
        <w:tc>
          <w:tcPr>
            <w:tcW w:w="1205" w:type="dxa"/>
          </w:tcPr>
          <w:p w:rsidR="00D0511E" w:rsidRDefault="00D0511E" w:rsidP="000D2C1E">
            <w:pPr>
              <w:pStyle w:val="TableParagraph"/>
              <w:spacing w:line="240" w:lineRule="auto"/>
              <w:ind w:left="0"/>
              <w:rPr>
                <w:rFonts w:ascii="Times New Roman"/>
                <w:sz w:val="20"/>
              </w:rPr>
            </w:pPr>
          </w:p>
        </w:tc>
        <w:tc>
          <w:tcPr>
            <w:tcW w:w="2213" w:type="dxa"/>
          </w:tcPr>
          <w:p w:rsidR="00D0511E" w:rsidRDefault="00D0511E" w:rsidP="000D2C1E">
            <w:pPr>
              <w:pStyle w:val="TableParagraph"/>
              <w:rPr>
                <w:sz w:val="24"/>
              </w:rPr>
            </w:pPr>
            <w:r>
              <w:rPr>
                <w:sz w:val="24"/>
              </w:rPr>
              <w:t>0%</w:t>
            </w:r>
          </w:p>
        </w:tc>
        <w:tc>
          <w:tcPr>
            <w:tcW w:w="1334" w:type="dxa"/>
          </w:tcPr>
          <w:p w:rsidR="00D0511E" w:rsidRDefault="00D0511E" w:rsidP="000D2C1E">
            <w:pPr>
              <w:pStyle w:val="TableParagraph"/>
              <w:ind w:left="100"/>
              <w:rPr>
                <w:sz w:val="24"/>
              </w:rPr>
            </w:pPr>
            <w:r>
              <w:rPr>
                <w:sz w:val="24"/>
              </w:rPr>
              <w:t>$39,000</w:t>
            </w:r>
          </w:p>
        </w:tc>
        <w:tc>
          <w:tcPr>
            <w:tcW w:w="2366" w:type="dxa"/>
          </w:tcPr>
          <w:p w:rsidR="00D0511E" w:rsidRDefault="00D0511E" w:rsidP="000D2C1E">
            <w:pPr>
              <w:pStyle w:val="TableParagraph"/>
              <w:rPr>
                <w:sz w:val="24"/>
              </w:rPr>
            </w:pPr>
            <w:r>
              <w:rPr>
                <w:sz w:val="24"/>
              </w:rPr>
              <w:t>- 1%</w:t>
            </w:r>
          </w:p>
        </w:tc>
      </w:tr>
      <w:tr w:rsidR="00D0511E" w:rsidTr="000D2C1E">
        <w:trPr>
          <w:trHeight w:val="260"/>
        </w:trPr>
        <w:tc>
          <w:tcPr>
            <w:tcW w:w="1018" w:type="dxa"/>
          </w:tcPr>
          <w:p w:rsidR="00D0511E" w:rsidRDefault="00D0511E" w:rsidP="000D2C1E">
            <w:pPr>
              <w:pStyle w:val="TableParagraph"/>
              <w:ind w:left="81" w:right="81"/>
              <w:jc w:val="center"/>
              <w:rPr>
                <w:sz w:val="24"/>
              </w:rPr>
            </w:pPr>
            <w:r>
              <w:rPr>
                <w:sz w:val="24"/>
              </w:rPr>
              <w:t>FY 2017</w:t>
            </w:r>
          </w:p>
        </w:tc>
        <w:tc>
          <w:tcPr>
            <w:tcW w:w="1426" w:type="dxa"/>
          </w:tcPr>
          <w:p w:rsidR="00D0511E" w:rsidRDefault="00D0511E" w:rsidP="000D2C1E">
            <w:pPr>
              <w:pStyle w:val="TableParagraph"/>
              <w:ind w:left="0" w:right="99"/>
              <w:jc w:val="right"/>
              <w:rPr>
                <w:sz w:val="24"/>
              </w:rPr>
            </w:pPr>
            <w:r>
              <w:rPr>
                <w:sz w:val="24"/>
              </w:rPr>
              <w:t>$3,966,948</w:t>
            </w:r>
          </w:p>
        </w:tc>
        <w:tc>
          <w:tcPr>
            <w:tcW w:w="1205" w:type="dxa"/>
          </w:tcPr>
          <w:p w:rsidR="00D0511E" w:rsidRDefault="00D0511E" w:rsidP="000D2C1E">
            <w:pPr>
              <w:pStyle w:val="TableParagraph"/>
              <w:rPr>
                <w:sz w:val="24"/>
              </w:rPr>
            </w:pPr>
            <w:r>
              <w:rPr>
                <w:sz w:val="24"/>
              </w:rPr>
              <w:t>$224,000</w:t>
            </w:r>
          </w:p>
        </w:tc>
        <w:tc>
          <w:tcPr>
            <w:tcW w:w="2213" w:type="dxa"/>
          </w:tcPr>
          <w:p w:rsidR="00D0511E" w:rsidRDefault="00D0511E" w:rsidP="000D2C1E">
            <w:pPr>
              <w:pStyle w:val="TableParagraph"/>
              <w:rPr>
                <w:sz w:val="24"/>
              </w:rPr>
            </w:pPr>
            <w:r>
              <w:rPr>
                <w:sz w:val="24"/>
              </w:rPr>
              <w:t>0%</w:t>
            </w:r>
          </w:p>
        </w:tc>
        <w:tc>
          <w:tcPr>
            <w:tcW w:w="1334" w:type="dxa"/>
          </w:tcPr>
          <w:p w:rsidR="00D0511E" w:rsidRDefault="00D0511E" w:rsidP="000D2C1E">
            <w:pPr>
              <w:pStyle w:val="TableParagraph"/>
              <w:spacing w:line="240" w:lineRule="auto"/>
              <w:ind w:left="0"/>
              <w:rPr>
                <w:rFonts w:ascii="Times New Roman"/>
                <w:sz w:val="20"/>
              </w:rPr>
            </w:pPr>
          </w:p>
        </w:tc>
        <w:tc>
          <w:tcPr>
            <w:tcW w:w="2366" w:type="dxa"/>
          </w:tcPr>
          <w:p w:rsidR="00D0511E" w:rsidRDefault="00D0511E" w:rsidP="000D2C1E">
            <w:pPr>
              <w:pStyle w:val="TableParagraph"/>
              <w:rPr>
                <w:sz w:val="24"/>
              </w:rPr>
            </w:pPr>
            <w:r>
              <w:rPr>
                <w:sz w:val="24"/>
              </w:rPr>
              <w:t>- 5.3%</w:t>
            </w:r>
          </w:p>
        </w:tc>
      </w:tr>
      <w:tr w:rsidR="00D0511E" w:rsidTr="000D2C1E">
        <w:trPr>
          <w:trHeight w:val="260"/>
        </w:trPr>
        <w:tc>
          <w:tcPr>
            <w:tcW w:w="1018" w:type="dxa"/>
          </w:tcPr>
          <w:p w:rsidR="00D0511E" w:rsidRDefault="00D0511E" w:rsidP="000D2C1E">
            <w:pPr>
              <w:pStyle w:val="TableParagraph"/>
              <w:ind w:left="81" w:right="81"/>
              <w:jc w:val="center"/>
              <w:rPr>
                <w:sz w:val="24"/>
              </w:rPr>
            </w:pPr>
            <w:r>
              <w:rPr>
                <w:sz w:val="24"/>
              </w:rPr>
              <w:t>FY 2018</w:t>
            </w:r>
          </w:p>
        </w:tc>
        <w:tc>
          <w:tcPr>
            <w:tcW w:w="1426" w:type="dxa"/>
          </w:tcPr>
          <w:p w:rsidR="00D0511E" w:rsidRDefault="00D0511E" w:rsidP="000D2C1E">
            <w:pPr>
              <w:pStyle w:val="TableParagraph"/>
              <w:ind w:left="0" w:right="99"/>
              <w:jc w:val="right"/>
              <w:rPr>
                <w:sz w:val="24"/>
              </w:rPr>
            </w:pPr>
            <w:r>
              <w:rPr>
                <w:sz w:val="24"/>
              </w:rPr>
              <w:t>$3,366,948</w:t>
            </w:r>
          </w:p>
        </w:tc>
        <w:tc>
          <w:tcPr>
            <w:tcW w:w="1205" w:type="dxa"/>
          </w:tcPr>
          <w:p w:rsidR="00D0511E" w:rsidRDefault="00D0511E" w:rsidP="000D2C1E">
            <w:pPr>
              <w:pStyle w:val="TableParagraph"/>
              <w:rPr>
                <w:b/>
                <w:sz w:val="24"/>
              </w:rPr>
            </w:pPr>
            <w:r>
              <w:rPr>
                <w:b/>
                <w:sz w:val="24"/>
              </w:rPr>
              <w:t>$600,000</w:t>
            </w:r>
          </w:p>
        </w:tc>
        <w:tc>
          <w:tcPr>
            <w:tcW w:w="2213" w:type="dxa"/>
          </w:tcPr>
          <w:p w:rsidR="00D0511E" w:rsidRDefault="00D0511E" w:rsidP="000D2C1E">
            <w:pPr>
              <w:pStyle w:val="TableParagraph"/>
              <w:rPr>
                <w:sz w:val="24"/>
              </w:rPr>
            </w:pPr>
            <w:r>
              <w:rPr>
                <w:sz w:val="24"/>
              </w:rPr>
              <w:t>0%</w:t>
            </w:r>
          </w:p>
        </w:tc>
        <w:tc>
          <w:tcPr>
            <w:tcW w:w="1334" w:type="dxa"/>
          </w:tcPr>
          <w:p w:rsidR="00D0511E" w:rsidRDefault="00D0511E" w:rsidP="000D2C1E">
            <w:pPr>
              <w:pStyle w:val="TableParagraph"/>
              <w:spacing w:line="240" w:lineRule="auto"/>
              <w:ind w:left="0"/>
              <w:rPr>
                <w:rFonts w:ascii="Times New Roman"/>
                <w:sz w:val="20"/>
              </w:rPr>
            </w:pPr>
          </w:p>
        </w:tc>
        <w:tc>
          <w:tcPr>
            <w:tcW w:w="2366" w:type="dxa"/>
          </w:tcPr>
          <w:p w:rsidR="00D0511E" w:rsidRDefault="00D0511E" w:rsidP="000D2C1E">
            <w:pPr>
              <w:pStyle w:val="TableParagraph"/>
              <w:rPr>
                <w:b/>
                <w:sz w:val="24"/>
              </w:rPr>
            </w:pPr>
            <w:r>
              <w:rPr>
                <w:b/>
                <w:sz w:val="24"/>
              </w:rPr>
              <w:t>- 15%</w:t>
            </w:r>
          </w:p>
        </w:tc>
      </w:tr>
    </w:tbl>
    <w:p w:rsidR="00D0511E" w:rsidRDefault="00D0511E" w:rsidP="00D0511E">
      <w:pPr>
        <w:rPr>
          <w:sz w:val="24"/>
        </w:rPr>
        <w:sectPr w:rsidR="00D0511E" w:rsidSect="00D0511E">
          <w:pgSz w:w="12240" w:h="15840"/>
          <w:pgMar w:top="1040" w:right="1220" w:bottom="280" w:left="1220" w:header="720" w:footer="720" w:gutter="0"/>
          <w:cols w:space="720"/>
        </w:sectPr>
      </w:pPr>
    </w:p>
    <w:p w:rsidR="00D0511E" w:rsidRDefault="00D0511E" w:rsidP="00D0511E">
      <w:pPr>
        <w:pStyle w:val="BodyText"/>
        <w:spacing w:before="74" w:line="295" w:lineRule="auto"/>
        <w:ind w:left="120" w:right="94"/>
      </w:pPr>
      <w:r>
        <w:lastRenderedPageBreak/>
        <w:t xml:space="preserve">In FY </w:t>
      </w:r>
      <w:proofErr w:type="gramStart"/>
      <w:r>
        <w:t>2013</w:t>
      </w:r>
      <w:proofErr w:type="gramEnd"/>
      <w:r>
        <w:t xml:space="preserve"> the university budget allocation for library collections was over $5 million. Now in FY 2018, it is less than $3.4 million, </w:t>
      </w:r>
      <w:r>
        <w:rPr>
          <w:b/>
        </w:rPr>
        <w:t xml:space="preserve">a reduction of 33% </w:t>
      </w:r>
      <w:r>
        <w:t xml:space="preserve">over the last five years. In FY </w:t>
      </w:r>
      <w:proofErr w:type="gramStart"/>
      <w:r>
        <w:t>2012</w:t>
      </w:r>
      <w:proofErr w:type="gramEnd"/>
      <w:r>
        <w:t xml:space="preserve"> the University of Montana Mansfield Library's collection budget was greater than that of, our closest peer library, the Montana State University's </w:t>
      </w:r>
      <w:proofErr w:type="spellStart"/>
      <w:r>
        <w:t>Renne</w:t>
      </w:r>
      <w:proofErr w:type="spellEnd"/>
      <w:r>
        <w:t xml:space="preserve"> Library, by over $100,000. In FY 2018, the MSU library collection budget is almost $5.7 million while the UM library collection budget is less than $3.4 million. That is a very large funding gap (</w:t>
      </w:r>
      <w:r>
        <w:rPr>
          <w:b/>
        </w:rPr>
        <w:t>40% less in library collection purchasing power</w:t>
      </w:r>
      <w:r>
        <w:t>) between the flagship academic libraries in Montana.</w:t>
      </w:r>
    </w:p>
    <w:p w:rsidR="00D0511E" w:rsidRDefault="00D0511E" w:rsidP="00D0511E">
      <w:pPr>
        <w:pStyle w:val="BodyText"/>
        <w:spacing w:before="5"/>
        <w:ind w:left="0"/>
        <w:rPr>
          <w:sz w:val="29"/>
        </w:rPr>
      </w:pPr>
    </w:p>
    <w:p w:rsidR="00D0511E" w:rsidRDefault="00D0511E" w:rsidP="00D0511E">
      <w:pPr>
        <w:pStyle w:val="BodyText"/>
        <w:spacing w:before="1" w:line="295" w:lineRule="auto"/>
        <w:ind w:left="119" w:right="120"/>
      </w:pPr>
      <w:r>
        <w:t xml:space="preserve">Over the last five years, the Mansfield Library has made the case repeatedly to university administrators, the Faculty Senate (via the University Library Committee), and the ASUM Senate that maintaining the library's budget is critical for supporting the research, teaching, and learning needs of students, faculty and staff at a 21st century institution of higher learning. There have been three consecutive years of Faculty Senate and ASUM Resolutions (Spring 2014, 2015, 2016) in support of the library and asking university administrators to </w:t>
      </w:r>
      <w:proofErr w:type="gramStart"/>
      <w:r>
        <w:t>not</w:t>
      </w:r>
      <w:proofErr w:type="gramEnd"/>
      <w:r>
        <w:t xml:space="preserve"> </w:t>
      </w:r>
      <w:proofErr w:type="gramStart"/>
      <w:r>
        <w:t>further</w:t>
      </w:r>
      <w:proofErr w:type="gramEnd"/>
      <w:r>
        <w:t xml:space="preserve"> cut the library budget. The Research Strategic Plan has a statement about protecting library resources. The new UM Strategic Vision (1.1) includes: </w:t>
      </w:r>
      <w:proofErr w:type="gramStart"/>
      <w:r>
        <w:t>" Support</w:t>
      </w:r>
      <w:proofErr w:type="gramEnd"/>
      <w:r>
        <w:t xml:space="preserve"> library instruction and collections to meet undergraduate student, graduate student, and faculty research</w:t>
      </w:r>
      <w:r>
        <w:rPr>
          <w:spacing w:val="-30"/>
        </w:rPr>
        <w:t xml:space="preserve"> </w:t>
      </w:r>
      <w:r>
        <w:t>needs."</w:t>
      </w:r>
    </w:p>
    <w:p w:rsidR="00D0511E" w:rsidRDefault="00D0511E" w:rsidP="00D0511E">
      <w:pPr>
        <w:pStyle w:val="BodyText"/>
        <w:spacing w:before="11"/>
        <w:ind w:left="0"/>
        <w:rPr>
          <w:sz w:val="29"/>
        </w:rPr>
      </w:pPr>
    </w:p>
    <w:p w:rsidR="00D0511E" w:rsidRDefault="00D0511E" w:rsidP="00D0511E">
      <w:pPr>
        <w:pStyle w:val="BodyText"/>
        <w:ind w:left="119"/>
      </w:pPr>
      <w:r>
        <w:t>All the obvious cost saving measures have been implemented long ago including:</w:t>
      </w:r>
    </w:p>
    <w:p w:rsidR="00D0511E" w:rsidRDefault="00D0511E" w:rsidP="00D0511E">
      <w:pPr>
        <w:pStyle w:val="ListParagraph"/>
        <w:widowControl w:val="0"/>
        <w:numPr>
          <w:ilvl w:val="0"/>
          <w:numId w:val="17"/>
        </w:numPr>
        <w:tabs>
          <w:tab w:val="left" w:pos="560"/>
        </w:tabs>
        <w:autoSpaceDE w:val="0"/>
        <w:autoSpaceDN w:val="0"/>
        <w:spacing w:before="60" w:after="0" w:line="240" w:lineRule="auto"/>
        <w:contextualSpacing w:val="0"/>
        <w:rPr>
          <w:sz w:val="24"/>
        </w:rPr>
      </w:pPr>
      <w:r>
        <w:rPr>
          <w:sz w:val="24"/>
        </w:rPr>
        <w:t>No new resources added unless others of similar value are</w:t>
      </w:r>
      <w:r>
        <w:rPr>
          <w:spacing w:val="-18"/>
          <w:sz w:val="24"/>
        </w:rPr>
        <w:t xml:space="preserve"> </w:t>
      </w:r>
      <w:r>
        <w:rPr>
          <w:sz w:val="24"/>
        </w:rPr>
        <w:t>cancelled</w:t>
      </w:r>
    </w:p>
    <w:p w:rsidR="00D0511E" w:rsidRDefault="00D0511E" w:rsidP="00D0511E">
      <w:pPr>
        <w:pStyle w:val="ListParagraph"/>
        <w:widowControl w:val="0"/>
        <w:numPr>
          <w:ilvl w:val="0"/>
          <w:numId w:val="17"/>
        </w:numPr>
        <w:tabs>
          <w:tab w:val="left" w:pos="560"/>
        </w:tabs>
        <w:autoSpaceDE w:val="0"/>
        <w:autoSpaceDN w:val="0"/>
        <w:spacing w:before="65" w:after="0" w:line="240" w:lineRule="auto"/>
        <w:contextualSpacing w:val="0"/>
        <w:rPr>
          <w:sz w:val="24"/>
        </w:rPr>
      </w:pPr>
      <w:r>
        <w:rPr>
          <w:sz w:val="24"/>
        </w:rPr>
        <w:t xml:space="preserve">Participation in </w:t>
      </w:r>
      <w:proofErr w:type="spellStart"/>
      <w:r>
        <w:rPr>
          <w:sz w:val="24"/>
        </w:rPr>
        <w:t>consortial</w:t>
      </w:r>
      <w:proofErr w:type="spellEnd"/>
      <w:r>
        <w:rPr>
          <w:sz w:val="24"/>
        </w:rPr>
        <w:t xml:space="preserve"> buying (via national, regional, and statewide</w:t>
      </w:r>
      <w:r>
        <w:rPr>
          <w:spacing w:val="-33"/>
          <w:sz w:val="24"/>
        </w:rPr>
        <w:t xml:space="preserve"> </w:t>
      </w:r>
      <w:r>
        <w:rPr>
          <w:sz w:val="24"/>
        </w:rPr>
        <w:t>groups)</w:t>
      </w:r>
    </w:p>
    <w:p w:rsidR="00D0511E" w:rsidRDefault="00D0511E" w:rsidP="00D0511E">
      <w:pPr>
        <w:pStyle w:val="ListParagraph"/>
        <w:widowControl w:val="0"/>
        <w:numPr>
          <w:ilvl w:val="0"/>
          <w:numId w:val="17"/>
        </w:numPr>
        <w:tabs>
          <w:tab w:val="left" w:pos="560"/>
        </w:tabs>
        <w:autoSpaceDE w:val="0"/>
        <w:autoSpaceDN w:val="0"/>
        <w:spacing w:before="65" w:after="0" w:line="240" w:lineRule="auto"/>
        <w:contextualSpacing w:val="0"/>
        <w:rPr>
          <w:sz w:val="24"/>
        </w:rPr>
      </w:pPr>
      <w:r>
        <w:rPr>
          <w:sz w:val="24"/>
        </w:rPr>
        <w:t>Negotiating long term subscription contracts to ensure lower inflationary interest</w:t>
      </w:r>
      <w:r>
        <w:rPr>
          <w:spacing w:val="-23"/>
          <w:sz w:val="24"/>
        </w:rPr>
        <w:t xml:space="preserve"> </w:t>
      </w:r>
      <w:r>
        <w:rPr>
          <w:sz w:val="24"/>
        </w:rPr>
        <w:t>increases</w:t>
      </w:r>
    </w:p>
    <w:p w:rsidR="00D0511E" w:rsidRDefault="00D0511E" w:rsidP="00D0511E">
      <w:pPr>
        <w:pStyle w:val="ListParagraph"/>
        <w:widowControl w:val="0"/>
        <w:numPr>
          <w:ilvl w:val="0"/>
          <w:numId w:val="17"/>
        </w:numPr>
        <w:tabs>
          <w:tab w:val="left" w:pos="560"/>
        </w:tabs>
        <w:autoSpaceDE w:val="0"/>
        <w:autoSpaceDN w:val="0"/>
        <w:spacing w:before="65" w:after="0" w:line="240" w:lineRule="auto"/>
        <w:contextualSpacing w:val="0"/>
        <w:rPr>
          <w:sz w:val="24"/>
        </w:rPr>
      </w:pPr>
      <w:r>
        <w:rPr>
          <w:sz w:val="24"/>
        </w:rPr>
        <w:t>Eliminating duplication of formats (e.g. dropping print if electronic format saves</w:t>
      </w:r>
      <w:r>
        <w:rPr>
          <w:spacing w:val="-22"/>
          <w:sz w:val="24"/>
        </w:rPr>
        <w:t xml:space="preserve"> </w:t>
      </w:r>
      <w:r>
        <w:rPr>
          <w:sz w:val="24"/>
        </w:rPr>
        <w:t>money)</w:t>
      </w:r>
    </w:p>
    <w:p w:rsidR="00D0511E" w:rsidRDefault="00D0511E" w:rsidP="00D0511E">
      <w:pPr>
        <w:pStyle w:val="ListParagraph"/>
        <w:widowControl w:val="0"/>
        <w:numPr>
          <w:ilvl w:val="0"/>
          <w:numId w:val="17"/>
        </w:numPr>
        <w:tabs>
          <w:tab w:val="left" w:pos="560"/>
        </w:tabs>
        <w:autoSpaceDE w:val="0"/>
        <w:autoSpaceDN w:val="0"/>
        <w:spacing w:before="65" w:after="0" w:line="240" w:lineRule="auto"/>
        <w:contextualSpacing w:val="0"/>
        <w:rPr>
          <w:sz w:val="24"/>
        </w:rPr>
      </w:pPr>
      <w:r>
        <w:rPr>
          <w:sz w:val="24"/>
        </w:rPr>
        <w:t>Eliminating most duplication of content</w:t>
      </w:r>
    </w:p>
    <w:p w:rsidR="00D0511E" w:rsidRDefault="00D0511E" w:rsidP="00D0511E">
      <w:pPr>
        <w:pStyle w:val="ListParagraph"/>
        <w:widowControl w:val="0"/>
        <w:numPr>
          <w:ilvl w:val="0"/>
          <w:numId w:val="17"/>
        </w:numPr>
        <w:tabs>
          <w:tab w:val="left" w:pos="560"/>
        </w:tabs>
        <w:autoSpaceDE w:val="0"/>
        <w:autoSpaceDN w:val="0"/>
        <w:spacing w:before="65" w:after="0" w:line="240" w:lineRule="auto"/>
        <w:contextualSpacing w:val="0"/>
        <w:rPr>
          <w:sz w:val="24"/>
        </w:rPr>
      </w:pPr>
      <w:r>
        <w:rPr>
          <w:sz w:val="24"/>
        </w:rPr>
        <w:t>Closely reviewing resource renewals that increase dramatically in yearly</w:t>
      </w:r>
      <w:r>
        <w:rPr>
          <w:spacing w:val="-23"/>
          <w:sz w:val="24"/>
        </w:rPr>
        <w:t xml:space="preserve"> </w:t>
      </w:r>
      <w:r>
        <w:rPr>
          <w:sz w:val="24"/>
        </w:rPr>
        <w:t>cost</w:t>
      </w:r>
    </w:p>
    <w:p w:rsidR="00D0511E" w:rsidRDefault="00D0511E" w:rsidP="00D0511E">
      <w:pPr>
        <w:pStyle w:val="ListParagraph"/>
        <w:widowControl w:val="0"/>
        <w:numPr>
          <w:ilvl w:val="0"/>
          <w:numId w:val="17"/>
        </w:numPr>
        <w:tabs>
          <w:tab w:val="left" w:pos="560"/>
        </w:tabs>
        <w:autoSpaceDE w:val="0"/>
        <w:autoSpaceDN w:val="0"/>
        <w:spacing w:before="60" w:after="0" w:line="240" w:lineRule="auto"/>
        <w:contextualSpacing w:val="0"/>
        <w:rPr>
          <w:sz w:val="24"/>
        </w:rPr>
      </w:pPr>
      <w:r>
        <w:rPr>
          <w:sz w:val="24"/>
        </w:rPr>
        <w:t>Primarily purchasing paperback rather than hardback</w:t>
      </w:r>
      <w:r>
        <w:rPr>
          <w:spacing w:val="-15"/>
          <w:sz w:val="24"/>
        </w:rPr>
        <w:t xml:space="preserve"> </w:t>
      </w:r>
      <w:r>
        <w:rPr>
          <w:sz w:val="24"/>
        </w:rPr>
        <w:t>monographs</w:t>
      </w:r>
    </w:p>
    <w:p w:rsidR="00D0511E" w:rsidRDefault="00D0511E" w:rsidP="00D0511E">
      <w:pPr>
        <w:pStyle w:val="ListParagraph"/>
        <w:widowControl w:val="0"/>
        <w:numPr>
          <w:ilvl w:val="0"/>
          <w:numId w:val="17"/>
        </w:numPr>
        <w:tabs>
          <w:tab w:val="left" w:pos="560"/>
        </w:tabs>
        <w:autoSpaceDE w:val="0"/>
        <w:autoSpaceDN w:val="0"/>
        <w:spacing w:before="64" w:after="0" w:line="240" w:lineRule="auto"/>
        <w:contextualSpacing w:val="0"/>
        <w:rPr>
          <w:sz w:val="24"/>
        </w:rPr>
      </w:pPr>
      <w:r>
        <w:rPr>
          <w:sz w:val="24"/>
        </w:rPr>
        <w:t>Use of gift</w:t>
      </w:r>
      <w:r>
        <w:rPr>
          <w:spacing w:val="-3"/>
          <w:sz w:val="24"/>
        </w:rPr>
        <w:t xml:space="preserve"> </w:t>
      </w:r>
      <w:r>
        <w:rPr>
          <w:sz w:val="24"/>
        </w:rPr>
        <w:t>endowments</w:t>
      </w:r>
    </w:p>
    <w:p w:rsidR="00D0511E" w:rsidRDefault="00D0511E" w:rsidP="00D0511E">
      <w:pPr>
        <w:pStyle w:val="BodyText"/>
        <w:spacing w:before="2"/>
        <w:ind w:left="0"/>
        <w:rPr>
          <w:sz w:val="35"/>
        </w:rPr>
      </w:pPr>
    </w:p>
    <w:p w:rsidR="00D0511E" w:rsidRDefault="00D0511E" w:rsidP="00D0511E">
      <w:pPr>
        <w:pStyle w:val="BodyText"/>
        <w:ind w:left="119"/>
      </w:pPr>
      <w:r>
        <w:t xml:space="preserve">The general impacts of </w:t>
      </w:r>
      <w:proofErr w:type="gramStart"/>
      <w:r>
        <w:t>library collection budget cuts</w:t>
      </w:r>
      <w:proofErr w:type="gramEnd"/>
      <w:r>
        <w:t>, over the last 4 years, have been:</w:t>
      </w:r>
    </w:p>
    <w:p w:rsidR="00D0511E" w:rsidRDefault="00D0511E" w:rsidP="00D0511E">
      <w:pPr>
        <w:pStyle w:val="ListParagraph"/>
        <w:widowControl w:val="0"/>
        <w:numPr>
          <w:ilvl w:val="0"/>
          <w:numId w:val="17"/>
        </w:numPr>
        <w:tabs>
          <w:tab w:val="left" w:pos="560"/>
        </w:tabs>
        <w:autoSpaceDE w:val="0"/>
        <w:autoSpaceDN w:val="0"/>
        <w:spacing w:before="64" w:after="0" w:line="240" w:lineRule="auto"/>
        <w:contextualSpacing w:val="0"/>
        <w:rPr>
          <w:sz w:val="24"/>
        </w:rPr>
      </w:pPr>
      <w:r>
        <w:rPr>
          <w:sz w:val="24"/>
        </w:rPr>
        <w:t>Significant cutting of databases and</w:t>
      </w:r>
      <w:r>
        <w:rPr>
          <w:spacing w:val="-11"/>
          <w:sz w:val="24"/>
        </w:rPr>
        <w:t xml:space="preserve"> </w:t>
      </w:r>
      <w:r>
        <w:rPr>
          <w:sz w:val="24"/>
        </w:rPr>
        <w:t>journals</w:t>
      </w:r>
    </w:p>
    <w:p w:rsidR="00D0511E" w:rsidRDefault="00D0511E" w:rsidP="00D0511E">
      <w:pPr>
        <w:pStyle w:val="ListParagraph"/>
        <w:widowControl w:val="0"/>
        <w:numPr>
          <w:ilvl w:val="0"/>
          <w:numId w:val="17"/>
        </w:numPr>
        <w:tabs>
          <w:tab w:val="left" w:pos="560"/>
        </w:tabs>
        <w:autoSpaceDE w:val="0"/>
        <w:autoSpaceDN w:val="0"/>
        <w:spacing w:before="64" w:after="0" w:line="240" w:lineRule="auto"/>
        <w:contextualSpacing w:val="0"/>
        <w:rPr>
          <w:sz w:val="24"/>
        </w:rPr>
      </w:pPr>
      <w:r>
        <w:rPr>
          <w:sz w:val="24"/>
        </w:rPr>
        <w:t>Significant reduction of monograph and media</w:t>
      </w:r>
      <w:r>
        <w:rPr>
          <w:spacing w:val="-19"/>
          <w:sz w:val="24"/>
        </w:rPr>
        <w:t xml:space="preserve"> </w:t>
      </w:r>
      <w:r>
        <w:rPr>
          <w:sz w:val="24"/>
        </w:rPr>
        <w:t>acquisitions</w:t>
      </w:r>
    </w:p>
    <w:p w:rsidR="00D0511E" w:rsidRDefault="00D0511E" w:rsidP="00D0511E">
      <w:pPr>
        <w:pStyle w:val="ListParagraph"/>
        <w:widowControl w:val="0"/>
        <w:numPr>
          <w:ilvl w:val="0"/>
          <w:numId w:val="17"/>
        </w:numPr>
        <w:tabs>
          <w:tab w:val="left" w:pos="560"/>
        </w:tabs>
        <w:autoSpaceDE w:val="0"/>
        <w:autoSpaceDN w:val="0"/>
        <w:spacing w:before="59" w:after="0" w:line="240" w:lineRule="auto"/>
        <w:contextualSpacing w:val="0"/>
        <w:rPr>
          <w:sz w:val="24"/>
        </w:rPr>
      </w:pPr>
      <w:r>
        <w:rPr>
          <w:sz w:val="24"/>
        </w:rPr>
        <w:t>No acquisition of new electronic journal</w:t>
      </w:r>
      <w:r>
        <w:rPr>
          <w:spacing w:val="-2"/>
          <w:sz w:val="24"/>
        </w:rPr>
        <w:t xml:space="preserve"> </w:t>
      </w:r>
      <w:proofErr w:type="spellStart"/>
      <w:r>
        <w:rPr>
          <w:sz w:val="24"/>
        </w:rPr>
        <w:t>backfiles</w:t>
      </w:r>
      <w:proofErr w:type="spellEnd"/>
    </w:p>
    <w:p w:rsidR="00D0511E" w:rsidRDefault="00D0511E" w:rsidP="00D0511E">
      <w:pPr>
        <w:pStyle w:val="ListParagraph"/>
        <w:widowControl w:val="0"/>
        <w:numPr>
          <w:ilvl w:val="0"/>
          <w:numId w:val="17"/>
        </w:numPr>
        <w:tabs>
          <w:tab w:val="left" w:pos="560"/>
        </w:tabs>
        <w:autoSpaceDE w:val="0"/>
        <w:autoSpaceDN w:val="0"/>
        <w:spacing w:before="64" w:after="0" w:line="240" w:lineRule="auto"/>
        <w:contextualSpacing w:val="0"/>
        <w:rPr>
          <w:sz w:val="24"/>
        </w:rPr>
      </w:pPr>
      <w:r>
        <w:rPr>
          <w:sz w:val="24"/>
        </w:rPr>
        <w:t>Significant reduction of projects to digitize unique content the library</w:t>
      </w:r>
      <w:r>
        <w:rPr>
          <w:spacing w:val="-19"/>
          <w:sz w:val="24"/>
        </w:rPr>
        <w:t xml:space="preserve"> </w:t>
      </w:r>
      <w:r>
        <w:rPr>
          <w:sz w:val="24"/>
        </w:rPr>
        <w:t>holds</w:t>
      </w:r>
    </w:p>
    <w:p w:rsidR="00D0511E" w:rsidRDefault="00D0511E" w:rsidP="00D0511E">
      <w:pPr>
        <w:pStyle w:val="BodyText"/>
        <w:ind w:left="0"/>
        <w:rPr>
          <w:sz w:val="33"/>
        </w:rPr>
      </w:pPr>
    </w:p>
    <w:p w:rsidR="00D0511E" w:rsidRDefault="00D0511E" w:rsidP="00D0511E">
      <w:pPr>
        <w:pStyle w:val="BodyText"/>
        <w:spacing w:line="295" w:lineRule="auto"/>
        <w:ind w:left="119" w:right="276"/>
      </w:pPr>
      <w:r>
        <w:t xml:space="preserve">We recognize that the current proposed resource cancellations for FY2018 could have a profound impact on student recruitment and retention, and the research, scholarship and productivity of faculty, students, and staff across campus. The library will continue to communicate with the campus community during each phase of this collection cancellation process. Thank you for your attention to this process. If you have additional questions or would like to meet with a library </w:t>
      </w:r>
      <w:proofErr w:type="gramStart"/>
      <w:r>
        <w:t>representative</w:t>
      </w:r>
      <w:proofErr w:type="gramEnd"/>
      <w:r>
        <w:t xml:space="preserve"> please contact </w:t>
      </w:r>
      <w:hyperlink r:id="rId5">
        <w:r>
          <w:rPr>
            <w:color w:val="0000FF"/>
            <w:u w:val="single" w:color="0000FF"/>
          </w:rPr>
          <w:t>library.serials@umontana.edu</w:t>
        </w:r>
        <w:r>
          <w:t>.</w:t>
        </w:r>
      </w:hyperlink>
    </w:p>
    <w:p w:rsidR="00D0511E" w:rsidRDefault="00D0511E" w:rsidP="005237C5"/>
    <w:sectPr w:rsidR="00D0511E" w:rsidSect="00B63D7D">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37F"/>
    <w:multiLevelType w:val="hybridMultilevel"/>
    <w:tmpl w:val="D91C9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146662"/>
    <w:multiLevelType w:val="hybridMultilevel"/>
    <w:tmpl w:val="F96AD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C727AF"/>
    <w:multiLevelType w:val="hybridMultilevel"/>
    <w:tmpl w:val="FADC7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7B4C09"/>
    <w:multiLevelType w:val="hybridMultilevel"/>
    <w:tmpl w:val="AFE21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352BFC"/>
    <w:multiLevelType w:val="hybridMultilevel"/>
    <w:tmpl w:val="454A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712BF"/>
    <w:multiLevelType w:val="hybridMultilevel"/>
    <w:tmpl w:val="A796BA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D634D9"/>
    <w:multiLevelType w:val="hybridMultilevel"/>
    <w:tmpl w:val="357AF1B2"/>
    <w:lvl w:ilvl="0" w:tplc="C0F2AD9A">
      <w:numFmt w:val="bullet"/>
      <w:lvlText w:val="-"/>
      <w:lvlJc w:val="left"/>
      <w:pPr>
        <w:ind w:left="559" w:hanging="140"/>
      </w:pPr>
      <w:rPr>
        <w:rFonts w:ascii="Times New Roman" w:eastAsia="Times New Roman" w:hAnsi="Times New Roman" w:cs="Times New Roman" w:hint="default"/>
        <w:spacing w:val="-1"/>
        <w:w w:val="100"/>
        <w:sz w:val="24"/>
        <w:szCs w:val="24"/>
      </w:rPr>
    </w:lvl>
    <w:lvl w:ilvl="1" w:tplc="88605F8A">
      <w:numFmt w:val="bullet"/>
      <w:lvlText w:val="•"/>
      <w:lvlJc w:val="left"/>
      <w:pPr>
        <w:ind w:left="1462" w:hanging="140"/>
      </w:pPr>
      <w:rPr>
        <w:rFonts w:hint="default"/>
      </w:rPr>
    </w:lvl>
    <w:lvl w:ilvl="2" w:tplc="B0369F70">
      <w:numFmt w:val="bullet"/>
      <w:lvlText w:val="•"/>
      <w:lvlJc w:val="left"/>
      <w:pPr>
        <w:ind w:left="2364" w:hanging="140"/>
      </w:pPr>
      <w:rPr>
        <w:rFonts w:hint="default"/>
      </w:rPr>
    </w:lvl>
    <w:lvl w:ilvl="3" w:tplc="23049412">
      <w:numFmt w:val="bullet"/>
      <w:lvlText w:val="•"/>
      <w:lvlJc w:val="left"/>
      <w:pPr>
        <w:ind w:left="3266" w:hanging="140"/>
      </w:pPr>
      <w:rPr>
        <w:rFonts w:hint="default"/>
      </w:rPr>
    </w:lvl>
    <w:lvl w:ilvl="4" w:tplc="19BC98E8">
      <w:numFmt w:val="bullet"/>
      <w:lvlText w:val="•"/>
      <w:lvlJc w:val="left"/>
      <w:pPr>
        <w:ind w:left="4168" w:hanging="140"/>
      </w:pPr>
      <w:rPr>
        <w:rFonts w:hint="default"/>
      </w:rPr>
    </w:lvl>
    <w:lvl w:ilvl="5" w:tplc="7A244998">
      <w:numFmt w:val="bullet"/>
      <w:lvlText w:val="•"/>
      <w:lvlJc w:val="left"/>
      <w:pPr>
        <w:ind w:left="5070" w:hanging="140"/>
      </w:pPr>
      <w:rPr>
        <w:rFonts w:hint="default"/>
      </w:rPr>
    </w:lvl>
    <w:lvl w:ilvl="6" w:tplc="C6BEEBC2">
      <w:numFmt w:val="bullet"/>
      <w:lvlText w:val="•"/>
      <w:lvlJc w:val="left"/>
      <w:pPr>
        <w:ind w:left="5972" w:hanging="140"/>
      </w:pPr>
      <w:rPr>
        <w:rFonts w:hint="default"/>
      </w:rPr>
    </w:lvl>
    <w:lvl w:ilvl="7" w:tplc="F09ADFDC">
      <w:numFmt w:val="bullet"/>
      <w:lvlText w:val="•"/>
      <w:lvlJc w:val="left"/>
      <w:pPr>
        <w:ind w:left="6874" w:hanging="140"/>
      </w:pPr>
      <w:rPr>
        <w:rFonts w:hint="default"/>
      </w:rPr>
    </w:lvl>
    <w:lvl w:ilvl="8" w:tplc="A974357A">
      <w:numFmt w:val="bullet"/>
      <w:lvlText w:val="•"/>
      <w:lvlJc w:val="left"/>
      <w:pPr>
        <w:ind w:left="7776" w:hanging="140"/>
      </w:pPr>
      <w:rPr>
        <w:rFonts w:hint="default"/>
      </w:rPr>
    </w:lvl>
  </w:abstractNum>
  <w:abstractNum w:abstractNumId="7" w15:restartNumberingAfterBreak="0">
    <w:nsid w:val="32E5298B"/>
    <w:multiLevelType w:val="hybridMultilevel"/>
    <w:tmpl w:val="E07EF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F94AC6"/>
    <w:multiLevelType w:val="hybridMultilevel"/>
    <w:tmpl w:val="E1029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8534A1"/>
    <w:multiLevelType w:val="hybridMultilevel"/>
    <w:tmpl w:val="961C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A41ED8"/>
    <w:multiLevelType w:val="hybridMultilevel"/>
    <w:tmpl w:val="1B749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180B29"/>
    <w:multiLevelType w:val="hybridMultilevel"/>
    <w:tmpl w:val="8F183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9123694"/>
    <w:multiLevelType w:val="hybridMultilevel"/>
    <w:tmpl w:val="37D8A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AF77CF"/>
    <w:multiLevelType w:val="hybridMultilevel"/>
    <w:tmpl w:val="14C8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E433B2"/>
    <w:multiLevelType w:val="hybridMultilevel"/>
    <w:tmpl w:val="FB8AA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
  </w:num>
  <w:num w:numId="7">
    <w:abstractNumId w:val="0"/>
  </w:num>
  <w:num w:numId="8">
    <w:abstractNumId w:val="5"/>
  </w:num>
  <w:num w:numId="9">
    <w:abstractNumId w:val="14"/>
  </w:num>
  <w:num w:numId="10">
    <w:abstractNumId w:val="10"/>
  </w:num>
  <w:num w:numId="11">
    <w:abstractNumId w:val="9"/>
  </w:num>
  <w:num w:numId="12">
    <w:abstractNumId w:val="1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E4"/>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6092"/>
    <w:rsid w:val="000262A6"/>
    <w:rsid w:val="0002680E"/>
    <w:rsid w:val="00027D1E"/>
    <w:rsid w:val="00030C36"/>
    <w:rsid w:val="00032694"/>
    <w:rsid w:val="0003287A"/>
    <w:rsid w:val="00033591"/>
    <w:rsid w:val="00033C3B"/>
    <w:rsid w:val="000341D1"/>
    <w:rsid w:val="000344A4"/>
    <w:rsid w:val="000344DE"/>
    <w:rsid w:val="000374DB"/>
    <w:rsid w:val="00037928"/>
    <w:rsid w:val="00037991"/>
    <w:rsid w:val="0004086B"/>
    <w:rsid w:val="0004167F"/>
    <w:rsid w:val="00041FA0"/>
    <w:rsid w:val="00046245"/>
    <w:rsid w:val="0004655E"/>
    <w:rsid w:val="00046F51"/>
    <w:rsid w:val="0004706B"/>
    <w:rsid w:val="00051177"/>
    <w:rsid w:val="00051211"/>
    <w:rsid w:val="000562E6"/>
    <w:rsid w:val="00056FD2"/>
    <w:rsid w:val="000574C5"/>
    <w:rsid w:val="00057723"/>
    <w:rsid w:val="00072F7A"/>
    <w:rsid w:val="00075001"/>
    <w:rsid w:val="00075601"/>
    <w:rsid w:val="00075767"/>
    <w:rsid w:val="00075E46"/>
    <w:rsid w:val="000771A2"/>
    <w:rsid w:val="000776AE"/>
    <w:rsid w:val="00080869"/>
    <w:rsid w:val="00082349"/>
    <w:rsid w:val="00083BC6"/>
    <w:rsid w:val="00084A32"/>
    <w:rsid w:val="00084F5A"/>
    <w:rsid w:val="00086E81"/>
    <w:rsid w:val="00087FED"/>
    <w:rsid w:val="00090D24"/>
    <w:rsid w:val="0009207C"/>
    <w:rsid w:val="00094216"/>
    <w:rsid w:val="0009699E"/>
    <w:rsid w:val="00097D90"/>
    <w:rsid w:val="000A1363"/>
    <w:rsid w:val="000A3E89"/>
    <w:rsid w:val="000A4723"/>
    <w:rsid w:val="000A686E"/>
    <w:rsid w:val="000B02C3"/>
    <w:rsid w:val="000B1EF0"/>
    <w:rsid w:val="000B7E48"/>
    <w:rsid w:val="000C5D24"/>
    <w:rsid w:val="000C6AA9"/>
    <w:rsid w:val="000C7E94"/>
    <w:rsid w:val="000D0439"/>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193F"/>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3D34"/>
    <w:rsid w:val="00117BD0"/>
    <w:rsid w:val="00120175"/>
    <w:rsid w:val="001204B0"/>
    <w:rsid w:val="001222ED"/>
    <w:rsid w:val="00127D71"/>
    <w:rsid w:val="001319AA"/>
    <w:rsid w:val="001320CA"/>
    <w:rsid w:val="00133313"/>
    <w:rsid w:val="0013479C"/>
    <w:rsid w:val="0013587B"/>
    <w:rsid w:val="0014032E"/>
    <w:rsid w:val="00141E01"/>
    <w:rsid w:val="0014228F"/>
    <w:rsid w:val="00142390"/>
    <w:rsid w:val="001423CF"/>
    <w:rsid w:val="00143D4D"/>
    <w:rsid w:val="00146088"/>
    <w:rsid w:val="0014618D"/>
    <w:rsid w:val="0015586D"/>
    <w:rsid w:val="00162C52"/>
    <w:rsid w:val="00165C09"/>
    <w:rsid w:val="00165D86"/>
    <w:rsid w:val="00165F67"/>
    <w:rsid w:val="001666F1"/>
    <w:rsid w:val="001667CC"/>
    <w:rsid w:val="001709AE"/>
    <w:rsid w:val="00176C36"/>
    <w:rsid w:val="00177AFF"/>
    <w:rsid w:val="001864C2"/>
    <w:rsid w:val="0018652B"/>
    <w:rsid w:val="00186DD0"/>
    <w:rsid w:val="001904CF"/>
    <w:rsid w:val="001919F9"/>
    <w:rsid w:val="00192019"/>
    <w:rsid w:val="00194919"/>
    <w:rsid w:val="00195794"/>
    <w:rsid w:val="001A1584"/>
    <w:rsid w:val="001A1D35"/>
    <w:rsid w:val="001A2B9B"/>
    <w:rsid w:val="001A2F78"/>
    <w:rsid w:val="001A31A3"/>
    <w:rsid w:val="001A3D38"/>
    <w:rsid w:val="001A59C0"/>
    <w:rsid w:val="001A69CC"/>
    <w:rsid w:val="001A6E4B"/>
    <w:rsid w:val="001B0703"/>
    <w:rsid w:val="001B2783"/>
    <w:rsid w:val="001B3826"/>
    <w:rsid w:val="001B3EF2"/>
    <w:rsid w:val="001B6214"/>
    <w:rsid w:val="001B6AA8"/>
    <w:rsid w:val="001C0952"/>
    <w:rsid w:val="001C3032"/>
    <w:rsid w:val="001C3BB0"/>
    <w:rsid w:val="001D449F"/>
    <w:rsid w:val="001D7549"/>
    <w:rsid w:val="001E037F"/>
    <w:rsid w:val="001E3557"/>
    <w:rsid w:val="001E4BE4"/>
    <w:rsid w:val="001E6197"/>
    <w:rsid w:val="001E67CD"/>
    <w:rsid w:val="001E7715"/>
    <w:rsid w:val="001E77FA"/>
    <w:rsid w:val="001F0798"/>
    <w:rsid w:val="001F10E9"/>
    <w:rsid w:val="001F13EA"/>
    <w:rsid w:val="001F19FD"/>
    <w:rsid w:val="001F2B12"/>
    <w:rsid w:val="001F42C5"/>
    <w:rsid w:val="001F45EF"/>
    <w:rsid w:val="001F47FE"/>
    <w:rsid w:val="001F4938"/>
    <w:rsid w:val="001F4A0B"/>
    <w:rsid w:val="001F4EEE"/>
    <w:rsid w:val="001F75E4"/>
    <w:rsid w:val="00200D95"/>
    <w:rsid w:val="00202B00"/>
    <w:rsid w:val="00202C81"/>
    <w:rsid w:val="00204ABE"/>
    <w:rsid w:val="00204B63"/>
    <w:rsid w:val="00205351"/>
    <w:rsid w:val="00211451"/>
    <w:rsid w:val="00211785"/>
    <w:rsid w:val="002125F7"/>
    <w:rsid w:val="00215031"/>
    <w:rsid w:val="002177F4"/>
    <w:rsid w:val="00220B11"/>
    <w:rsid w:val="00226DCA"/>
    <w:rsid w:val="002270ED"/>
    <w:rsid w:val="002304CF"/>
    <w:rsid w:val="002364D6"/>
    <w:rsid w:val="00237074"/>
    <w:rsid w:val="00237948"/>
    <w:rsid w:val="00237EAE"/>
    <w:rsid w:val="00243616"/>
    <w:rsid w:val="002468D5"/>
    <w:rsid w:val="002506DA"/>
    <w:rsid w:val="0025091B"/>
    <w:rsid w:val="00254CAB"/>
    <w:rsid w:val="00255526"/>
    <w:rsid w:val="002575D8"/>
    <w:rsid w:val="00261C1D"/>
    <w:rsid w:val="0026393D"/>
    <w:rsid w:val="00265BA1"/>
    <w:rsid w:val="00270D4B"/>
    <w:rsid w:val="00271D68"/>
    <w:rsid w:val="002747A5"/>
    <w:rsid w:val="002770B9"/>
    <w:rsid w:val="002777DF"/>
    <w:rsid w:val="0028105B"/>
    <w:rsid w:val="00281CDF"/>
    <w:rsid w:val="002841BE"/>
    <w:rsid w:val="002847D9"/>
    <w:rsid w:val="00284D7A"/>
    <w:rsid w:val="00285E02"/>
    <w:rsid w:val="0029068F"/>
    <w:rsid w:val="00290751"/>
    <w:rsid w:val="00291678"/>
    <w:rsid w:val="00292977"/>
    <w:rsid w:val="00296C9D"/>
    <w:rsid w:val="002A0915"/>
    <w:rsid w:val="002A0C5C"/>
    <w:rsid w:val="002A1308"/>
    <w:rsid w:val="002A2B2D"/>
    <w:rsid w:val="002A2D3C"/>
    <w:rsid w:val="002A56B9"/>
    <w:rsid w:val="002A7852"/>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18BA"/>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0DD0"/>
    <w:rsid w:val="00321D14"/>
    <w:rsid w:val="003227C5"/>
    <w:rsid w:val="00324693"/>
    <w:rsid w:val="00325882"/>
    <w:rsid w:val="00330226"/>
    <w:rsid w:val="0033091B"/>
    <w:rsid w:val="003312D5"/>
    <w:rsid w:val="00333927"/>
    <w:rsid w:val="003345DA"/>
    <w:rsid w:val="003355CB"/>
    <w:rsid w:val="00336843"/>
    <w:rsid w:val="00340A2C"/>
    <w:rsid w:val="00342209"/>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592"/>
    <w:rsid w:val="003739F2"/>
    <w:rsid w:val="00373DC3"/>
    <w:rsid w:val="00373F2E"/>
    <w:rsid w:val="00375E86"/>
    <w:rsid w:val="0037747F"/>
    <w:rsid w:val="0038494D"/>
    <w:rsid w:val="003856BC"/>
    <w:rsid w:val="00385C63"/>
    <w:rsid w:val="003900DD"/>
    <w:rsid w:val="00390CC0"/>
    <w:rsid w:val="003929A2"/>
    <w:rsid w:val="00393C53"/>
    <w:rsid w:val="00395721"/>
    <w:rsid w:val="00396398"/>
    <w:rsid w:val="0039703D"/>
    <w:rsid w:val="003A0E24"/>
    <w:rsid w:val="003A22E1"/>
    <w:rsid w:val="003A393C"/>
    <w:rsid w:val="003A4413"/>
    <w:rsid w:val="003A475B"/>
    <w:rsid w:val="003A538C"/>
    <w:rsid w:val="003A5C51"/>
    <w:rsid w:val="003A5E77"/>
    <w:rsid w:val="003A7D59"/>
    <w:rsid w:val="003B1084"/>
    <w:rsid w:val="003B28E0"/>
    <w:rsid w:val="003B3061"/>
    <w:rsid w:val="003C568D"/>
    <w:rsid w:val="003D16DC"/>
    <w:rsid w:val="003D52B1"/>
    <w:rsid w:val="003E4419"/>
    <w:rsid w:val="003E6485"/>
    <w:rsid w:val="003E7AE5"/>
    <w:rsid w:val="003F07E3"/>
    <w:rsid w:val="003F0DC3"/>
    <w:rsid w:val="003F1936"/>
    <w:rsid w:val="003F2762"/>
    <w:rsid w:val="003F4467"/>
    <w:rsid w:val="003F4D02"/>
    <w:rsid w:val="003F5DC1"/>
    <w:rsid w:val="003F6921"/>
    <w:rsid w:val="00401BD2"/>
    <w:rsid w:val="00401EDC"/>
    <w:rsid w:val="00405DCA"/>
    <w:rsid w:val="00406F2E"/>
    <w:rsid w:val="00410787"/>
    <w:rsid w:val="00410E76"/>
    <w:rsid w:val="0041100C"/>
    <w:rsid w:val="00412CEB"/>
    <w:rsid w:val="00414E8A"/>
    <w:rsid w:val="004162FC"/>
    <w:rsid w:val="00417377"/>
    <w:rsid w:val="004205CB"/>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5770D"/>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FF2"/>
    <w:rsid w:val="004A76F0"/>
    <w:rsid w:val="004B1722"/>
    <w:rsid w:val="004B591F"/>
    <w:rsid w:val="004B5D2D"/>
    <w:rsid w:val="004C02A7"/>
    <w:rsid w:val="004C267D"/>
    <w:rsid w:val="004C33E5"/>
    <w:rsid w:val="004C4BB9"/>
    <w:rsid w:val="004C78B9"/>
    <w:rsid w:val="004C7E1E"/>
    <w:rsid w:val="004D5DE8"/>
    <w:rsid w:val="004D7262"/>
    <w:rsid w:val="004D7992"/>
    <w:rsid w:val="004E1148"/>
    <w:rsid w:val="004E1578"/>
    <w:rsid w:val="004E25EE"/>
    <w:rsid w:val="004E27C4"/>
    <w:rsid w:val="004E6E45"/>
    <w:rsid w:val="004F245E"/>
    <w:rsid w:val="004F3BC7"/>
    <w:rsid w:val="004F47B8"/>
    <w:rsid w:val="004F5165"/>
    <w:rsid w:val="004F6AF1"/>
    <w:rsid w:val="004F7FCC"/>
    <w:rsid w:val="0050032C"/>
    <w:rsid w:val="005007E8"/>
    <w:rsid w:val="0050348E"/>
    <w:rsid w:val="00503516"/>
    <w:rsid w:val="00505E62"/>
    <w:rsid w:val="0051435C"/>
    <w:rsid w:val="00514DAD"/>
    <w:rsid w:val="005154DB"/>
    <w:rsid w:val="00516A0E"/>
    <w:rsid w:val="00517977"/>
    <w:rsid w:val="005202FD"/>
    <w:rsid w:val="005215E3"/>
    <w:rsid w:val="0052180B"/>
    <w:rsid w:val="005227FD"/>
    <w:rsid w:val="005236B4"/>
    <w:rsid w:val="005237C5"/>
    <w:rsid w:val="00524CF1"/>
    <w:rsid w:val="00526D41"/>
    <w:rsid w:val="0053222B"/>
    <w:rsid w:val="00532876"/>
    <w:rsid w:val="0053307C"/>
    <w:rsid w:val="005332E5"/>
    <w:rsid w:val="005370FB"/>
    <w:rsid w:val="00542120"/>
    <w:rsid w:val="00542B3B"/>
    <w:rsid w:val="00545708"/>
    <w:rsid w:val="0055162C"/>
    <w:rsid w:val="00553B7B"/>
    <w:rsid w:val="0055482A"/>
    <w:rsid w:val="005556CC"/>
    <w:rsid w:val="00555870"/>
    <w:rsid w:val="00555902"/>
    <w:rsid w:val="00562B89"/>
    <w:rsid w:val="0056385E"/>
    <w:rsid w:val="00563BAA"/>
    <w:rsid w:val="00566CBF"/>
    <w:rsid w:val="00567266"/>
    <w:rsid w:val="00570704"/>
    <w:rsid w:val="005722FD"/>
    <w:rsid w:val="00572CAB"/>
    <w:rsid w:val="005763FA"/>
    <w:rsid w:val="00576678"/>
    <w:rsid w:val="005767D7"/>
    <w:rsid w:val="00582C65"/>
    <w:rsid w:val="00582C67"/>
    <w:rsid w:val="005854E7"/>
    <w:rsid w:val="00586BB5"/>
    <w:rsid w:val="00586E17"/>
    <w:rsid w:val="005877CE"/>
    <w:rsid w:val="00590F4D"/>
    <w:rsid w:val="005937B5"/>
    <w:rsid w:val="00595D78"/>
    <w:rsid w:val="00597FF4"/>
    <w:rsid w:val="005A3DAA"/>
    <w:rsid w:val="005A4D7E"/>
    <w:rsid w:val="005A6CD6"/>
    <w:rsid w:val="005B1CA1"/>
    <w:rsid w:val="005B379E"/>
    <w:rsid w:val="005B51AA"/>
    <w:rsid w:val="005C39CA"/>
    <w:rsid w:val="005C3E52"/>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25597"/>
    <w:rsid w:val="0062641B"/>
    <w:rsid w:val="0062670A"/>
    <w:rsid w:val="00630A23"/>
    <w:rsid w:val="00630C50"/>
    <w:rsid w:val="006315EF"/>
    <w:rsid w:val="00631FDF"/>
    <w:rsid w:val="006333A7"/>
    <w:rsid w:val="00634555"/>
    <w:rsid w:val="00635631"/>
    <w:rsid w:val="006370E2"/>
    <w:rsid w:val="00642DC7"/>
    <w:rsid w:val="00644778"/>
    <w:rsid w:val="00646268"/>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80C0D"/>
    <w:rsid w:val="006819A1"/>
    <w:rsid w:val="00685050"/>
    <w:rsid w:val="006859F7"/>
    <w:rsid w:val="006862F7"/>
    <w:rsid w:val="00686E98"/>
    <w:rsid w:val="00691636"/>
    <w:rsid w:val="0069269C"/>
    <w:rsid w:val="006949D2"/>
    <w:rsid w:val="006950A2"/>
    <w:rsid w:val="00697365"/>
    <w:rsid w:val="006979BF"/>
    <w:rsid w:val="006A0EBE"/>
    <w:rsid w:val="006A1A9E"/>
    <w:rsid w:val="006A2170"/>
    <w:rsid w:val="006A5E64"/>
    <w:rsid w:val="006A7400"/>
    <w:rsid w:val="006A79E4"/>
    <w:rsid w:val="006B10A3"/>
    <w:rsid w:val="006B2D65"/>
    <w:rsid w:val="006B42B0"/>
    <w:rsid w:val="006B4DB9"/>
    <w:rsid w:val="006B5E69"/>
    <w:rsid w:val="006C00D9"/>
    <w:rsid w:val="006C05E4"/>
    <w:rsid w:val="006C0774"/>
    <w:rsid w:val="006C1B9D"/>
    <w:rsid w:val="006C40CA"/>
    <w:rsid w:val="006D060B"/>
    <w:rsid w:val="006D07CE"/>
    <w:rsid w:val="006D124D"/>
    <w:rsid w:val="006D43DB"/>
    <w:rsid w:val="006D48DA"/>
    <w:rsid w:val="006D4B6C"/>
    <w:rsid w:val="006E232B"/>
    <w:rsid w:val="006E41B3"/>
    <w:rsid w:val="006E4BBD"/>
    <w:rsid w:val="006E4FCC"/>
    <w:rsid w:val="006E514B"/>
    <w:rsid w:val="006E7554"/>
    <w:rsid w:val="006E77E2"/>
    <w:rsid w:val="006F34D7"/>
    <w:rsid w:val="006F4570"/>
    <w:rsid w:val="006F4769"/>
    <w:rsid w:val="006F7841"/>
    <w:rsid w:val="006F7B15"/>
    <w:rsid w:val="00706FEC"/>
    <w:rsid w:val="00711824"/>
    <w:rsid w:val="007140A4"/>
    <w:rsid w:val="00714C0F"/>
    <w:rsid w:val="00714E14"/>
    <w:rsid w:val="00720AB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0EF1"/>
    <w:rsid w:val="007C50C2"/>
    <w:rsid w:val="007C71BC"/>
    <w:rsid w:val="007D1516"/>
    <w:rsid w:val="007D2015"/>
    <w:rsid w:val="007D3FB5"/>
    <w:rsid w:val="007D52BE"/>
    <w:rsid w:val="007D6BB9"/>
    <w:rsid w:val="007E20E2"/>
    <w:rsid w:val="007E274E"/>
    <w:rsid w:val="007E2903"/>
    <w:rsid w:val="007E41E5"/>
    <w:rsid w:val="007E4FF5"/>
    <w:rsid w:val="007E5E4E"/>
    <w:rsid w:val="007E679F"/>
    <w:rsid w:val="007E7323"/>
    <w:rsid w:val="007F19D6"/>
    <w:rsid w:val="007F2A9B"/>
    <w:rsid w:val="007F7C8C"/>
    <w:rsid w:val="007F7FD2"/>
    <w:rsid w:val="008004F5"/>
    <w:rsid w:val="00801679"/>
    <w:rsid w:val="0080253E"/>
    <w:rsid w:val="00804791"/>
    <w:rsid w:val="00804E97"/>
    <w:rsid w:val="00805F10"/>
    <w:rsid w:val="0080741E"/>
    <w:rsid w:val="0081099B"/>
    <w:rsid w:val="00811C2F"/>
    <w:rsid w:val="008153B6"/>
    <w:rsid w:val="008154DC"/>
    <w:rsid w:val="0081695B"/>
    <w:rsid w:val="00816BD9"/>
    <w:rsid w:val="00816D65"/>
    <w:rsid w:val="00820982"/>
    <w:rsid w:val="00820DB5"/>
    <w:rsid w:val="00823674"/>
    <w:rsid w:val="00824FC2"/>
    <w:rsid w:val="00830680"/>
    <w:rsid w:val="00831F03"/>
    <w:rsid w:val="00832F00"/>
    <w:rsid w:val="0083614F"/>
    <w:rsid w:val="00837699"/>
    <w:rsid w:val="0084190E"/>
    <w:rsid w:val="00842ADB"/>
    <w:rsid w:val="0084667C"/>
    <w:rsid w:val="008469BA"/>
    <w:rsid w:val="00846F26"/>
    <w:rsid w:val="00847155"/>
    <w:rsid w:val="00847544"/>
    <w:rsid w:val="0085081B"/>
    <w:rsid w:val="00853EAD"/>
    <w:rsid w:val="0085780F"/>
    <w:rsid w:val="00860DC5"/>
    <w:rsid w:val="00861F90"/>
    <w:rsid w:val="00864538"/>
    <w:rsid w:val="00865003"/>
    <w:rsid w:val="00865966"/>
    <w:rsid w:val="008662E9"/>
    <w:rsid w:val="008736C5"/>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3D54"/>
    <w:rsid w:val="008C4168"/>
    <w:rsid w:val="008C52B0"/>
    <w:rsid w:val="008C5AC5"/>
    <w:rsid w:val="008C5AD1"/>
    <w:rsid w:val="008C65E2"/>
    <w:rsid w:val="008D2AE5"/>
    <w:rsid w:val="008D437B"/>
    <w:rsid w:val="008D4AB7"/>
    <w:rsid w:val="008E1A96"/>
    <w:rsid w:val="008E4D0D"/>
    <w:rsid w:val="008E5399"/>
    <w:rsid w:val="008E647E"/>
    <w:rsid w:val="008E6594"/>
    <w:rsid w:val="008E73FB"/>
    <w:rsid w:val="008F01E3"/>
    <w:rsid w:val="008F1231"/>
    <w:rsid w:val="008F2E32"/>
    <w:rsid w:val="009028AD"/>
    <w:rsid w:val="00910C2F"/>
    <w:rsid w:val="00912A76"/>
    <w:rsid w:val="00912BB6"/>
    <w:rsid w:val="00915575"/>
    <w:rsid w:val="0092067E"/>
    <w:rsid w:val="00924AF9"/>
    <w:rsid w:val="0092539A"/>
    <w:rsid w:val="00930202"/>
    <w:rsid w:val="009320A0"/>
    <w:rsid w:val="00941764"/>
    <w:rsid w:val="00947E73"/>
    <w:rsid w:val="00953153"/>
    <w:rsid w:val="009535C0"/>
    <w:rsid w:val="00953860"/>
    <w:rsid w:val="00954152"/>
    <w:rsid w:val="0095439F"/>
    <w:rsid w:val="0095543E"/>
    <w:rsid w:val="009577B7"/>
    <w:rsid w:val="00957A5E"/>
    <w:rsid w:val="00960287"/>
    <w:rsid w:val="009610EA"/>
    <w:rsid w:val="009611D2"/>
    <w:rsid w:val="00961530"/>
    <w:rsid w:val="00962C2A"/>
    <w:rsid w:val="00962FC4"/>
    <w:rsid w:val="0096320D"/>
    <w:rsid w:val="0096564D"/>
    <w:rsid w:val="00971EB9"/>
    <w:rsid w:val="00972CDC"/>
    <w:rsid w:val="0097367F"/>
    <w:rsid w:val="0097476C"/>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B5ACA"/>
    <w:rsid w:val="009B674A"/>
    <w:rsid w:val="009C39F5"/>
    <w:rsid w:val="009C3C48"/>
    <w:rsid w:val="009C65B3"/>
    <w:rsid w:val="009C729C"/>
    <w:rsid w:val="009D2FCA"/>
    <w:rsid w:val="009D552D"/>
    <w:rsid w:val="009D7A25"/>
    <w:rsid w:val="009E3FD5"/>
    <w:rsid w:val="009E403F"/>
    <w:rsid w:val="009E45D1"/>
    <w:rsid w:val="009E4B8F"/>
    <w:rsid w:val="009E4F50"/>
    <w:rsid w:val="009E5126"/>
    <w:rsid w:val="009E58AD"/>
    <w:rsid w:val="009E5EB3"/>
    <w:rsid w:val="009F119A"/>
    <w:rsid w:val="009F1602"/>
    <w:rsid w:val="009F3AF7"/>
    <w:rsid w:val="009F45C5"/>
    <w:rsid w:val="009F5107"/>
    <w:rsid w:val="009F5311"/>
    <w:rsid w:val="009F57B3"/>
    <w:rsid w:val="009F620E"/>
    <w:rsid w:val="00A04985"/>
    <w:rsid w:val="00A067DE"/>
    <w:rsid w:val="00A06E18"/>
    <w:rsid w:val="00A1048B"/>
    <w:rsid w:val="00A1558F"/>
    <w:rsid w:val="00A15F33"/>
    <w:rsid w:val="00A16F2D"/>
    <w:rsid w:val="00A213CE"/>
    <w:rsid w:val="00A21C5A"/>
    <w:rsid w:val="00A22525"/>
    <w:rsid w:val="00A23895"/>
    <w:rsid w:val="00A24EA9"/>
    <w:rsid w:val="00A256E6"/>
    <w:rsid w:val="00A274DE"/>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208"/>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97775"/>
    <w:rsid w:val="00AA0087"/>
    <w:rsid w:val="00AA2458"/>
    <w:rsid w:val="00AA3D1C"/>
    <w:rsid w:val="00AA4206"/>
    <w:rsid w:val="00AA4B4A"/>
    <w:rsid w:val="00AA50CD"/>
    <w:rsid w:val="00AA794D"/>
    <w:rsid w:val="00AB3A48"/>
    <w:rsid w:val="00AB4160"/>
    <w:rsid w:val="00AB4570"/>
    <w:rsid w:val="00AB6B3D"/>
    <w:rsid w:val="00AC1CED"/>
    <w:rsid w:val="00AC31FF"/>
    <w:rsid w:val="00AC45A4"/>
    <w:rsid w:val="00AD0D4A"/>
    <w:rsid w:val="00AD0EC4"/>
    <w:rsid w:val="00AD1E98"/>
    <w:rsid w:val="00AD5921"/>
    <w:rsid w:val="00AD6540"/>
    <w:rsid w:val="00AD7D8B"/>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2B30"/>
    <w:rsid w:val="00B5311A"/>
    <w:rsid w:val="00B561CA"/>
    <w:rsid w:val="00B6014C"/>
    <w:rsid w:val="00B60D59"/>
    <w:rsid w:val="00B610C4"/>
    <w:rsid w:val="00B62888"/>
    <w:rsid w:val="00B63D7D"/>
    <w:rsid w:val="00B656D4"/>
    <w:rsid w:val="00B65957"/>
    <w:rsid w:val="00B674A6"/>
    <w:rsid w:val="00B72282"/>
    <w:rsid w:val="00B7292A"/>
    <w:rsid w:val="00B73921"/>
    <w:rsid w:val="00B7444C"/>
    <w:rsid w:val="00B749A9"/>
    <w:rsid w:val="00B80302"/>
    <w:rsid w:val="00B80D32"/>
    <w:rsid w:val="00B85257"/>
    <w:rsid w:val="00B857D5"/>
    <w:rsid w:val="00B8760A"/>
    <w:rsid w:val="00B908A8"/>
    <w:rsid w:val="00B93B69"/>
    <w:rsid w:val="00B9510D"/>
    <w:rsid w:val="00B95A70"/>
    <w:rsid w:val="00B971F5"/>
    <w:rsid w:val="00B97704"/>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2E0D"/>
    <w:rsid w:val="00BD4AC5"/>
    <w:rsid w:val="00BD4C30"/>
    <w:rsid w:val="00BD56D6"/>
    <w:rsid w:val="00BD5CFF"/>
    <w:rsid w:val="00BD7BA8"/>
    <w:rsid w:val="00BE1793"/>
    <w:rsid w:val="00BE2D17"/>
    <w:rsid w:val="00BE39D4"/>
    <w:rsid w:val="00BE3E1D"/>
    <w:rsid w:val="00BE4627"/>
    <w:rsid w:val="00BE7EE2"/>
    <w:rsid w:val="00BF1A4F"/>
    <w:rsid w:val="00BF2C8B"/>
    <w:rsid w:val="00BF5BCF"/>
    <w:rsid w:val="00BF67DF"/>
    <w:rsid w:val="00BF7700"/>
    <w:rsid w:val="00C01E3B"/>
    <w:rsid w:val="00C04BAB"/>
    <w:rsid w:val="00C04C79"/>
    <w:rsid w:val="00C10FC4"/>
    <w:rsid w:val="00C13542"/>
    <w:rsid w:val="00C1559D"/>
    <w:rsid w:val="00C17273"/>
    <w:rsid w:val="00C179CA"/>
    <w:rsid w:val="00C20276"/>
    <w:rsid w:val="00C245C3"/>
    <w:rsid w:val="00C269DA"/>
    <w:rsid w:val="00C3457A"/>
    <w:rsid w:val="00C3544D"/>
    <w:rsid w:val="00C35C99"/>
    <w:rsid w:val="00C35EF4"/>
    <w:rsid w:val="00C4000D"/>
    <w:rsid w:val="00C404B5"/>
    <w:rsid w:val="00C4063C"/>
    <w:rsid w:val="00C40AF0"/>
    <w:rsid w:val="00C432BD"/>
    <w:rsid w:val="00C47504"/>
    <w:rsid w:val="00C50125"/>
    <w:rsid w:val="00C5145F"/>
    <w:rsid w:val="00C51867"/>
    <w:rsid w:val="00C51E94"/>
    <w:rsid w:val="00C5364D"/>
    <w:rsid w:val="00C56145"/>
    <w:rsid w:val="00C566D8"/>
    <w:rsid w:val="00C619DD"/>
    <w:rsid w:val="00C6239B"/>
    <w:rsid w:val="00C64A5A"/>
    <w:rsid w:val="00C65010"/>
    <w:rsid w:val="00C660C6"/>
    <w:rsid w:val="00C71D3F"/>
    <w:rsid w:val="00C7238A"/>
    <w:rsid w:val="00C72F55"/>
    <w:rsid w:val="00C741CE"/>
    <w:rsid w:val="00C745E4"/>
    <w:rsid w:val="00C75F50"/>
    <w:rsid w:val="00C76006"/>
    <w:rsid w:val="00C761D4"/>
    <w:rsid w:val="00C83DD0"/>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5010"/>
    <w:rsid w:val="00CE537B"/>
    <w:rsid w:val="00CE7219"/>
    <w:rsid w:val="00CF0264"/>
    <w:rsid w:val="00CF27D3"/>
    <w:rsid w:val="00CF2868"/>
    <w:rsid w:val="00CF2AB4"/>
    <w:rsid w:val="00CF3B55"/>
    <w:rsid w:val="00CF5D19"/>
    <w:rsid w:val="00D004D4"/>
    <w:rsid w:val="00D01B5B"/>
    <w:rsid w:val="00D037FC"/>
    <w:rsid w:val="00D0511E"/>
    <w:rsid w:val="00D05DED"/>
    <w:rsid w:val="00D07466"/>
    <w:rsid w:val="00D118CC"/>
    <w:rsid w:val="00D118F9"/>
    <w:rsid w:val="00D12209"/>
    <w:rsid w:val="00D12ABB"/>
    <w:rsid w:val="00D153B9"/>
    <w:rsid w:val="00D164AC"/>
    <w:rsid w:val="00D16817"/>
    <w:rsid w:val="00D16CFF"/>
    <w:rsid w:val="00D17904"/>
    <w:rsid w:val="00D17F05"/>
    <w:rsid w:val="00D20A16"/>
    <w:rsid w:val="00D21345"/>
    <w:rsid w:val="00D24F04"/>
    <w:rsid w:val="00D25C56"/>
    <w:rsid w:val="00D25E7E"/>
    <w:rsid w:val="00D270BC"/>
    <w:rsid w:val="00D30049"/>
    <w:rsid w:val="00D31A99"/>
    <w:rsid w:val="00D31C40"/>
    <w:rsid w:val="00D325EB"/>
    <w:rsid w:val="00D32DE1"/>
    <w:rsid w:val="00D34842"/>
    <w:rsid w:val="00D34888"/>
    <w:rsid w:val="00D360C6"/>
    <w:rsid w:val="00D426E7"/>
    <w:rsid w:val="00D42E5F"/>
    <w:rsid w:val="00D4333B"/>
    <w:rsid w:val="00D44639"/>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962E9"/>
    <w:rsid w:val="00DA01CB"/>
    <w:rsid w:val="00DA2014"/>
    <w:rsid w:val="00DA25FC"/>
    <w:rsid w:val="00DA2F76"/>
    <w:rsid w:val="00DA3185"/>
    <w:rsid w:val="00DA435C"/>
    <w:rsid w:val="00DA4756"/>
    <w:rsid w:val="00DA4B97"/>
    <w:rsid w:val="00DA6823"/>
    <w:rsid w:val="00DA7577"/>
    <w:rsid w:val="00DA7F71"/>
    <w:rsid w:val="00DB2969"/>
    <w:rsid w:val="00DB2C29"/>
    <w:rsid w:val="00DB424C"/>
    <w:rsid w:val="00DB525B"/>
    <w:rsid w:val="00DB68A1"/>
    <w:rsid w:val="00DB6DB6"/>
    <w:rsid w:val="00DC12AE"/>
    <w:rsid w:val="00DC1A70"/>
    <w:rsid w:val="00DC30C6"/>
    <w:rsid w:val="00DC4DA1"/>
    <w:rsid w:val="00DC536E"/>
    <w:rsid w:val="00DD0F90"/>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1D32"/>
    <w:rsid w:val="00DE5C24"/>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0784"/>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56D23"/>
    <w:rsid w:val="00E61E67"/>
    <w:rsid w:val="00E629B4"/>
    <w:rsid w:val="00E62CED"/>
    <w:rsid w:val="00E67960"/>
    <w:rsid w:val="00E710B3"/>
    <w:rsid w:val="00E71419"/>
    <w:rsid w:val="00E72480"/>
    <w:rsid w:val="00E8070A"/>
    <w:rsid w:val="00E82CE7"/>
    <w:rsid w:val="00E82DBE"/>
    <w:rsid w:val="00E83501"/>
    <w:rsid w:val="00E84519"/>
    <w:rsid w:val="00E8567B"/>
    <w:rsid w:val="00E87DAC"/>
    <w:rsid w:val="00E90405"/>
    <w:rsid w:val="00E90CDB"/>
    <w:rsid w:val="00E90FA1"/>
    <w:rsid w:val="00E92D3D"/>
    <w:rsid w:val="00E95203"/>
    <w:rsid w:val="00E95C18"/>
    <w:rsid w:val="00E964D8"/>
    <w:rsid w:val="00E967EB"/>
    <w:rsid w:val="00E968D5"/>
    <w:rsid w:val="00EA28B3"/>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44B"/>
    <w:rsid w:val="00EE3557"/>
    <w:rsid w:val="00EE3BC8"/>
    <w:rsid w:val="00EE3F21"/>
    <w:rsid w:val="00EE633E"/>
    <w:rsid w:val="00EE711D"/>
    <w:rsid w:val="00EE7149"/>
    <w:rsid w:val="00EE72F5"/>
    <w:rsid w:val="00EE7C18"/>
    <w:rsid w:val="00EF20C2"/>
    <w:rsid w:val="00EF335C"/>
    <w:rsid w:val="00F02D8D"/>
    <w:rsid w:val="00F02E9A"/>
    <w:rsid w:val="00F05204"/>
    <w:rsid w:val="00F056B1"/>
    <w:rsid w:val="00F073C7"/>
    <w:rsid w:val="00F07412"/>
    <w:rsid w:val="00F119BC"/>
    <w:rsid w:val="00F1337D"/>
    <w:rsid w:val="00F13E3F"/>
    <w:rsid w:val="00F17CB3"/>
    <w:rsid w:val="00F20E34"/>
    <w:rsid w:val="00F21734"/>
    <w:rsid w:val="00F22D0E"/>
    <w:rsid w:val="00F2305C"/>
    <w:rsid w:val="00F24BA9"/>
    <w:rsid w:val="00F3098A"/>
    <w:rsid w:val="00F311CA"/>
    <w:rsid w:val="00F31348"/>
    <w:rsid w:val="00F32FB6"/>
    <w:rsid w:val="00F34396"/>
    <w:rsid w:val="00F34EE9"/>
    <w:rsid w:val="00F34F64"/>
    <w:rsid w:val="00F4199F"/>
    <w:rsid w:val="00F422DC"/>
    <w:rsid w:val="00F42854"/>
    <w:rsid w:val="00F4447A"/>
    <w:rsid w:val="00F46CBD"/>
    <w:rsid w:val="00F47EDE"/>
    <w:rsid w:val="00F5435E"/>
    <w:rsid w:val="00F544E6"/>
    <w:rsid w:val="00F5517B"/>
    <w:rsid w:val="00F600C1"/>
    <w:rsid w:val="00F603A6"/>
    <w:rsid w:val="00F61731"/>
    <w:rsid w:val="00F61904"/>
    <w:rsid w:val="00F61D4E"/>
    <w:rsid w:val="00F628F7"/>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7B3"/>
    <w:rsid w:val="00FA2CE0"/>
    <w:rsid w:val="00FA375B"/>
    <w:rsid w:val="00FA4E2B"/>
    <w:rsid w:val="00FA57B6"/>
    <w:rsid w:val="00FA5F60"/>
    <w:rsid w:val="00FA7E0B"/>
    <w:rsid w:val="00FB0A49"/>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4811B8"/>
  <w15:docId w15:val="{77947DDD-AEFE-4B8A-9358-9685396C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7704"/>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B97704"/>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C623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704"/>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B97704"/>
    <w:rPr>
      <w:rFonts w:ascii="Cambria" w:eastAsia="Times New Roman" w:hAnsi="Cambria" w:cs="Times New Roman"/>
      <w:smallCaps/>
      <w:sz w:val="28"/>
      <w:szCs w:val="28"/>
    </w:rPr>
  </w:style>
  <w:style w:type="paragraph" w:styleId="ListParagraph">
    <w:name w:val="List Paragraph"/>
    <w:basedOn w:val="Normal"/>
    <w:uiPriority w:val="1"/>
    <w:qFormat/>
    <w:rsid w:val="00F1337D"/>
    <w:pPr>
      <w:ind w:left="720"/>
      <w:contextualSpacing/>
    </w:pPr>
  </w:style>
  <w:style w:type="table" w:styleId="TableGrid">
    <w:name w:val="Table Grid"/>
    <w:basedOn w:val="TableNormal"/>
    <w:uiPriority w:val="59"/>
    <w:rsid w:val="00DC4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6239B"/>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6A5E64"/>
    <w:rPr>
      <w:color w:val="0000FF"/>
      <w:u w:val="single"/>
    </w:rPr>
  </w:style>
  <w:style w:type="paragraph" w:styleId="PlainText">
    <w:name w:val="Plain Text"/>
    <w:basedOn w:val="Normal"/>
    <w:link w:val="PlainTextChar"/>
    <w:uiPriority w:val="99"/>
    <w:unhideWhenUsed/>
    <w:rsid w:val="000D04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D0439"/>
    <w:rPr>
      <w:rFonts w:ascii="Calibri" w:hAnsi="Calibri"/>
      <w:szCs w:val="21"/>
    </w:rPr>
  </w:style>
  <w:style w:type="paragraph" w:customStyle="1" w:styleId="section1">
    <w:name w:val="section1"/>
    <w:basedOn w:val="Normal"/>
    <w:rsid w:val="006E514B"/>
    <w:pPr>
      <w:spacing w:before="100" w:beforeAutospacing="1" w:after="100" w:afterAutospacing="1" w:line="240" w:lineRule="auto"/>
      <w:ind w:firstLine="360"/>
    </w:pPr>
    <w:rPr>
      <w:rFonts w:ascii="Calibri" w:eastAsia="Times New Roman" w:hAnsi="Calibri" w:cs="Times New Roman"/>
    </w:rPr>
  </w:style>
  <w:style w:type="paragraph" w:styleId="BodyText">
    <w:name w:val="Body Text"/>
    <w:basedOn w:val="Normal"/>
    <w:link w:val="BodyTextChar"/>
    <w:uiPriority w:val="1"/>
    <w:qFormat/>
    <w:rsid w:val="00D0511E"/>
    <w:pPr>
      <w:widowControl w:val="0"/>
      <w:autoSpaceDE w:val="0"/>
      <w:autoSpaceDN w:val="0"/>
      <w:spacing w:after="0" w:line="240" w:lineRule="auto"/>
      <w:ind w:left="559"/>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0511E"/>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D0511E"/>
    <w:pPr>
      <w:widowControl w:val="0"/>
      <w:autoSpaceDE w:val="0"/>
      <w:autoSpaceDN w:val="0"/>
      <w:spacing w:after="0" w:line="258" w:lineRule="exact"/>
      <w:ind w:left="105"/>
    </w:pPr>
    <w:rPr>
      <w:rFonts w:ascii="Gill Sans MT" w:eastAsia="Gill Sans MT"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2183">
      <w:bodyDiv w:val="1"/>
      <w:marLeft w:val="0"/>
      <w:marRight w:val="0"/>
      <w:marTop w:val="0"/>
      <w:marBottom w:val="0"/>
      <w:divBdr>
        <w:top w:val="none" w:sz="0" w:space="0" w:color="auto"/>
        <w:left w:val="none" w:sz="0" w:space="0" w:color="auto"/>
        <w:bottom w:val="none" w:sz="0" w:space="0" w:color="auto"/>
        <w:right w:val="none" w:sz="0" w:space="0" w:color="auto"/>
      </w:divBdr>
    </w:div>
    <w:div w:id="27685263">
      <w:bodyDiv w:val="1"/>
      <w:marLeft w:val="0"/>
      <w:marRight w:val="0"/>
      <w:marTop w:val="0"/>
      <w:marBottom w:val="0"/>
      <w:divBdr>
        <w:top w:val="none" w:sz="0" w:space="0" w:color="auto"/>
        <w:left w:val="none" w:sz="0" w:space="0" w:color="auto"/>
        <w:bottom w:val="none" w:sz="0" w:space="0" w:color="auto"/>
        <w:right w:val="none" w:sz="0" w:space="0" w:color="auto"/>
      </w:divBdr>
    </w:div>
    <w:div w:id="37552146">
      <w:bodyDiv w:val="1"/>
      <w:marLeft w:val="0"/>
      <w:marRight w:val="0"/>
      <w:marTop w:val="0"/>
      <w:marBottom w:val="0"/>
      <w:divBdr>
        <w:top w:val="none" w:sz="0" w:space="0" w:color="auto"/>
        <w:left w:val="none" w:sz="0" w:space="0" w:color="auto"/>
        <w:bottom w:val="none" w:sz="0" w:space="0" w:color="auto"/>
        <w:right w:val="none" w:sz="0" w:space="0" w:color="auto"/>
      </w:divBdr>
    </w:div>
    <w:div w:id="100492660">
      <w:bodyDiv w:val="1"/>
      <w:marLeft w:val="0"/>
      <w:marRight w:val="0"/>
      <w:marTop w:val="0"/>
      <w:marBottom w:val="0"/>
      <w:divBdr>
        <w:top w:val="none" w:sz="0" w:space="0" w:color="auto"/>
        <w:left w:val="none" w:sz="0" w:space="0" w:color="auto"/>
        <w:bottom w:val="none" w:sz="0" w:space="0" w:color="auto"/>
        <w:right w:val="none" w:sz="0" w:space="0" w:color="auto"/>
      </w:divBdr>
    </w:div>
    <w:div w:id="101269944">
      <w:bodyDiv w:val="1"/>
      <w:marLeft w:val="0"/>
      <w:marRight w:val="0"/>
      <w:marTop w:val="0"/>
      <w:marBottom w:val="0"/>
      <w:divBdr>
        <w:top w:val="none" w:sz="0" w:space="0" w:color="auto"/>
        <w:left w:val="none" w:sz="0" w:space="0" w:color="auto"/>
        <w:bottom w:val="none" w:sz="0" w:space="0" w:color="auto"/>
        <w:right w:val="none" w:sz="0" w:space="0" w:color="auto"/>
      </w:divBdr>
    </w:div>
    <w:div w:id="151025780">
      <w:bodyDiv w:val="1"/>
      <w:marLeft w:val="0"/>
      <w:marRight w:val="0"/>
      <w:marTop w:val="0"/>
      <w:marBottom w:val="0"/>
      <w:divBdr>
        <w:top w:val="none" w:sz="0" w:space="0" w:color="auto"/>
        <w:left w:val="none" w:sz="0" w:space="0" w:color="auto"/>
        <w:bottom w:val="none" w:sz="0" w:space="0" w:color="auto"/>
        <w:right w:val="none" w:sz="0" w:space="0" w:color="auto"/>
      </w:divBdr>
    </w:div>
    <w:div w:id="197858991">
      <w:bodyDiv w:val="1"/>
      <w:marLeft w:val="0"/>
      <w:marRight w:val="0"/>
      <w:marTop w:val="0"/>
      <w:marBottom w:val="0"/>
      <w:divBdr>
        <w:top w:val="none" w:sz="0" w:space="0" w:color="auto"/>
        <w:left w:val="none" w:sz="0" w:space="0" w:color="auto"/>
        <w:bottom w:val="none" w:sz="0" w:space="0" w:color="auto"/>
        <w:right w:val="none" w:sz="0" w:space="0" w:color="auto"/>
      </w:divBdr>
    </w:div>
    <w:div w:id="284048052">
      <w:bodyDiv w:val="1"/>
      <w:marLeft w:val="0"/>
      <w:marRight w:val="0"/>
      <w:marTop w:val="0"/>
      <w:marBottom w:val="0"/>
      <w:divBdr>
        <w:top w:val="none" w:sz="0" w:space="0" w:color="auto"/>
        <w:left w:val="none" w:sz="0" w:space="0" w:color="auto"/>
        <w:bottom w:val="none" w:sz="0" w:space="0" w:color="auto"/>
        <w:right w:val="none" w:sz="0" w:space="0" w:color="auto"/>
      </w:divBdr>
    </w:div>
    <w:div w:id="312220419">
      <w:bodyDiv w:val="1"/>
      <w:marLeft w:val="0"/>
      <w:marRight w:val="0"/>
      <w:marTop w:val="0"/>
      <w:marBottom w:val="0"/>
      <w:divBdr>
        <w:top w:val="none" w:sz="0" w:space="0" w:color="auto"/>
        <w:left w:val="none" w:sz="0" w:space="0" w:color="auto"/>
        <w:bottom w:val="none" w:sz="0" w:space="0" w:color="auto"/>
        <w:right w:val="none" w:sz="0" w:space="0" w:color="auto"/>
      </w:divBdr>
    </w:div>
    <w:div w:id="313993902">
      <w:bodyDiv w:val="1"/>
      <w:marLeft w:val="0"/>
      <w:marRight w:val="0"/>
      <w:marTop w:val="0"/>
      <w:marBottom w:val="0"/>
      <w:divBdr>
        <w:top w:val="none" w:sz="0" w:space="0" w:color="auto"/>
        <w:left w:val="none" w:sz="0" w:space="0" w:color="auto"/>
        <w:bottom w:val="none" w:sz="0" w:space="0" w:color="auto"/>
        <w:right w:val="none" w:sz="0" w:space="0" w:color="auto"/>
      </w:divBdr>
    </w:div>
    <w:div w:id="323437437">
      <w:bodyDiv w:val="1"/>
      <w:marLeft w:val="0"/>
      <w:marRight w:val="0"/>
      <w:marTop w:val="0"/>
      <w:marBottom w:val="0"/>
      <w:divBdr>
        <w:top w:val="none" w:sz="0" w:space="0" w:color="auto"/>
        <w:left w:val="none" w:sz="0" w:space="0" w:color="auto"/>
        <w:bottom w:val="none" w:sz="0" w:space="0" w:color="auto"/>
        <w:right w:val="none" w:sz="0" w:space="0" w:color="auto"/>
      </w:divBdr>
    </w:div>
    <w:div w:id="331034525">
      <w:bodyDiv w:val="1"/>
      <w:marLeft w:val="0"/>
      <w:marRight w:val="0"/>
      <w:marTop w:val="0"/>
      <w:marBottom w:val="0"/>
      <w:divBdr>
        <w:top w:val="none" w:sz="0" w:space="0" w:color="auto"/>
        <w:left w:val="none" w:sz="0" w:space="0" w:color="auto"/>
        <w:bottom w:val="none" w:sz="0" w:space="0" w:color="auto"/>
        <w:right w:val="none" w:sz="0" w:space="0" w:color="auto"/>
      </w:divBdr>
    </w:div>
    <w:div w:id="453258316">
      <w:bodyDiv w:val="1"/>
      <w:marLeft w:val="0"/>
      <w:marRight w:val="0"/>
      <w:marTop w:val="0"/>
      <w:marBottom w:val="0"/>
      <w:divBdr>
        <w:top w:val="none" w:sz="0" w:space="0" w:color="auto"/>
        <w:left w:val="none" w:sz="0" w:space="0" w:color="auto"/>
        <w:bottom w:val="none" w:sz="0" w:space="0" w:color="auto"/>
        <w:right w:val="none" w:sz="0" w:space="0" w:color="auto"/>
      </w:divBdr>
    </w:div>
    <w:div w:id="503126693">
      <w:bodyDiv w:val="1"/>
      <w:marLeft w:val="0"/>
      <w:marRight w:val="0"/>
      <w:marTop w:val="0"/>
      <w:marBottom w:val="0"/>
      <w:divBdr>
        <w:top w:val="none" w:sz="0" w:space="0" w:color="auto"/>
        <w:left w:val="none" w:sz="0" w:space="0" w:color="auto"/>
        <w:bottom w:val="none" w:sz="0" w:space="0" w:color="auto"/>
        <w:right w:val="none" w:sz="0" w:space="0" w:color="auto"/>
      </w:divBdr>
    </w:div>
    <w:div w:id="653333726">
      <w:bodyDiv w:val="1"/>
      <w:marLeft w:val="0"/>
      <w:marRight w:val="0"/>
      <w:marTop w:val="0"/>
      <w:marBottom w:val="0"/>
      <w:divBdr>
        <w:top w:val="none" w:sz="0" w:space="0" w:color="auto"/>
        <w:left w:val="none" w:sz="0" w:space="0" w:color="auto"/>
        <w:bottom w:val="none" w:sz="0" w:space="0" w:color="auto"/>
        <w:right w:val="none" w:sz="0" w:space="0" w:color="auto"/>
      </w:divBdr>
    </w:div>
    <w:div w:id="671761137">
      <w:bodyDiv w:val="1"/>
      <w:marLeft w:val="0"/>
      <w:marRight w:val="0"/>
      <w:marTop w:val="0"/>
      <w:marBottom w:val="0"/>
      <w:divBdr>
        <w:top w:val="none" w:sz="0" w:space="0" w:color="auto"/>
        <w:left w:val="none" w:sz="0" w:space="0" w:color="auto"/>
        <w:bottom w:val="none" w:sz="0" w:space="0" w:color="auto"/>
        <w:right w:val="none" w:sz="0" w:space="0" w:color="auto"/>
      </w:divBdr>
    </w:div>
    <w:div w:id="683441259">
      <w:bodyDiv w:val="1"/>
      <w:marLeft w:val="0"/>
      <w:marRight w:val="0"/>
      <w:marTop w:val="0"/>
      <w:marBottom w:val="0"/>
      <w:divBdr>
        <w:top w:val="none" w:sz="0" w:space="0" w:color="auto"/>
        <w:left w:val="none" w:sz="0" w:space="0" w:color="auto"/>
        <w:bottom w:val="none" w:sz="0" w:space="0" w:color="auto"/>
        <w:right w:val="none" w:sz="0" w:space="0" w:color="auto"/>
      </w:divBdr>
    </w:div>
    <w:div w:id="748969103">
      <w:bodyDiv w:val="1"/>
      <w:marLeft w:val="0"/>
      <w:marRight w:val="0"/>
      <w:marTop w:val="0"/>
      <w:marBottom w:val="0"/>
      <w:divBdr>
        <w:top w:val="none" w:sz="0" w:space="0" w:color="auto"/>
        <w:left w:val="none" w:sz="0" w:space="0" w:color="auto"/>
        <w:bottom w:val="none" w:sz="0" w:space="0" w:color="auto"/>
        <w:right w:val="none" w:sz="0" w:space="0" w:color="auto"/>
      </w:divBdr>
    </w:div>
    <w:div w:id="763459022">
      <w:bodyDiv w:val="1"/>
      <w:marLeft w:val="0"/>
      <w:marRight w:val="0"/>
      <w:marTop w:val="0"/>
      <w:marBottom w:val="0"/>
      <w:divBdr>
        <w:top w:val="none" w:sz="0" w:space="0" w:color="auto"/>
        <w:left w:val="none" w:sz="0" w:space="0" w:color="auto"/>
        <w:bottom w:val="none" w:sz="0" w:space="0" w:color="auto"/>
        <w:right w:val="none" w:sz="0" w:space="0" w:color="auto"/>
      </w:divBdr>
    </w:div>
    <w:div w:id="965307581">
      <w:bodyDiv w:val="1"/>
      <w:marLeft w:val="0"/>
      <w:marRight w:val="0"/>
      <w:marTop w:val="0"/>
      <w:marBottom w:val="0"/>
      <w:divBdr>
        <w:top w:val="none" w:sz="0" w:space="0" w:color="auto"/>
        <w:left w:val="none" w:sz="0" w:space="0" w:color="auto"/>
        <w:bottom w:val="none" w:sz="0" w:space="0" w:color="auto"/>
        <w:right w:val="none" w:sz="0" w:space="0" w:color="auto"/>
      </w:divBdr>
    </w:div>
    <w:div w:id="1054046116">
      <w:bodyDiv w:val="1"/>
      <w:marLeft w:val="0"/>
      <w:marRight w:val="0"/>
      <w:marTop w:val="0"/>
      <w:marBottom w:val="0"/>
      <w:divBdr>
        <w:top w:val="none" w:sz="0" w:space="0" w:color="auto"/>
        <w:left w:val="none" w:sz="0" w:space="0" w:color="auto"/>
        <w:bottom w:val="none" w:sz="0" w:space="0" w:color="auto"/>
        <w:right w:val="none" w:sz="0" w:space="0" w:color="auto"/>
      </w:divBdr>
    </w:div>
    <w:div w:id="1118181116">
      <w:bodyDiv w:val="1"/>
      <w:marLeft w:val="0"/>
      <w:marRight w:val="0"/>
      <w:marTop w:val="0"/>
      <w:marBottom w:val="0"/>
      <w:divBdr>
        <w:top w:val="none" w:sz="0" w:space="0" w:color="auto"/>
        <w:left w:val="none" w:sz="0" w:space="0" w:color="auto"/>
        <w:bottom w:val="none" w:sz="0" w:space="0" w:color="auto"/>
        <w:right w:val="none" w:sz="0" w:space="0" w:color="auto"/>
      </w:divBdr>
    </w:div>
    <w:div w:id="1160584634">
      <w:bodyDiv w:val="1"/>
      <w:marLeft w:val="0"/>
      <w:marRight w:val="0"/>
      <w:marTop w:val="0"/>
      <w:marBottom w:val="0"/>
      <w:divBdr>
        <w:top w:val="none" w:sz="0" w:space="0" w:color="auto"/>
        <w:left w:val="none" w:sz="0" w:space="0" w:color="auto"/>
        <w:bottom w:val="none" w:sz="0" w:space="0" w:color="auto"/>
        <w:right w:val="none" w:sz="0" w:space="0" w:color="auto"/>
      </w:divBdr>
    </w:div>
    <w:div w:id="1175000833">
      <w:bodyDiv w:val="1"/>
      <w:marLeft w:val="0"/>
      <w:marRight w:val="0"/>
      <w:marTop w:val="0"/>
      <w:marBottom w:val="0"/>
      <w:divBdr>
        <w:top w:val="none" w:sz="0" w:space="0" w:color="auto"/>
        <w:left w:val="none" w:sz="0" w:space="0" w:color="auto"/>
        <w:bottom w:val="none" w:sz="0" w:space="0" w:color="auto"/>
        <w:right w:val="none" w:sz="0" w:space="0" w:color="auto"/>
      </w:divBdr>
    </w:div>
    <w:div w:id="1192836403">
      <w:bodyDiv w:val="1"/>
      <w:marLeft w:val="0"/>
      <w:marRight w:val="0"/>
      <w:marTop w:val="0"/>
      <w:marBottom w:val="0"/>
      <w:divBdr>
        <w:top w:val="none" w:sz="0" w:space="0" w:color="auto"/>
        <w:left w:val="none" w:sz="0" w:space="0" w:color="auto"/>
        <w:bottom w:val="none" w:sz="0" w:space="0" w:color="auto"/>
        <w:right w:val="none" w:sz="0" w:space="0" w:color="auto"/>
      </w:divBdr>
    </w:div>
    <w:div w:id="1248997805">
      <w:bodyDiv w:val="1"/>
      <w:marLeft w:val="0"/>
      <w:marRight w:val="0"/>
      <w:marTop w:val="0"/>
      <w:marBottom w:val="0"/>
      <w:divBdr>
        <w:top w:val="none" w:sz="0" w:space="0" w:color="auto"/>
        <w:left w:val="none" w:sz="0" w:space="0" w:color="auto"/>
        <w:bottom w:val="none" w:sz="0" w:space="0" w:color="auto"/>
        <w:right w:val="none" w:sz="0" w:space="0" w:color="auto"/>
      </w:divBdr>
    </w:div>
    <w:div w:id="1289050313">
      <w:bodyDiv w:val="1"/>
      <w:marLeft w:val="0"/>
      <w:marRight w:val="0"/>
      <w:marTop w:val="0"/>
      <w:marBottom w:val="0"/>
      <w:divBdr>
        <w:top w:val="none" w:sz="0" w:space="0" w:color="auto"/>
        <w:left w:val="none" w:sz="0" w:space="0" w:color="auto"/>
        <w:bottom w:val="none" w:sz="0" w:space="0" w:color="auto"/>
        <w:right w:val="none" w:sz="0" w:space="0" w:color="auto"/>
      </w:divBdr>
    </w:div>
    <w:div w:id="1290016236">
      <w:bodyDiv w:val="1"/>
      <w:marLeft w:val="0"/>
      <w:marRight w:val="0"/>
      <w:marTop w:val="0"/>
      <w:marBottom w:val="0"/>
      <w:divBdr>
        <w:top w:val="none" w:sz="0" w:space="0" w:color="auto"/>
        <w:left w:val="none" w:sz="0" w:space="0" w:color="auto"/>
        <w:bottom w:val="none" w:sz="0" w:space="0" w:color="auto"/>
        <w:right w:val="none" w:sz="0" w:space="0" w:color="auto"/>
      </w:divBdr>
    </w:div>
    <w:div w:id="1318807771">
      <w:bodyDiv w:val="1"/>
      <w:marLeft w:val="0"/>
      <w:marRight w:val="0"/>
      <w:marTop w:val="0"/>
      <w:marBottom w:val="0"/>
      <w:divBdr>
        <w:top w:val="none" w:sz="0" w:space="0" w:color="auto"/>
        <w:left w:val="none" w:sz="0" w:space="0" w:color="auto"/>
        <w:bottom w:val="none" w:sz="0" w:space="0" w:color="auto"/>
        <w:right w:val="none" w:sz="0" w:space="0" w:color="auto"/>
      </w:divBdr>
    </w:div>
    <w:div w:id="1380668397">
      <w:bodyDiv w:val="1"/>
      <w:marLeft w:val="0"/>
      <w:marRight w:val="0"/>
      <w:marTop w:val="0"/>
      <w:marBottom w:val="0"/>
      <w:divBdr>
        <w:top w:val="none" w:sz="0" w:space="0" w:color="auto"/>
        <w:left w:val="none" w:sz="0" w:space="0" w:color="auto"/>
        <w:bottom w:val="none" w:sz="0" w:space="0" w:color="auto"/>
        <w:right w:val="none" w:sz="0" w:space="0" w:color="auto"/>
      </w:divBdr>
    </w:div>
    <w:div w:id="1386640956">
      <w:bodyDiv w:val="1"/>
      <w:marLeft w:val="0"/>
      <w:marRight w:val="0"/>
      <w:marTop w:val="0"/>
      <w:marBottom w:val="0"/>
      <w:divBdr>
        <w:top w:val="none" w:sz="0" w:space="0" w:color="auto"/>
        <w:left w:val="none" w:sz="0" w:space="0" w:color="auto"/>
        <w:bottom w:val="none" w:sz="0" w:space="0" w:color="auto"/>
        <w:right w:val="none" w:sz="0" w:space="0" w:color="auto"/>
      </w:divBdr>
    </w:div>
    <w:div w:id="1401714223">
      <w:bodyDiv w:val="1"/>
      <w:marLeft w:val="0"/>
      <w:marRight w:val="0"/>
      <w:marTop w:val="0"/>
      <w:marBottom w:val="0"/>
      <w:divBdr>
        <w:top w:val="none" w:sz="0" w:space="0" w:color="auto"/>
        <w:left w:val="none" w:sz="0" w:space="0" w:color="auto"/>
        <w:bottom w:val="none" w:sz="0" w:space="0" w:color="auto"/>
        <w:right w:val="none" w:sz="0" w:space="0" w:color="auto"/>
      </w:divBdr>
    </w:div>
    <w:div w:id="1489899382">
      <w:bodyDiv w:val="1"/>
      <w:marLeft w:val="0"/>
      <w:marRight w:val="0"/>
      <w:marTop w:val="0"/>
      <w:marBottom w:val="0"/>
      <w:divBdr>
        <w:top w:val="none" w:sz="0" w:space="0" w:color="auto"/>
        <w:left w:val="none" w:sz="0" w:space="0" w:color="auto"/>
        <w:bottom w:val="none" w:sz="0" w:space="0" w:color="auto"/>
        <w:right w:val="none" w:sz="0" w:space="0" w:color="auto"/>
      </w:divBdr>
    </w:div>
    <w:div w:id="1517033584">
      <w:bodyDiv w:val="1"/>
      <w:marLeft w:val="0"/>
      <w:marRight w:val="0"/>
      <w:marTop w:val="0"/>
      <w:marBottom w:val="0"/>
      <w:divBdr>
        <w:top w:val="none" w:sz="0" w:space="0" w:color="auto"/>
        <w:left w:val="none" w:sz="0" w:space="0" w:color="auto"/>
        <w:bottom w:val="none" w:sz="0" w:space="0" w:color="auto"/>
        <w:right w:val="none" w:sz="0" w:space="0" w:color="auto"/>
      </w:divBdr>
    </w:div>
    <w:div w:id="1518234729">
      <w:bodyDiv w:val="1"/>
      <w:marLeft w:val="0"/>
      <w:marRight w:val="0"/>
      <w:marTop w:val="0"/>
      <w:marBottom w:val="0"/>
      <w:divBdr>
        <w:top w:val="none" w:sz="0" w:space="0" w:color="auto"/>
        <w:left w:val="none" w:sz="0" w:space="0" w:color="auto"/>
        <w:bottom w:val="none" w:sz="0" w:space="0" w:color="auto"/>
        <w:right w:val="none" w:sz="0" w:space="0" w:color="auto"/>
      </w:divBdr>
    </w:div>
    <w:div w:id="1547449646">
      <w:bodyDiv w:val="1"/>
      <w:marLeft w:val="0"/>
      <w:marRight w:val="0"/>
      <w:marTop w:val="0"/>
      <w:marBottom w:val="0"/>
      <w:divBdr>
        <w:top w:val="none" w:sz="0" w:space="0" w:color="auto"/>
        <w:left w:val="none" w:sz="0" w:space="0" w:color="auto"/>
        <w:bottom w:val="none" w:sz="0" w:space="0" w:color="auto"/>
        <w:right w:val="none" w:sz="0" w:space="0" w:color="auto"/>
      </w:divBdr>
    </w:div>
    <w:div w:id="1654217119">
      <w:bodyDiv w:val="1"/>
      <w:marLeft w:val="0"/>
      <w:marRight w:val="0"/>
      <w:marTop w:val="0"/>
      <w:marBottom w:val="0"/>
      <w:divBdr>
        <w:top w:val="none" w:sz="0" w:space="0" w:color="auto"/>
        <w:left w:val="none" w:sz="0" w:space="0" w:color="auto"/>
        <w:bottom w:val="none" w:sz="0" w:space="0" w:color="auto"/>
        <w:right w:val="none" w:sz="0" w:space="0" w:color="auto"/>
      </w:divBdr>
    </w:div>
    <w:div w:id="1690181211">
      <w:bodyDiv w:val="1"/>
      <w:marLeft w:val="0"/>
      <w:marRight w:val="0"/>
      <w:marTop w:val="0"/>
      <w:marBottom w:val="0"/>
      <w:divBdr>
        <w:top w:val="none" w:sz="0" w:space="0" w:color="auto"/>
        <w:left w:val="none" w:sz="0" w:space="0" w:color="auto"/>
        <w:bottom w:val="none" w:sz="0" w:space="0" w:color="auto"/>
        <w:right w:val="none" w:sz="0" w:space="0" w:color="auto"/>
      </w:divBdr>
    </w:div>
    <w:div w:id="1733459297">
      <w:bodyDiv w:val="1"/>
      <w:marLeft w:val="0"/>
      <w:marRight w:val="0"/>
      <w:marTop w:val="0"/>
      <w:marBottom w:val="0"/>
      <w:divBdr>
        <w:top w:val="none" w:sz="0" w:space="0" w:color="auto"/>
        <w:left w:val="none" w:sz="0" w:space="0" w:color="auto"/>
        <w:bottom w:val="none" w:sz="0" w:space="0" w:color="auto"/>
        <w:right w:val="none" w:sz="0" w:space="0" w:color="auto"/>
      </w:divBdr>
    </w:div>
    <w:div w:id="1757365539">
      <w:bodyDiv w:val="1"/>
      <w:marLeft w:val="0"/>
      <w:marRight w:val="0"/>
      <w:marTop w:val="0"/>
      <w:marBottom w:val="0"/>
      <w:divBdr>
        <w:top w:val="none" w:sz="0" w:space="0" w:color="auto"/>
        <w:left w:val="none" w:sz="0" w:space="0" w:color="auto"/>
        <w:bottom w:val="none" w:sz="0" w:space="0" w:color="auto"/>
        <w:right w:val="none" w:sz="0" w:space="0" w:color="auto"/>
      </w:divBdr>
    </w:div>
    <w:div w:id="197894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brary.serials@umontan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7</cp:revision>
  <dcterms:created xsi:type="dcterms:W3CDTF">2017-09-14T22:04:00Z</dcterms:created>
  <dcterms:modified xsi:type="dcterms:W3CDTF">2017-09-18T22:17:00Z</dcterms:modified>
</cp:coreProperties>
</file>