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645" w:rsidRDefault="00D92645" w:rsidP="00D92645">
      <w:pPr>
        <w:pStyle w:val="Heading1"/>
        <w:ind w:firstLine="0"/>
      </w:pPr>
      <w:r>
        <w:t xml:space="preserve">General Education Preamble and Overview language revision, 2/8/18  </w:t>
      </w:r>
    </w:p>
    <w:p w:rsidR="00D92645" w:rsidRDefault="00D92645" w:rsidP="00D92645">
      <w:r w:rsidRPr="00D92645">
        <w:t>http://catalog.umt.edu/academics/general-education-requirements/</w:t>
      </w:r>
    </w:p>
    <w:p w:rsidR="00D92645" w:rsidRDefault="00D92645" w:rsidP="00D92645">
      <w:pPr>
        <w:pStyle w:val="Heading2"/>
      </w:pPr>
    </w:p>
    <w:p w:rsidR="007C2826" w:rsidRDefault="007C2826" w:rsidP="00D92645">
      <w:pPr>
        <w:pStyle w:val="Heading1"/>
        <w:ind w:firstLine="0"/>
      </w:pPr>
      <w:r>
        <w:t>Preamble</w:t>
      </w:r>
      <w:r>
        <w:br/>
      </w:r>
    </w:p>
    <w:p w:rsidR="007C2826" w:rsidRPr="00D92645" w:rsidRDefault="007C2826" w:rsidP="007C2826">
      <w:pPr>
        <w:pStyle w:val="NormalWeb"/>
        <w:shd w:val="clear" w:color="auto" w:fill="FFFFFF"/>
        <w:spacing w:before="0" w:after="0"/>
        <w:ind w:firstLine="0"/>
        <w:textAlignment w:val="baseline"/>
        <w:rPr>
          <w:rFonts w:ascii="Helvetica" w:hAnsi="Helvetica"/>
          <w:color w:val="2D3033"/>
          <w:sz w:val="24"/>
          <w:szCs w:val="24"/>
        </w:rPr>
      </w:pPr>
      <w:r w:rsidRPr="00D92645">
        <w:rPr>
          <w:rFonts w:ascii="Helvetica" w:hAnsi="Helvetica"/>
          <w:color w:val="2D3033"/>
          <w:sz w:val="24"/>
          <w:szCs w:val="24"/>
        </w:rPr>
        <w:t xml:space="preserve">The University of Montana-Missoula's General Education Program provides a broad academic base that supports both undergraduate learning at the University of Montana-Missoula and continued learning following graduation. </w:t>
      </w:r>
      <w:r w:rsidRPr="00D92645">
        <w:rPr>
          <w:rFonts w:ascii="Helvetica" w:hAnsi="Helvetica"/>
          <w:color w:val="2D3033"/>
          <w:sz w:val="24"/>
          <w:szCs w:val="24"/>
          <w:u w:val="single"/>
        </w:rPr>
        <w:t xml:space="preserve">The General Education Program </w:t>
      </w:r>
      <w:proofErr w:type="gramStart"/>
      <w:r w:rsidRPr="00D92645">
        <w:rPr>
          <w:rFonts w:ascii="Helvetica" w:hAnsi="Helvetica"/>
          <w:color w:val="2D3033"/>
          <w:sz w:val="24"/>
          <w:szCs w:val="24"/>
          <w:u w:val="single"/>
        </w:rPr>
        <w:t>is designed</w:t>
      </w:r>
      <w:proofErr w:type="gramEnd"/>
      <w:r w:rsidRPr="00D92645">
        <w:rPr>
          <w:rFonts w:ascii="Helvetica" w:hAnsi="Helvetica"/>
          <w:color w:val="2D3033"/>
          <w:sz w:val="24"/>
          <w:szCs w:val="24"/>
          <w:u w:val="single"/>
        </w:rPr>
        <w:t xml:space="preserve"> to provide a high-quality intellectual foundation that accommodates all UM students whether in liberal arts or professional programs.</w:t>
      </w:r>
      <w:r w:rsidRPr="00D92645">
        <w:rPr>
          <w:rFonts w:ascii="Helvetica" w:hAnsi="Helvetica"/>
          <w:color w:val="2D3033"/>
          <w:sz w:val="24"/>
          <w:szCs w:val="24"/>
        </w:rPr>
        <w:t xml:space="preserve"> While the General Education Program offers students considerable flexibility in selecting courses, it has a set of common educational objectives for all students.</w:t>
      </w:r>
    </w:p>
    <w:p w:rsidR="007C2826" w:rsidRPr="00D92645" w:rsidRDefault="007C2826" w:rsidP="007C2826">
      <w:pPr>
        <w:pStyle w:val="NormalWeb"/>
        <w:shd w:val="clear" w:color="auto" w:fill="FFFFFF"/>
        <w:spacing w:before="0" w:after="0"/>
        <w:textAlignment w:val="baseline"/>
        <w:rPr>
          <w:rFonts w:ascii="Helvetica" w:hAnsi="Helvetica"/>
          <w:color w:val="2D3033"/>
          <w:sz w:val="24"/>
          <w:szCs w:val="24"/>
        </w:rPr>
      </w:pPr>
    </w:p>
    <w:p w:rsidR="007C2826" w:rsidRPr="00D92645" w:rsidRDefault="007C2826" w:rsidP="007C2826">
      <w:pPr>
        <w:pStyle w:val="NormalWeb"/>
        <w:shd w:val="clear" w:color="auto" w:fill="FFFFFF"/>
        <w:spacing w:before="0" w:after="0"/>
        <w:textAlignment w:val="baseline"/>
        <w:rPr>
          <w:rFonts w:ascii="Helvetica" w:hAnsi="Helvetica"/>
          <w:color w:val="2D3033"/>
          <w:sz w:val="24"/>
          <w:szCs w:val="24"/>
        </w:rPr>
      </w:pPr>
      <w:r w:rsidRPr="00D92645">
        <w:rPr>
          <w:rFonts w:ascii="Helvetica" w:hAnsi="Helvetica"/>
          <w:color w:val="2D3033"/>
          <w:sz w:val="24"/>
          <w:szCs w:val="24"/>
        </w:rPr>
        <w:t>In accordance with the mission of the University of Montana-Missoula, these objectives are to develop competent and humane individuals who are informed, ethical, literate, and engaged citizens of local and global communities. Students should become acquainted with issues facing contemporary society, participate in the creative arts, develop an understanding of science and technology, cultivate an appreciation of the humanities, and examine the history of different American and global cultures. Upon completion of the general education requirements students should be able to articulate ideas orally and in writing, understand and critically evaluate tangible and abstract concepts, and employ mathematical and other related skills appropriate to a technologically focused society.</w:t>
      </w:r>
      <w:r w:rsidRPr="00D92645">
        <w:rPr>
          <w:rFonts w:ascii="Helvetica" w:hAnsi="Helvetica"/>
          <w:color w:val="2D3033"/>
          <w:sz w:val="24"/>
          <w:szCs w:val="24"/>
        </w:rPr>
        <w:br/>
      </w:r>
      <w:r w:rsidRPr="00D92645">
        <w:rPr>
          <w:rFonts w:ascii="Helvetica" w:hAnsi="Helvetica"/>
          <w:color w:val="2D3033"/>
          <w:sz w:val="24"/>
          <w:szCs w:val="24"/>
        </w:rPr>
        <w:br/>
      </w:r>
    </w:p>
    <w:p w:rsidR="007C2826" w:rsidRPr="00D92645" w:rsidRDefault="007C2826" w:rsidP="007C2826">
      <w:pPr>
        <w:ind w:firstLine="0"/>
        <w:rPr>
          <w:strike/>
          <w:sz w:val="24"/>
          <w:szCs w:val="24"/>
        </w:rPr>
      </w:pPr>
      <w:r w:rsidRPr="00D92645">
        <w:rPr>
          <w:strike/>
          <w:sz w:val="24"/>
          <w:szCs w:val="24"/>
        </w:rPr>
        <w:t xml:space="preserve">In summary, the General Education Program </w:t>
      </w:r>
      <w:proofErr w:type="gramStart"/>
      <w:r w:rsidRPr="00D92645">
        <w:rPr>
          <w:strike/>
          <w:sz w:val="24"/>
          <w:szCs w:val="24"/>
        </w:rPr>
        <w:t>is designed</w:t>
      </w:r>
      <w:proofErr w:type="gramEnd"/>
      <w:r w:rsidRPr="00D92645">
        <w:rPr>
          <w:strike/>
          <w:sz w:val="24"/>
          <w:szCs w:val="24"/>
        </w:rPr>
        <w:t xml:space="preserve"> to provide a high quality intellectual foundation that accommodates all UM students whether in liberal arts or professional programs. This foundation will be reinforced, expanded, and refined as students continue through their course of study. Students are encouraged to prepare for productive roles in their chosen fields by cultivating civic awareness vital to the greater community and a democratic society. The acquired skills will allow students to examine critically the human experience and achieve genuine confidence in their knowledge and abilities. For the General Education Program to accomplish its goals, students must assume primary responsibility for their growth and education.</w:t>
      </w:r>
    </w:p>
    <w:p w:rsidR="007C2826" w:rsidRPr="00D92645" w:rsidRDefault="007C2826">
      <w:pPr>
        <w:rPr>
          <w:sz w:val="24"/>
          <w:szCs w:val="24"/>
        </w:rPr>
      </w:pPr>
    </w:p>
    <w:p w:rsidR="007C2826" w:rsidRPr="00D92645" w:rsidRDefault="007C2826">
      <w:pPr>
        <w:rPr>
          <w:sz w:val="24"/>
          <w:szCs w:val="24"/>
        </w:rPr>
      </w:pPr>
    </w:p>
    <w:p w:rsidR="007C2826" w:rsidRDefault="007C2826" w:rsidP="007C2826">
      <w:pPr>
        <w:pStyle w:val="Heading1"/>
        <w:ind w:firstLine="0"/>
      </w:pPr>
      <w:r>
        <w:t>Overview</w:t>
      </w:r>
    </w:p>
    <w:p w:rsidR="007C2826" w:rsidRDefault="007C2826" w:rsidP="007C2826">
      <w:pPr>
        <w:pStyle w:val="NormalWeb"/>
        <w:shd w:val="clear" w:color="auto" w:fill="FFFFFF"/>
        <w:spacing w:before="0" w:after="0"/>
        <w:textAlignment w:val="baseline"/>
        <w:rPr>
          <w:rFonts w:ascii="Helvetica" w:hAnsi="Helvetica"/>
          <w:color w:val="2D3033"/>
          <w:sz w:val="21"/>
          <w:szCs w:val="21"/>
        </w:rPr>
      </w:pPr>
    </w:p>
    <w:p w:rsidR="007C4D4A" w:rsidRPr="00D92645" w:rsidRDefault="007C4D4A" w:rsidP="007C4D4A">
      <w:pPr>
        <w:spacing w:before="100" w:beforeAutospacing="1" w:after="100" w:afterAutospacing="1"/>
        <w:ind w:firstLine="0"/>
        <w:rPr>
          <w:rFonts w:ascii="Times New Roman" w:hAnsi="Times New Roman"/>
          <w:strike/>
          <w:sz w:val="24"/>
          <w:szCs w:val="24"/>
        </w:rPr>
      </w:pPr>
      <w:r w:rsidRPr="00D92645">
        <w:rPr>
          <w:rFonts w:ascii="Times New Roman" w:hAnsi="Times New Roman"/>
          <w:sz w:val="24"/>
          <w:szCs w:val="24"/>
        </w:rPr>
        <w:t xml:space="preserve">To earn a baccalaureate degree, all students must </w:t>
      </w:r>
      <w:r w:rsidRPr="00D92645">
        <w:rPr>
          <w:rFonts w:ascii="Times New Roman" w:hAnsi="Times New Roman"/>
          <w:strike/>
          <w:sz w:val="24"/>
          <w:szCs w:val="24"/>
        </w:rPr>
        <w:t>complete</w:t>
      </w:r>
      <w:r w:rsidRPr="00D92645">
        <w:rPr>
          <w:rFonts w:ascii="Times New Roman" w:hAnsi="Times New Roman"/>
          <w:sz w:val="24"/>
          <w:szCs w:val="24"/>
        </w:rPr>
        <w:t xml:space="preserve"> successfully</w:t>
      </w:r>
      <w:r w:rsidR="002153CA" w:rsidRPr="00D92645">
        <w:rPr>
          <w:rFonts w:ascii="Times New Roman" w:hAnsi="Times New Roman"/>
          <w:sz w:val="24"/>
          <w:szCs w:val="24"/>
        </w:rPr>
        <w:t xml:space="preserve"> </w:t>
      </w:r>
      <w:r w:rsidR="002153CA" w:rsidRPr="00D92645">
        <w:rPr>
          <w:rFonts w:ascii="Times New Roman" w:hAnsi="Times New Roman"/>
          <w:sz w:val="24"/>
          <w:szCs w:val="24"/>
          <w:u w:val="single"/>
        </w:rPr>
        <w:t xml:space="preserve">complete the General Education requirements listed below.  </w:t>
      </w:r>
      <w:proofErr w:type="gramStart"/>
      <w:r w:rsidR="002153CA" w:rsidRPr="00D92645">
        <w:rPr>
          <w:rFonts w:ascii="Times New Roman" w:hAnsi="Times New Roman"/>
          <w:strike/>
          <w:sz w:val="24"/>
          <w:szCs w:val="24"/>
        </w:rPr>
        <w:t>in</w:t>
      </w:r>
      <w:proofErr w:type="gramEnd"/>
      <w:r w:rsidR="002153CA" w:rsidRPr="00D92645">
        <w:rPr>
          <w:rFonts w:ascii="Times New Roman" w:hAnsi="Times New Roman"/>
          <w:strike/>
          <w:sz w:val="24"/>
          <w:szCs w:val="24"/>
        </w:rPr>
        <w:t xml:space="preserve"> addition to any other requirements</w:t>
      </w:r>
      <w:r w:rsidR="002153CA" w:rsidRPr="00D92645">
        <w:rPr>
          <w:rFonts w:ascii="Times New Roman" w:hAnsi="Times New Roman"/>
          <w:strike/>
          <w:sz w:val="24"/>
          <w:szCs w:val="24"/>
          <w:u w:val="single"/>
        </w:rPr>
        <w:t xml:space="preserve"> </w:t>
      </w:r>
      <w:r w:rsidR="002153CA" w:rsidRPr="00D92645">
        <w:rPr>
          <w:rFonts w:ascii="Times New Roman" w:hAnsi="Times New Roman"/>
          <w:sz w:val="24"/>
          <w:szCs w:val="24"/>
          <w:u w:val="single"/>
        </w:rPr>
        <w:t xml:space="preserve">All courses taken to </w:t>
      </w:r>
      <w:r w:rsidR="002153CA" w:rsidRPr="00D92645">
        <w:rPr>
          <w:rFonts w:ascii="Times New Roman" w:hAnsi="Times New Roman"/>
          <w:sz w:val="24"/>
          <w:szCs w:val="24"/>
          <w:u w:val="single"/>
        </w:rPr>
        <w:lastRenderedPageBreak/>
        <w:t xml:space="preserve">satisfy the requirements must be taken for a traditional letter grade and must be passed with a grade of C- or better.  General Education courses may change from year to year. To </w:t>
      </w:r>
      <w:proofErr w:type="gramStart"/>
      <w:r w:rsidR="002153CA" w:rsidRPr="00D92645">
        <w:rPr>
          <w:rFonts w:ascii="Times New Roman" w:hAnsi="Times New Roman"/>
          <w:sz w:val="24"/>
          <w:szCs w:val="24"/>
          <w:u w:val="single"/>
        </w:rPr>
        <w:t>be used</w:t>
      </w:r>
      <w:proofErr w:type="gramEnd"/>
      <w:r w:rsidR="002153CA" w:rsidRPr="00D92645">
        <w:rPr>
          <w:rFonts w:ascii="Times New Roman" w:hAnsi="Times New Roman"/>
          <w:sz w:val="24"/>
          <w:szCs w:val="24"/>
          <w:u w:val="single"/>
        </w:rPr>
        <w:t xml:space="preserve"> for General Education credit, a course must be so designated in the catalog the semester it is taken</w:t>
      </w:r>
      <w:r w:rsidRPr="00D92645">
        <w:rPr>
          <w:rFonts w:ascii="Times New Roman" w:hAnsi="Times New Roman"/>
          <w:sz w:val="24"/>
          <w:szCs w:val="24"/>
        </w:rPr>
        <w:t xml:space="preserve">, </w:t>
      </w:r>
      <w:r w:rsidRPr="00D92645">
        <w:rPr>
          <w:rFonts w:ascii="Times New Roman" w:hAnsi="Times New Roman"/>
          <w:strike/>
          <w:sz w:val="24"/>
          <w:szCs w:val="24"/>
        </w:rPr>
        <w:t>the following General Education Requirements. Students who have completed an approved lower-division general education program at an approved Montana institution of higher education should refer to the catalog section on General Education for Transfer Students.</w:t>
      </w:r>
    </w:p>
    <w:p w:rsidR="007C4D4A" w:rsidRPr="00D92645" w:rsidRDefault="007C4D4A" w:rsidP="007C4D4A">
      <w:pPr>
        <w:spacing w:before="100" w:beforeAutospacing="1" w:after="100" w:afterAutospacing="1"/>
        <w:ind w:firstLine="0"/>
        <w:rPr>
          <w:rFonts w:ascii="Times New Roman" w:hAnsi="Times New Roman"/>
          <w:strike/>
          <w:sz w:val="24"/>
          <w:szCs w:val="24"/>
        </w:rPr>
      </w:pPr>
      <w:r w:rsidRPr="00D92645">
        <w:rPr>
          <w:rFonts w:ascii="Times New Roman" w:hAnsi="Times New Roman"/>
          <w:strike/>
          <w:sz w:val="24"/>
          <w:szCs w:val="24"/>
        </w:rPr>
        <w:t xml:space="preserve">All General Education courses must be at least </w:t>
      </w:r>
      <w:proofErr w:type="gramStart"/>
      <w:r w:rsidRPr="00D92645">
        <w:rPr>
          <w:rFonts w:ascii="Times New Roman" w:hAnsi="Times New Roman"/>
          <w:strike/>
          <w:sz w:val="24"/>
          <w:szCs w:val="24"/>
        </w:rPr>
        <w:t>3</w:t>
      </w:r>
      <w:proofErr w:type="gramEnd"/>
      <w:r w:rsidRPr="00D92645">
        <w:rPr>
          <w:rFonts w:ascii="Times New Roman" w:hAnsi="Times New Roman"/>
          <w:strike/>
          <w:sz w:val="24"/>
          <w:szCs w:val="24"/>
        </w:rPr>
        <w:t xml:space="preserve"> credits, must be introductory and foundational, and have no more than one pre-requisite. The General Education Committee may allow exceptions for upper-division courses, courses fewer than three credits, and for courses with more than one pre-requisite, if the proposing unit can justify such an exception.</w:t>
      </w:r>
    </w:p>
    <w:p w:rsidR="007C4D4A" w:rsidRPr="00D92645" w:rsidRDefault="007C4D4A" w:rsidP="007C4D4A">
      <w:pPr>
        <w:spacing w:before="100" w:beforeAutospacing="1" w:after="100" w:afterAutospacing="1"/>
        <w:ind w:firstLine="0"/>
        <w:rPr>
          <w:rFonts w:ascii="Times New Roman" w:hAnsi="Times New Roman"/>
          <w:strike/>
          <w:sz w:val="24"/>
          <w:szCs w:val="24"/>
        </w:rPr>
      </w:pPr>
      <w:r w:rsidRPr="00D92645">
        <w:rPr>
          <w:rFonts w:ascii="Times New Roman" w:hAnsi="Times New Roman"/>
          <w:strike/>
          <w:sz w:val="24"/>
          <w:szCs w:val="24"/>
        </w:rPr>
        <w:t>Some courses may satisfy both the "Writing Course" requirement (1.2) and one of the Groups IV through XI.</w:t>
      </w:r>
      <w:r w:rsidR="00D92645">
        <w:rPr>
          <w:rFonts w:ascii="Times New Roman" w:hAnsi="Times New Roman"/>
          <w:strike/>
          <w:sz w:val="24"/>
          <w:szCs w:val="24"/>
        </w:rPr>
        <w:br/>
      </w:r>
      <w:bookmarkStart w:id="0" w:name="_GoBack"/>
      <w:bookmarkEnd w:id="0"/>
      <w:r w:rsidRPr="00D92645">
        <w:rPr>
          <w:rFonts w:ascii="Times New Roman" w:hAnsi="Times New Roman"/>
          <w:strike/>
          <w:sz w:val="24"/>
          <w:szCs w:val="24"/>
        </w:rPr>
        <w:t>Some courses may satisfy both Group II and Group III Symbolic Systems.</w:t>
      </w:r>
      <w:r w:rsidR="00D92645">
        <w:rPr>
          <w:rFonts w:ascii="Times New Roman" w:hAnsi="Times New Roman"/>
          <w:strike/>
          <w:sz w:val="24"/>
          <w:szCs w:val="24"/>
        </w:rPr>
        <w:br/>
      </w:r>
      <w:r w:rsidRPr="00D92645">
        <w:rPr>
          <w:rFonts w:ascii="Times New Roman" w:hAnsi="Times New Roman"/>
          <w:strike/>
          <w:sz w:val="24"/>
          <w:szCs w:val="24"/>
        </w:rPr>
        <w:t>Some courses may satisfy both Group IX and one of the Groups IV through VIII.</w:t>
      </w:r>
      <w:r w:rsidR="00D92645">
        <w:rPr>
          <w:rFonts w:ascii="Times New Roman" w:hAnsi="Times New Roman"/>
          <w:strike/>
          <w:sz w:val="24"/>
          <w:szCs w:val="24"/>
        </w:rPr>
        <w:br/>
      </w:r>
      <w:r w:rsidRPr="00D92645">
        <w:rPr>
          <w:rFonts w:ascii="Times New Roman" w:hAnsi="Times New Roman"/>
          <w:strike/>
          <w:sz w:val="24"/>
          <w:szCs w:val="24"/>
        </w:rPr>
        <w:t>Some courses may satisfy both Group X and one of the Groups IV through VIII. No course may satisfy both Group IX and Group X.</w:t>
      </w:r>
    </w:p>
    <w:p w:rsidR="007C4D4A" w:rsidRPr="00D92645" w:rsidRDefault="007C4D4A" w:rsidP="007C4D4A">
      <w:pPr>
        <w:spacing w:before="100" w:beforeAutospacing="1" w:after="100" w:afterAutospacing="1"/>
        <w:ind w:firstLine="0"/>
        <w:rPr>
          <w:rFonts w:ascii="Times New Roman" w:hAnsi="Times New Roman"/>
          <w:sz w:val="24"/>
          <w:szCs w:val="24"/>
        </w:rPr>
      </w:pPr>
      <w:r w:rsidRPr="00D92645">
        <w:rPr>
          <w:rFonts w:ascii="Times New Roman" w:hAnsi="Times New Roman"/>
          <w:sz w:val="24"/>
          <w:szCs w:val="24"/>
        </w:rPr>
        <w:t xml:space="preserve">Many </w:t>
      </w:r>
      <w:r w:rsidRPr="00D92645">
        <w:rPr>
          <w:rFonts w:ascii="Times New Roman" w:hAnsi="Times New Roman"/>
          <w:strike/>
          <w:sz w:val="24"/>
          <w:szCs w:val="24"/>
        </w:rPr>
        <w:t>of the</w:t>
      </w:r>
      <w:r w:rsidRPr="00D92645">
        <w:rPr>
          <w:rFonts w:ascii="Times New Roman" w:hAnsi="Times New Roman"/>
          <w:sz w:val="24"/>
          <w:szCs w:val="24"/>
        </w:rPr>
        <w:t xml:space="preserve"> General Education courses </w:t>
      </w:r>
      <w:r w:rsidRPr="00D92645">
        <w:rPr>
          <w:rFonts w:ascii="Times New Roman" w:hAnsi="Times New Roman"/>
          <w:strike/>
          <w:sz w:val="24"/>
          <w:szCs w:val="24"/>
        </w:rPr>
        <w:t>listed below</w:t>
      </w:r>
      <w:r w:rsidRPr="00D92645">
        <w:rPr>
          <w:rFonts w:ascii="Times New Roman" w:hAnsi="Times New Roman"/>
          <w:sz w:val="24"/>
          <w:szCs w:val="24"/>
        </w:rPr>
        <w:t xml:space="preserve"> require prerequisites; </w:t>
      </w:r>
      <w:proofErr w:type="gramStart"/>
      <w:r w:rsidRPr="00D92645">
        <w:rPr>
          <w:rFonts w:ascii="Times New Roman" w:hAnsi="Times New Roman"/>
          <w:sz w:val="24"/>
          <w:szCs w:val="24"/>
        </w:rPr>
        <w:t>these  </w:t>
      </w:r>
      <w:r w:rsidRPr="00D92645">
        <w:rPr>
          <w:rFonts w:ascii="Times New Roman" w:hAnsi="Times New Roman"/>
          <w:strike/>
          <w:sz w:val="24"/>
          <w:szCs w:val="24"/>
        </w:rPr>
        <w:t>be</w:t>
      </w:r>
      <w:proofErr w:type="gramEnd"/>
      <w:r w:rsidRPr="00D92645">
        <w:rPr>
          <w:rFonts w:ascii="Times New Roman" w:hAnsi="Times New Roman"/>
          <w:strike/>
          <w:sz w:val="24"/>
          <w:szCs w:val="24"/>
        </w:rPr>
        <w:t xml:space="preserve"> met before registration. The prerequisites</w:t>
      </w:r>
      <w:r w:rsidRPr="00D92645">
        <w:rPr>
          <w:rFonts w:ascii="Times New Roman" w:hAnsi="Times New Roman"/>
          <w:sz w:val="24"/>
          <w:szCs w:val="24"/>
        </w:rPr>
        <w:t xml:space="preserve"> </w:t>
      </w:r>
      <w:proofErr w:type="gramStart"/>
      <w:r w:rsidRPr="00D92645">
        <w:rPr>
          <w:rFonts w:ascii="Times New Roman" w:hAnsi="Times New Roman"/>
          <w:sz w:val="24"/>
          <w:szCs w:val="24"/>
        </w:rPr>
        <w:t>are listed</w:t>
      </w:r>
      <w:proofErr w:type="gramEnd"/>
      <w:r w:rsidRPr="00D92645">
        <w:rPr>
          <w:rFonts w:ascii="Times New Roman" w:hAnsi="Times New Roman"/>
          <w:sz w:val="24"/>
          <w:szCs w:val="24"/>
        </w:rPr>
        <w:t xml:space="preserve"> in the individual course descriptions.</w:t>
      </w:r>
    </w:p>
    <w:p w:rsidR="007C4D4A" w:rsidRPr="00D92645" w:rsidRDefault="007C4D4A" w:rsidP="007C4D4A">
      <w:pPr>
        <w:spacing w:before="100" w:beforeAutospacing="1" w:after="100" w:afterAutospacing="1"/>
        <w:ind w:firstLine="0"/>
        <w:rPr>
          <w:rFonts w:ascii="Times New Roman" w:hAnsi="Times New Roman"/>
          <w:strike/>
          <w:sz w:val="24"/>
          <w:szCs w:val="24"/>
        </w:rPr>
      </w:pPr>
      <w:r w:rsidRPr="00D92645">
        <w:rPr>
          <w:rFonts w:ascii="Times New Roman" w:hAnsi="Times New Roman"/>
          <w:b/>
          <w:bCs/>
          <w:strike/>
          <w:sz w:val="24"/>
          <w:szCs w:val="24"/>
        </w:rPr>
        <w:t>NOTE! ***All courses taken to satisfy General Education Requirements must be taken for a traditional letter grade and must be passed with a grade of C- or better***.</w:t>
      </w:r>
    </w:p>
    <w:p w:rsidR="007C4D4A" w:rsidRPr="00D92645" w:rsidRDefault="007C4D4A" w:rsidP="007C4D4A">
      <w:pPr>
        <w:spacing w:before="100" w:beforeAutospacing="1" w:after="100" w:afterAutospacing="1"/>
        <w:ind w:firstLine="0"/>
        <w:rPr>
          <w:rFonts w:ascii="Times New Roman" w:hAnsi="Times New Roman"/>
          <w:strike/>
          <w:sz w:val="24"/>
          <w:szCs w:val="24"/>
        </w:rPr>
      </w:pPr>
      <w:r w:rsidRPr="00D92645">
        <w:rPr>
          <w:rFonts w:ascii="Times New Roman" w:hAnsi="Times New Roman"/>
          <w:strike/>
          <w:sz w:val="24"/>
          <w:szCs w:val="24"/>
        </w:rPr>
        <w:t xml:space="preserve">Students </w:t>
      </w:r>
      <w:proofErr w:type="gramStart"/>
      <w:r w:rsidRPr="00D92645">
        <w:rPr>
          <w:rFonts w:ascii="Times New Roman" w:hAnsi="Times New Roman"/>
          <w:strike/>
          <w:sz w:val="24"/>
          <w:szCs w:val="24"/>
        </w:rPr>
        <w:t>are cautioned</w:t>
      </w:r>
      <w:proofErr w:type="gramEnd"/>
      <w:r w:rsidRPr="00D92645">
        <w:rPr>
          <w:rFonts w:ascii="Times New Roman" w:hAnsi="Times New Roman"/>
          <w:strike/>
          <w:sz w:val="24"/>
          <w:szCs w:val="24"/>
        </w:rPr>
        <w:t xml:space="preserve"> that approved courses may change from year to year. To </w:t>
      </w:r>
      <w:proofErr w:type="gramStart"/>
      <w:r w:rsidRPr="00D92645">
        <w:rPr>
          <w:rFonts w:ascii="Times New Roman" w:hAnsi="Times New Roman"/>
          <w:strike/>
          <w:sz w:val="24"/>
          <w:szCs w:val="24"/>
        </w:rPr>
        <w:t>be used</w:t>
      </w:r>
      <w:proofErr w:type="gramEnd"/>
      <w:r w:rsidRPr="00D92645">
        <w:rPr>
          <w:rFonts w:ascii="Times New Roman" w:hAnsi="Times New Roman"/>
          <w:strike/>
          <w:sz w:val="24"/>
          <w:szCs w:val="24"/>
        </w:rPr>
        <w:t xml:space="preserve"> for General Education credit, a course must be listed as approved in the Class Schedule for the semester a student registers for it.</w:t>
      </w:r>
    </w:p>
    <w:p w:rsidR="007C4D4A" w:rsidRPr="00D92645" w:rsidRDefault="007C4D4A" w:rsidP="007C4D4A">
      <w:pPr>
        <w:pStyle w:val="NormalWeb"/>
        <w:shd w:val="clear" w:color="auto" w:fill="FFFFFF"/>
        <w:spacing w:before="0" w:after="0"/>
        <w:ind w:firstLine="0"/>
        <w:textAlignment w:val="baseline"/>
        <w:rPr>
          <w:rFonts w:ascii="Times New Roman" w:hAnsi="Times New Roman" w:cs="Times New Roman"/>
          <w:color w:val="2D3033"/>
          <w:sz w:val="24"/>
          <w:szCs w:val="24"/>
          <w:u w:val="single"/>
        </w:rPr>
      </w:pPr>
      <w:r w:rsidRPr="00D92645">
        <w:rPr>
          <w:rFonts w:ascii="Times New Roman" w:hAnsi="Times New Roman" w:cs="Times New Roman"/>
          <w:color w:val="2D3033"/>
          <w:sz w:val="24"/>
          <w:szCs w:val="24"/>
          <w:u w:val="single"/>
        </w:rPr>
        <w:t xml:space="preserve">Students who have completed an approved lower-division General Education program at an </w:t>
      </w:r>
      <w:proofErr w:type="gramStart"/>
      <w:r w:rsidRPr="00D92645">
        <w:rPr>
          <w:rFonts w:ascii="Times New Roman" w:hAnsi="Times New Roman" w:cs="Times New Roman"/>
          <w:color w:val="2D3033"/>
          <w:sz w:val="24"/>
          <w:szCs w:val="24"/>
          <w:u w:val="single"/>
        </w:rPr>
        <w:t>accredited  institution</w:t>
      </w:r>
      <w:proofErr w:type="gramEnd"/>
      <w:r w:rsidRPr="00D92645">
        <w:rPr>
          <w:rFonts w:ascii="Times New Roman" w:hAnsi="Times New Roman" w:cs="Times New Roman"/>
          <w:color w:val="2D3033"/>
          <w:sz w:val="24"/>
          <w:szCs w:val="24"/>
          <w:u w:val="single"/>
        </w:rPr>
        <w:t xml:space="preserve"> of higher education should refer to the Catalog section on </w:t>
      </w:r>
      <w:hyperlink r:id="rId4" w:history="1">
        <w:r w:rsidRPr="00D92645">
          <w:rPr>
            <w:rStyle w:val="Hyperlink"/>
            <w:rFonts w:ascii="Times New Roman" w:hAnsi="Times New Roman" w:cs="Times New Roman"/>
            <w:sz w:val="24"/>
            <w:szCs w:val="24"/>
          </w:rPr>
          <w:t>General Education for Transfer Students.</w:t>
        </w:r>
      </w:hyperlink>
    </w:p>
    <w:p w:rsidR="007C4D4A" w:rsidRDefault="007C4D4A" w:rsidP="007C2826">
      <w:pPr>
        <w:pStyle w:val="NormalWeb"/>
        <w:shd w:val="clear" w:color="auto" w:fill="FFFFFF"/>
        <w:spacing w:before="0" w:after="0"/>
        <w:textAlignment w:val="baseline"/>
        <w:rPr>
          <w:rFonts w:ascii="Helvetica" w:hAnsi="Helvetica"/>
          <w:color w:val="2D3033"/>
          <w:sz w:val="21"/>
          <w:szCs w:val="21"/>
        </w:rPr>
      </w:pPr>
    </w:p>
    <w:p w:rsidR="007C4D4A" w:rsidRDefault="007C4D4A" w:rsidP="007C2826">
      <w:pPr>
        <w:pStyle w:val="NormalWeb"/>
        <w:shd w:val="clear" w:color="auto" w:fill="FFFFFF"/>
        <w:spacing w:before="0" w:after="0"/>
        <w:textAlignment w:val="baseline"/>
        <w:rPr>
          <w:rFonts w:ascii="Helvetica" w:hAnsi="Helvetica"/>
          <w:color w:val="2D3033"/>
          <w:sz w:val="21"/>
          <w:szCs w:val="21"/>
        </w:rPr>
      </w:pPr>
    </w:p>
    <w:p w:rsidR="007C4D4A" w:rsidRDefault="007C4D4A" w:rsidP="007C2826">
      <w:pPr>
        <w:pStyle w:val="NormalWeb"/>
        <w:shd w:val="clear" w:color="auto" w:fill="FFFFFF"/>
        <w:spacing w:before="0" w:after="0"/>
        <w:textAlignment w:val="baseline"/>
        <w:rPr>
          <w:rFonts w:ascii="Helvetica" w:hAnsi="Helvetica"/>
          <w:color w:val="2D3033"/>
          <w:sz w:val="21"/>
          <w:szCs w:val="21"/>
        </w:rPr>
      </w:pPr>
    </w:p>
    <w:p w:rsidR="007C2826" w:rsidRDefault="007C2826" w:rsidP="007C2826">
      <w:pPr>
        <w:pStyle w:val="NormalWeb"/>
        <w:shd w:val="clear" w:color="auto" w:fill="FFFFFF"/>
        <w:spacing w:before="0" w:after="0"/>
        <w:textAlignment w:val="baseline"/>
        <w:rPr>
          <w:rFonts w:ascii="Helvetica" w:hAnsi="Helvetica"/>
          <w:color w:val="2D3033"/>
          <w:sz w:val="21"/>
          <w:szCs w:val="21"/>
          <w:u w:val="single"/>
        </w:rPr>
      </w:pPr>
      <w:r w:rsidRPr="007C4D4A">
        <w:rPr>
          <w:rFonts w:ascii="Helvetica" w:hAnsi="Helvetica"/>
          <w:color w:val="2D3033"/>
          <w:sz w:val="21"/>
          <w:szCs w:val="21"/>
          <w:u w:val="single"/>
        </w:rPr>
        <w:t xml:space="preserve">[Faculty developing General Education courses </w:t>
      </w:r>
      <w:r w:rsidR="00A628EA" w:rsidRPr="007C4D4A">
        <w:rPr>
          <w:rFonts w:ascii="Helvetica" w:hAnsi="Helvetica"/>
          <w:color w:val="2D3033"/>
          <w:sz w:val="21"/>
          <w:szCs w:val="21"/>
          <w:u w:val="single"/>
        </w:rPr>
        <w:t xml:space="preserve">must complete the </w:t>
      </w:r>
      <w:hyperlink r:id="rId5" w:history="1">
        <w:r w:rsidR="00A628EA" w:rsidRPr="007C4D4A">
          <w:rPr>
            <w:rStyle w:val="Hyperlink"/>
            <w:rFonts w:ascii="Helvetica" w:hAnsi="Helvetica"/>
            <w:sz w:val="21"/>
            <w:szCs w:val="21"/>
          </w:rPr>
          <w:t>appropriate forms</w:t>
        </w:r>
      </w:hyperlink>
      <w:r w:rsidR="00A628EA" w:rsidRPr="007C4D4A">
        <w:rPr>
          <w:rFonts w:ascii="Helvetica" w:hAnsi="Helvetica"/>
          <w:color w:val="2D3033"/>
          <w:sz w:val="21"/>
          <w:szCs w:val="21"/>
          <w:u w:val="single"/>
        </w:rPr>
        <w:t xml:space="preserve">].  </w:t>
      </w:r>
    </w:p>
    <w:p w:rsidR="007C4D4A" w:rsidRPr="007C4D4A" w:rsidRDefault="007C4D4A" w:rsidP="007C2826">
      <w:pPr>
        <w:pStyle w:val="NormalWeb"/>
        <w:shd w:val="clear" w:color="auto" w:fill="FFFFFF"/>
        <w:spacing w:before="0" w:after="0"/>
        <w:textAlignment w:val="baseline"/>
        <w:rPr>
          <w:rFonts w:ascii="Helvetica" w:hAnsi="Helvetica"/>
          <w:color w:val="2D3033"/>
          <w:sz w:val="21"/>
          <w:szCs w:val="21"/>
          <w:u w:val="single"/>
        </w:rPr>
      </w:pPr>
    </w:p>
    <w:tbl>
      <w:tblPr>
        <w:tblW w:w="5000" w:type="pct"/>
        <w:tblBorders>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063"/>
        <w:gridCol w:w="1297"/>
      </w:tblGrid>
      <w:tr w:rsidR="007C2826" w:rsidRPr="005E167F" w:rsidTr="00C553BB">
        <w:trPr>
          <w:tblHeader/>
        </w:trPr>
        <w:tc>
          <w:tcPr>
            <w:tcW w:w="0" w:type="auto"/>
            <w:tcBorders>
              <w:top w:val="single" w:sz="6" w:space="0" w:color="DDDDDD"/>
              <w:left w:val="nil"/>
              <w:bottom w:val="single" w:sz="6" w:space="0" w:color="DDDDDD"/>
              <w:right w:val="nil"/>
            </w:tcBorders>
            <w:shd w:val="clear" w:color="auto" w:fill="F2F2F2"/>
            <w:tcMar>
              <w:top w:w="120" w:type="dxa"/>
              <w:left w:w="120" w:type="dxa"/>
              <w:bottom w:w="120" w:type="dxa"/>
              <w:right w:w="120" w:type="dxa"/>
            </w:tcMar>
            <w:hideMark/>
          </w:tcPr>
          <w:p w:rsidR="007C2826" w:rsidRPr="005E167F" w:rsidRDefault="007C2826" w:rsidP="00C553BB">
            <w:pPr>
              <w:rPr>
                <w:rFonts w:ascii="inherit" w:hAnsi="inherit"/>
                <w:b/>
                <w:bCs/>
                <w:color w:val="2D3033"/>
              </w:rPr>
            </w:pPr>
            <w:r w:rsidRPr="005E167F">
              <w:rPr>
                <w:rFonts w:ascii="inherit" w:hAnsi="inherit"/>
                <w:b/>
                <w:bCs/>
                <w:color w:val="2D3033"/>
              </w:rPr>
              <w:t>Group Letter and Description</w:t>
            </w:r>
          </w:p>
        </w:tc>
        <w:tc>
          <w:tcPr>
            <w:tcW w:w="0" w:type="auto"/>
            <w:tcBorders>
              <w:top w:val="single" w:sz="6" w:space="0" w:color="DDDDDD"/>
              <w:left w:val="nil"/>
              <w:bottom w:val="single" w:sz="6" w:space="0" w:color="DDDDDD"/>
              <w:right w:val="nil"/>
            </w:tcBorders>
            <w:shd w:val="clear" w:color="auto" w:fill="F2F2F2"/>
            <w:tcMar>
              <w:top w:w="120" w:type="dxa"/>
              <w:left w:w="120" w:type="dxa"/>
              <w:bottom w:w="120" w:type="dxa"/>
              <w:right w:w="120" w:type="dxa"/>
            </w:tcMar>
            <w:hideMark/>
          </w:tcPr>
          <w:p w:rsidR="007C2826" w:rsidRPr="005E167F" w:rsidRDefault="007C2826" w:rsidP="00C553BB">
            <w:pPr>
              <w:rPr>
                <w:rFonts w:ascii="inherit" w:hAnsi="inherit"/>
                <w:b/>
                <w:bCs/>
                <w:color w:val="2D3033"/>
              </w:rPr>
            </w:pPr>
            <w:r w:rsidRPr="005E167F">
              <w:rPr>
                <w:rFonts w:ascii="inherit" w:hAnsi="inherit"/>
                <w:b/>
                <w:bCs/>
                <w:color w:val="2D3033"/>
              </w:rPr>
              <w:t>Credits</w:t>
            </w:r>
          </w:p>
        </w:tc>
      </w:tr>
      <w:tr w:rsidR="007C2826" w:rsidRPr="005E167F" w:rsidTr="00C553B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C2826" w:rsidRPr="005E167F" w:rsidRDefault="007C2826" w:rsidP="00C553BB">
            <w:pPr>
              <w:rPr>
                <w:rFonts w:ascii="inherit" w:hAnsi="inherit"/>
                <w:color w:val="2D3033"/>
              </w:rPr>
            </w:pPr>
            <w:r w:rsidRPr="005E167F">
              <w:rPr>
                <w:rFonts w:ascii="inherit" w:hAnsi="inherit"/>
                <w:color w:val="2D3033"/>
              </w:rPr>
              <w:t>Group I: English Writing Skills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C2826" w:rsidRPr="005E167F" w:rsidRDefault="007C2826" w:rsidP="00C553BB">
            <w:pPr>
              <w:rPr>
                <w:rFonts w:ascii="inherit" w:hAnsi="inherit"/>
                <w:color w:val="2D3033"/>
              </w:rPr>
            </w:pPr>
          </w:p>
        </w:tc>
      </w:tr>
      <w:tr w:rsidR="007C2826" w:rsidRPr="005E167F" w:rsidTr="00C553BB">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C2826" w:rsidRPr="005E167F" w:rsidRDefault="007C2826" w:rsidP="00C553BB">
            <w:pPr>
              <w:textAlignment w:val="baseline"/>
              <w:rPr>
                <w:rFonts w:ascii="inherit" w:hAnsi="inherit"/>
                <w:color w:val="2D3033"/>
              </w:rPr>
            </w:pPr>
            <w:r w:rsidRPr="005E167F">
              <w:rPr>
                <w:rFonts w:ascii="inherit" w:hAnsi="inherit"/>
                <w:color w:val="2D3033"/>
              </w:rPr>
              <w:t xml:space="preserve">1. </w:t>
            </w:r>
            <w:r w:rsidRPr="00A628EA">
              <w:rPr>
                <w:rFonts w:ascii="inherit" w:hAnsi="inherit"/>
                <w:strike/>
                <w:color w:val="2D3033"/>
              </w:rPr>
              <w:t>Composition course </w:t>
            </w:r>
            <w:hyperlink r:id="rId6" w:tooltip="WRIT 101" w:history="1">
              <w:r w:rsidRPr="00A628EA">
                <w:rPr>
                  <w:rFonts w:ascii="inherit" w:hAnsi="inherit"/>
                  <w:strike/>
                  <w:color w:val="5E0009"/>
                  <w:bdr w:val="none" w:sz="0" w:space="0" w:color="auto" w:frame="1"/>
                </w:rPr>
                <w:t>WRIT 101</w:t>
              </w:r>
            </w:hyperlink>
            <w:r w:rsidRPr="00A628EA">
              <w:rPr>
                <w:rFonts w:ascii="inherit" w:hAnsi="inherit"/>
                <w:strike/>
                <w:color w:val="2D3033"/>
              </w:rPr>
              <w:t> or 201 (ENEX 101, WTS 101, ENEX 200) or an equivalent</w:t>
            </w:r>
            <w:r w:rsidR="00A628EA">
              <w:rPr>
                <w:rFonts w:ascii="inherit" w:hAnsi="inherit"/>
                <w:color w:val="2D3033"/>
              </w:rPr>
              <w:t xml:space="preserve">  </w:t>
            </w:r>
            <w:r w:rsidR="00A628EA">
              <w:t>Introductory College Writing (WRIT 101)</w:t>
            </w:r>
            <w:r w:rsidR="00A628EA">
              <w:tab/>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C2826" w:rsidRPr="005E167F" w:rsidRDefault="007C4D4A" w:rsidP="00C553BB">
            <w:pPr>
              <w:rPr>
                <w:rFonts w:ascii="inherit" w:hAnsi="inherit"/>
                <w:color w:val="2D3033"/>
              </w:rPr>
            </w:pPr>
            <w:r>
              <w:rPr>
                <w:rFonts w:ascii="inherit" w:hAnsi="inherit"/>
                <w:color w:val="2D3033"/>
              </w:rPr>
              <w:t xml:space="preserve"> </w:t>
            </w:r>
            <w:r w:rsidR="007C2826" w:rsidRPr="005E167F">
              <w:rPr>
                <w:rFonts w:ascii="inherit" w:hAnsi="inherit"/>
                <w:color w:val="2D3033"/>
              </w:rPr>
              <w:t>3</w:t>
            </w:r>
          </w:p>
        </w:tc>
      </w:tr>
      <w:tr w:rsidR="007C2826" w:rsidRPr="005E167F" w:rsidTr="00C553B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C2826" w:rsidRPr="005E167F" w:rsidRDefault="007C2826" w:rsidP="00C553BB">
            <w:pPr>
              <w:textAlignment w:val="baseline"/>
              <w:rPr>
                <w:rFonts w:ascii="inherit" w:hAnsi="inherit"/>
                <w:color w:val="2D3033"/>
              </w:rPr>
            </w:pPr>
            <w:r w:rsidRPr="005E167F">
              <w:rPr>
                <w:rFonts w:ascii="inherit" w:hAnsi="inherit"/>
                <w:color w:val="2D3033"/>
              </w:rPr>
              <w:t xml:space="preserve">2. </w:t>
            </w:r>
            <w:r w:rsidRPr="00A628EA">
              <w:rPr>
                <w:rFonts w:ascii="inherit" w:hAnsi="inherit"/>
                <w:strike/>
                <w:color w:val="2D3033"/>
              </w:rPr>
              <w:t>One designated</w:t>
            </w:r>
            <w:r w:rsidRPr="005E167F">
              <w:rPr>
                <w:rFonts w:ascii="inherit" w:hAnsi="inherit"/>
                <w:color w:val="2D3033"/>
              </w:rPr>
              <w:t xml:space="preserve"> </w:t>
            </w:r>
            <w:r w:rsidR="00A628EA">
              <w:rPr>
                <w:rFonts w:ascii="inherit" w:hAnsi="inherit"/>
                <w:color w:val="2D3033"/>
              </w:rPr>
              <w:t xml:space="preserve"> </w:t>
            </w:r>
            <w:r w:rsidR="00A628EA" w:rsidRPr="00A628EA">
              <w:rPr>
                <w:rFonts w:ascii="inherit" w:hAnsi="inherit"/>
                <w:color w:val="2D3033"/>
                <w:u w:val="single"/>
              </w:rPr>
              <w:t xml:space="preserve">Intermediate </w:t>
            </w:r>
            <w:r w:rsidR="00D92645">
              <w:rPr>
                <w:rFonts w:ascii="inherit" w:hAnsi="inherit"/>
                <w:color w:val="2D3033"/>
                <w:u w:val="single"/>
              </w:rPr>
              <w:t xml:space="preserve"> College </w:t>
            </w:r>
            <w:r w:rsidRPr="005E167F">
              <w:rPr>
                <w:rFonts w:ascii="inherit" w:hAnsi="inherit"/>
                <w:color w:val="2D3033"/>
              </w:rPr>
              <w:t>Writing Course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C2826" w:rsidRPr="005E167F" w:rsidRDefault="007C4D4A" w:rsidP="00C553BB">
            <w:pPr>
              <w:rPr>
                <w:rFonts w:ascii="inherit" w:hAnsi="inherit"/>
                <w:color w:val="2D3033"/>
              </w:rPr>
            </w:pPr>
            <w:r>
              <w:rPr>
                <w:rFonts w:ascii="inherit" w:hAnsi="inherit"/>
                <w:color w:val="2D3033"/>
              </w:rPr>
              <w:t xml:space="preserve"> </w:t>
            </w:r>
            <w:r w:rsidR="007C2826" w:rsidRPr="005E167F">
              <w:rPr>
                <w:rFonts w:ascii="inherit" w:hAnsi="inherit"/>
                <w:color w:val="2D3033"/>
              </w:rPr>
              <w:t>3</w:t>
            </w:r>
          </w:p>
        </w:tc>
      </w:tr>
      <w:tr w:rsidR="007C2826" w:rsidRPr="005E167F" w:rsidTr="00C553BB">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C2826" w:rsidRPr="005E167F" w:rsidRDefault="007C2826" w:rsidP="00C553BB">
            <w:pPr>
              <w:textAlignment w:val="baseline"/>
              <w:rPr>
                <w:rFonts w:ascii="inherit" w:hAnsi="inherit"/>
                <w:color w:val="2D3033"/>
              </w:rPr>
            </w:pPr>
            <w:r w:rsidRPr="005E167F">
              <w:rPr>
                <w:rFonts w:ascii="inherit" w:hAnsi="inherit"/>
                <w:color w:val="2D3033"/>
              </w:rPr>
              <w:lastRenderedPageBreak/>
              <w:t xml:space="preserve">3. </w:t>
            </w:r>
            <w:r w:rsidRPr="00A628EA">
              <w:rPr>
                <w:rFonts w:ascii="inherit" w:hAnsi="inherit"/>
                <w:strike/>
                <w:color w:val="2D3033"/>
              </w:rPr>
              <w:t>Upper-Division</w:t>
            </w:r>
            <w:r w:rsidRPr="005E167F">
              <w:rPr>
                <w:rFonts w:ascii="inherit" w:hAnsi="inherit"/>
                <w:color w:val="2D3033"/>
              </w:rPr>
              <w:t xml:space="preserve"> </w:t>
            </w:r>
            <w:r w:rsidR="00A628EA">
              <w:rPr>
                <w:rFonts w:ascii="inherit" w:hAnsi="inherit"/>
                <w:color w:val="2D3033"/>
              </w:rPr>
              <w:t xml:space="preserve"> </w:t>
            </w:r>
            <w:r w:rsidR="00A628EA" w:rsidRPr="00D92645">
              <w:rPr>
                <w:rFonts w:ascii="inherit" w:hAnsi="inherit"/>
                <w:color w:val="2D3033"/>
                <w:u w:val="single"/>
              </w:rPr>
              <w:t xml:space="preserve">Advanced </w:t>
            </w:r>
            <w:r w:rsidR="00D92645" w:rsidRPr="00D92645">
              <w:rPr>
                <w:rFonts w:ascii="inherit" w:hAnsi="inherit"/>
                <w:color w:val="2D3033"/>
                <w:u w:val="single"/>
              </w:rPr>
              <w:t>College</w:t>
            </w:r>
            <w:r w:rsidR="00D92645">
              <w:rPr>
                <w:rFonts w:ascii="inherit" w:hAnsi="inherit"/>
                <w:color w:val="2D3033"/>
              </w:rPr>
              <w:t xml:space="preserve"> </w:t>
            </w:r>
            <w:r w:rsidRPr="005E167F">
              <w:rPr>
                <w:rFonts w:ascii="inherit" w:hAnsi="inherit"/>
                <w:color w:val="2D3033"/>
              </w:rPr>
              <w:t>Writing Requirement (as specified by major department)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C2826" w:rsidRPr="005E167F" w:rsidRDefault="007C4D4A" w:rsidP="007C4D4A">
            <w:pPr>
              <w:textAlignment w:val="baseline"/>
              <w:rPr>
                <w:rFonts w:ascii="inherit" w:hAnsi="inherit"/>
                <w:color w:val="2D3033"/>
              </w:rPr>
            </w:pPr>
            <w:r>
              <w:rPr>
                <w:rFonts w:ascii="inherit" w:hAnsi="inherit"/>
                <w:color w:val="2D3033"/>
              </w:rPr>
              <w:t xml:space="preserve"> </w:t>
            </w:r>
            <w:r w:rsidR="00A628EA">
              <w:rPr>
                <w:rFonts w:ascii="inherit" w:hAnsi="inherit"/>
                <w:color w:val="2D3033"/>
              </w:rPr>
              <w:t>3</w:t>
            </w:r>
          </w:p>
        </w:tc>
      </w:tr>
      <w:tr w:rsidR="007C2826" w:rsidRPr="005E167F" w:rsidTr="00C553B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C2826" w:rsidRPr="005E167F" w:rsidRDefault="007C2826" w:rsidP="00C553BB">
            <w:pPr>
              <w:rPr>
                <w:rFonts w:ascii="inherit" w:hAnsi="inherit"/>
                <w:color w:val="2D3033"/>
              </w:rPr>
            </w:pPr>
            <w:r w:rsidRPr="005E167F">
              <w:rPr>
                <w:rFonts w:ascii="inherit" w:hAnsi="inherit"/>
                <w:color w:val="2D3033"/>
              </w:rPr>
              <w:t>Group II: Mathematics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C2826" w:rsidRPr="005E167F" w:rsidRDefault="007C2826" w:rsidP="00C553BB">
            <w:pPr>
              <w:rPr>
                <w:rFonts w:ascii="inherit" w:hAnsi="inherit"/>
                <w:color w:val="2D3033"/>
              </w:rPr>
            </w:pPr>
            <w:r w:rsidRPr="005E167F">
              <w:rPr>
                <w:rFonts w:ascii="inherit" w:hAnsi="inherit"/>
                <w:color w:val="2D3033"/>
              </w:rPr>
              <w:t>3</w:t>
            </w:r>
          </w:p>
        </w:tc>
      </w:tr>
      <w:tr w:rsidR="007C2826" w:rsidRPr="005E167F" w:rsidTr="00C553BB">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C2826" w:rsidRPr="005E167F" w:rsidRDefault="007C2826" w:rsidP="00C553BB">
            <w:pPr>
              <w:rPr>
                <w:rFonts w:ascii="inherit" w:hAnsi="inherit"/>
                <w:color w:val="2D3033"/>
              </w:rPr>
            </w:pPr>
            <w:r w:rsidRPr="005E167F">
              <w:rPr>
                <w:rFonts w:ascii="inherit" w:hAnsi="inherit"/>
                <w:color w:val="2D3033"/>
              </w:rPr>
              <w:t xml:space="preserve">Group III: Modern and Classical Languages - successful completion of a second semester language (test out provisions apply). Some majors </w:t>
            </w:r>
            <w:proofErr w:type="gramStart"/>
            <w:r w:rsidRPr="005E167F">
              <w:rPr>
                <w:rFonts w:ascii="inherit" w:hAnsi="inherit"/>
                <w:color w:val="2D3033"/>
              </w:rPr>
              <w:t>have been granted</w:t>
            </w:r>
            <w:proofErr w:type="gramEnd"/>
            <w:r w:rsidRPr="005E167F">
              <w:rPr>
                <w:rFonts w:ascii="inherit" w:hAnsi="inherit"/>
                <w:color w:val="2D3033"/>
              </w:rPr>
              <w:t xml:space="preserve"> exceptions to the Modern and Classical Language requirement. </w:t>
            </w:r>
            <w:r w:rsidRPr="00A628EA">
              <w:rPr>
                <w:rFonts w:ascii="inherit" w:hAnsi="inherit"/>
                <w:strike/>
                <w:color w:val="2D3033"/>
              </w:rPr>
              <w:t xml:space="preserve">The majors </w:t>
            </w:r>
            <w:proofErr w:type="gramStart"/>
            <w:r w:rsidRPr="00A628EA">
              <w:rPr>
                <w:rFonts w:ascii="inherit" w:hAnsi="inherit"/>
                <w:strike/>
                <w:color w:val="2D3033"/>
              </w:rPr>
              <w:t>are listed</w:t>
            </w:r>
            <w:proofErr w:type="gramEnd"/>
            <w:r w:rsidRPr="00A628EA">
              <w:rPr>
                <w:rFonts w:ascii="inherit" w:hAnsi="inherit"/>
                <w:strike/>
                <w:color w:val="2D3033"/>
              </w:rPr>
              <w:t xml:space="preserve"> below.</w:t>
            </w:r>
            <w:r w:rsidR="00A628EA">
              <w:rPr>
                <w:rFonts w:ascii="inherit" w:hAnsi="inherit"/>
                <w:strike/>
                <w:color w:val="2D3033"/>
              </w:rPr>
              <w:t xml:space="preserve"> </w:t>
            </w:r>
            <w:r w:rsidR="00A628EA" w:rsidRPr="007C4D4A">
              <w:rPr>
                <w:rFonts w:ascii="Times New Roman" w:hAnsi="Times New Roman"/>
              </w:rPr>
              <w:t xml:space="preserve">See list in the </w:t>
            </w:r>
            <w:hyperlink r:id="rId7" w:history="1">
              <w:r w:rsidR="00A628EA" w:rsidRPr="007C4D4A">
                <w:rPr>
                  <w:rStyle w:val="Hyperlink"/>
                  <w:rFonts w:ascii="Times New Roman" w:hAnsi="Times New Roman"/>
                </w:rPr>
                <w:t>catalog</w:t>
              </w:r>
            </w:hyperlink>
            <w:r w:rsidR="00A628EA" w:rsidRPr="007C4D4A">
              <w:rPr>
                <w:rFonts w:ascii="Times New Roman" w:hAnsi="Times New Roman"/>
              </w:rPr>
              <w: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C2826" w:rsidRPr="005E167F" w:rsidRDefault="007C2826" w:rsidP="007C4D4A">
            <w:pPr>
              <w:rPr>
                <w:rFonts w:ascii="inherit" w:hAnsi="inherit"/>
                <w:color w:val="2D3033"/>
              </w:rPr>
            </w:pPr>
            <w:r w:rsidRPr="005E167F">
              <w:rPr>
                <w:rFonts w:ascii="inherit" w:hAnsi="inherit"/>
                <w:color w:val="2D3033"/>
              </w:rPr>
              <w:t>0-1</w:t>
            </w:r>
            <w:r w:rsidR="007C4D4A">
              <w:rPr>
                <w:rFonts w:ascii="inherit" w:hAnsi="inherit"/>
                <w:color w:val="2D3033"/>
              </w:rPr>
              <w:t>0</w:t>
            </w:r>
          </w:p>
        </w:tc>
      </w:tr>
      <w:tr w:rsidR="007C2826" w:rsidRPr="005E167F" w:rsidTr="00C553B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C2826" w:rsidRPr="005E167F" w:rsidRDefault="007C2826" w:rsidP="00C553BB">
            <w:pPr>
              <w:rPr>
                <w:rFonts w:ascii="inherit" w:hAnsi="inherit"/>
                <w:color w:val="2D3033"/>
              </w:rPr>
            </w:pPr>
            <w:r w:rsidRPr="005E167F">
              <w:rPr>
                <w:rFonts w:ascii="inherit" w:hAnsi="inherit"/>
                <w:color w:val="2D3033"/>
              </w:rPr>
              <w:t>Group IV: Expressive Arts</w:t>
            </w:r>
            <w:r w:rsidR="00A628EA">
              <w:rPr>
                <w:rFonts w:ascii="inherit" w:hAnsi="inherit"/>
                <w:color w:val="2D3033"/>
              </w:rPr>
              <w:t xml:space="preserve"> (A)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C2826" w:rsidRPr="005E167F" w:rsidRDefault="007C2826" w:rsidP="00C553BB">
            <w:pPr>
              <w:rPr>
                <w:rFonts w:ascii="inherit" w:hAnsi="inherit"/>
                <w:color w:val="2D3033"/>
              </w:rPr>
            </w:pPr>
            <w:r w:rsidRPr="005E167F">
              <w:rPr>
                <w:rFonts w:ascii="inherit" w:hAnsi="inherit"/>
                <w:color w:val="2D3033"/>
              </w:rPr>
              <w:t>3</w:t>
            </w:r>
          </w:p>
        </w:tc>
      </w:tr>
      <w:tr w:rsidR="007C2826" w:rsidRPr="005E167F" w:rsidTr="00C553BB">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C2826" w:rsidRPr="005E167F" w:rsidRDefault="007C2826" w:rsidP="00C553BB">
            <w:pPr>
              <w:rPr>
                <w:rFonts w:ascii="inherit" w:hAnsi="inherit"/>
                <w:color w:val="2D3033"/>
              </w:rPr>
            </w:pPr>
            <w:r w:rsidRPr="005E167F">
              <w:rPr>
                <w:rFonts w:ascii="inherit" w:hAnsi="inherit"/>
                <w:color w:val="2D3033"/>
              </w:rPr>
              <w:t>Group V: Literary and Artistic Studies</w:t>
            </w:r>
            <w:r w:rsidR="00A628EA">
              <w:rPr>
                <w:rFonts w:ascii="inherit" w:hAnsi="inherit"/>
                <w:color w:val="2D3033"/>
              </w:rPr>
              <w:t xml:space="preserve"> (L)</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C2826" w:rsidRPr="005E167F" w:rsidRDefault="007C2826" w:rsidP="00C553BB">
            <w:pPr>
              <w:rPr>
                <w:rFonts w:ascii="inherit" w:hAnsi="inherit"/>
                <w:color w:val="2D3033"/>
              </w:rPr>
            </w:pPr>
            <w:r w:rsidRPr="005E167F">
              <w:rPr>
                <w:rFonts w:ascii="inherit" w:hAnsi="inherit"/>
                <w:color w:val="2D3033"/>
              </w:rPr>
              <w:t>3</w:t>
            </w:r>
          </w:p>
        </w:tc>
      </w:tr>
      <w:tr w:rsidR="007C2826" w:rsidRPr="005E167F" w:rsidTr="00C553B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C2826" w:rsidRPr="005E167F" w:rsidRDefault="007C2826" w:rsidP="00C553BB">
            <w:pPr>
              <w:rPr>
                <w:rFonts w:ascii="inherit" w:hAnsi="inherit"/>
                <w:color w:val="2D3033"/>
              </w:rPr>
            </w:pPr>
            <w:r w:rsidRPr="005E167F">
              <w:rPr>
                <w:rFonts w:ascii="inherit" w:hAnsi="inherit"/>
                <w:color w:val="2D3033"/>
              </w:rPr>
              <w:t xml:space="preserve">Group VI: Historical </w:t>
            </w:r>
            <w:r w:rsidRPr="00A628EA">
              <w:rPr>
                <w:rFonts w:ascii="inherit" w:hAnsi="inherit"/>
                <w:strike/>
                <w:color w:val="2D3033"/>
              </w:rPr>
              <w:t>and Cultural</w:t>
            </w:r>
            <w:r w:rsidRPr="005E167F">
              <w:rPr>
                <w:rFonts w:ascii="inherit" w:hAnsi="inherit"/>
                <w:color w:val="2D3033"/>
              </w:rPr>
              <w:t xml:space="preserve"> Studies</w:t>
            </w:r>
            <w:r w:rsidR="00A628EA">
              <w:rPr>
                <w:rFonts w:ascii="inherit" w:hAnsi="inherit"/>
                <w:color w:val="2D3033"/>
              </w:rPr>
              <w:t xml:space="preserve"> (H)</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C2826" w:rsidRPr="005E167F" w:rsidRDefault="007C2826" w:rsidP="00C553BB">
            <w:pPr>
              <w:rPr>
                <w:rFonts w:ascii="inherit" w:hAnsi="inherit"/>
                <w:color w:val="2D3033"/>
              </w:rPr>
            </w:pPr>
            <w:r w:rsidRPr="005E167F">
              <w:rPr>
                <w:rFonts w:ascii="inherit" w:hAnsi="inherit"/>
                <w:color w:val="2D3033"/>
              </w:rPr>
              <w:t>3</w:t>
            </w:r>
          </w:p>
        </w:tc>
      </w:tr>
      <w:tr w:rsidR="007C2826" w:rsidRPr="005E167F" w:rsidTr="00C553BB">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C2826" w:rsidRPr="005E167F" w:rsidRDefault="007C2826" w:rsidP="00C553BB">
            <w:pPr>
              <w:rPr>
                <w:rFonts w:ascii="inherit" w:hAnsi="inherit"/>
                <w:color w:val="2D3033"/>
              </w:rPr>
            </w:pPr>
            <w:r w:rsidRPr="005E167F">
              <w:rPr>
                <w:rFonts w:ascii="inherit" w:hAnsi="inherit"/>
                <w:color w:val="2D3033"/>
              </w:rPr>
              <w:t>Group VII: Social Sciences</w:t>
            </w:r>
            <w:r w:rsidR="00A628EA">
              <w:rPr>
                <w:rFonts w:ascii="inherit" w:hAnsi="inherit"/>
                <w:color w:val="2D3033"/>
              </w:rPr>
              <w:t xml:space="preserve"> (S)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C2826" w:rsidRPr="005E167F" w:rsidRDefault="007C2826" w:rsidP="00C553BB">
            <w:pPr>
              <w:rPr>
                <w:rFonts w:ascii="inherit" w:hAnsi="inherit"/>
                <w:color w:val="2D3033"/>
              </w:rPr>
            </w:pPr>
            <w:r w:rsidRPr="005E167F">
              <w:rPr>
                <w:rFonts w:ascii="inherit" w:hAnsi="inherit"/>
                <w:color w:val="2D3033"/>
              </w:rPr>
              <w:t>3</w:t>
            </w:r>
          </w:p>
        </w:tc>
      </w:tr>
      <w:tr w:rsidR="007C2826" w:rsidRPr="005E167F" w:rsidTr="00C553B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C2826" w:rsidRPr="005E167F" w:rsidRDefault="007C2826" w:rsidP="00C553BB">
            <w:pPr>
              <w:rPr>
                <w:rFonts w:ascii="inherit" w:hAnsi="inherit"/>
                <w:color w:val="2D3033"/>
              </w:rPr>
            </w:pPr>
            <w:r w:rsidRPr="005E167F">
              <w:rPr>
                <w:rFonts w:ascii="inherit" w:hAnsi="inherit"/>
                <w:color w:val="2D3033"/>
              </w:rPr>
              <w:t>Group VIII: Ethics and Human Values</w:t>
            </w:r>
            <w:r w:rsidR="00A628EA">
              <w:rPr>
                <w:rFonts w:ascii="inherit" w:hAnsi="inherit"/>
                <w:color w:val="2D3033"/>
              </w:rPr>
              <w:t xml:space="preserve"> (E)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C2826" w:rsidRPr="005E167F" w:rsidRDefault="007C2826" w:rsidP="00C553BB">
            <w:pPr>
              <w:rPr>
                <w:rFonts w:ascii="inherit" w:hAnsi="inherit"/>
                <w:color w:val="2D3033"/>
              </w:rPr>
            </w:pPr>
            <w:r w:rsidRPr="005E167F">
              <w:rPr>
                <w:rFonts w:ascii="inherit" w:hAnsi="inherit"/>
                <w:color w:val="2D3033"/>
              </w:rPr>
              <w:t>3</w:t>
            </w:r>
          </w:p>
        </w:tc>
      </w:tr>
      <w:tr w:rsidR="007C2826" w:rsidRPr="005E167F" w:rsidTr="00C553BB">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C2826" w:rsidRPr="005E167F" w:rsidRDefault="007C2826" w:rsidP="00C553BB">
            <w:pPr>
              <w:rPr>
                <w:rFonts w:ascii="inherit" w:hAnsi="inherit"/>
                <w:color w:val="2D3033"/>
              </w:rPr>
            </w:pPr>
            <w:r w:rsidRPr="005E167F">
              <w:rPr>
                <w:rFonts w:ascii="inherit" w:hAnsi="inherit"/>
                <w:color w:val="2D3033"/>
              </w:rPr>
              <w:t xml:space="preserve">Group IX: </w:t>
            </w:r>
            <w:r w:rsidRPr="007C2826">
              <w:rPr>
                <w:rFonts w:ascii="inherit" w:hAnsi="inherit"/>
                <w:strike/>
                <w:color w:val="2D3033"/>
              </w:rPr>
              <w:t>American and European Perspectives</w:t>
            </w:r>
            <w:r>
              <w:rPr>
                <w:rFonts w:ascii="inherit" w:hAnsi="inherit"/>
                <w:color w:val="2D3033"/>
              </w:rPr>
              <w:t xml:space="preserve"> </w:t>
            </w:r>
            <w:r w:rsidRPr="00A628EA">
              <w:rPr>
                <w:rFonts w:ascii="Times New Roman" w:hAnsi="Times New Roman"/>
                <w:u w:val="single"/>
              </w:rPr>
              <w:t>Democracy &amp; Citizenship</w:t>
            </w:r>
            <w:r w:rsidR="00A628EA" w:rsidRPr="00A628EA">
              <w:rPr>
                <w:rFonts w:ascii="Times New Roman" w:hAnsi="Times New Roman"/>
                <w:u w:val="single"/>
              </w:rPr>
              <w:t xml:space="preserve"> (Y)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C2826" w:rsidRPr="005E167F" w:rsidRDefault="007C2826" w:rsidP="00C553BB">
            <w:pPr>
              <w:rPr>
                <w:rFonts w:ascii="inherit" w:hAnsi="inherit"/>
                <w:color w:val="2D3033"/>
              </w:rPr>
            </w:pPr>
            <w:r w:rsidRPr="005E167F">
              <w:rPr>
                <w:rFonts w:ascii="inherit" w:hAnsi="inherit"/>
                <w:color w:val="2D3033"/>
              </w:rPr>
              <w:t>3</w:t>
            </w:r>
          </w:p>
        </w:tc>
      </w:tr>
      <w:tr w:rsidR="007C2826" w:rsidRPr="005E167F" w:rsidTr="00C553B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C2826" w:rsidRPr="00A628EA" w:rsidRDefault="007C2826" w:rsidP="00A628EA">
            <w:pPr>
              <w:rPr>
                <w:rFonts w:ascii="Times New Roman" w:hAnsi="Times New Roman"/>
                <w:color w:val="2D3033"/>
              </w:rPr>
            </w:pPr>
            <w:r w:rsidRPr="00A628EA">
              <w:rPr>
                <w:rFonts w:ascii="Times New Roman" w:hAnsi="Times New Roman"/>
                <w:color w:val="2D3033"/>
              </w:rPr>
              <w:t xml:space="preserve">Group X: </w:t>
            </w:r>
            <w:r w:rsidRPr="00A628EA">
              <w:rPr>
                <w:rFonts w:ascii="Times New Roman" w:hAnsi="Times New Roman"/>
                <w:strike/>
                <w:color w:val="2D3033"/>
              </w:rPr>
              <w:t xml:space="preserve">Indigenous </w:t>
            </w:r>
            <w:r w:rsidR="00A628EA">
              <w:rPr>
                <w:rFonts w:ascii="Times New Roman" w:hAnsi="Times New Roman"/>
                <w:strike/>
                <w:color w:val="2D3033"/>
              </w:rPr>
              <w:t>&amp;</w:t>
            </w:r>
            <w:r w:rsidRPr="00A628EA">
              <w:rPr>
                <w:rFonts w:ascii="Times New Roman" w:hAnsi="Times New Roman"/>
                <w:strike/>
                <w:color w:val="2D3033"/>
              </w:rPr>
              <w:t xml:space="preserve"> Global Perspectives</w:t>
            </w:r>
            <w:r w:rsidRPr="00A628EA">
              <w:rPr>
                <w:rFonts w:ascii="Times New Roman" w:hAnsi="Times New Roman"/>
                <w:color w:val="2D3033"/>
              </w:rPr>
              <w:t xml:space="preserve"> </w:t>
            </w:r>
            <w:r w:rsidRPr="00A628EA">
              <w:rPr>
                <w:rFonts w:ascii="Times New Roman" w:hAnsi="Times New Roman"/>
              </w:rPr>
              <w:t>Cultural &amp; International Diversity</w:t>
            </w:r>
            <w:r w:rsidR="00A628EA" w:rsidRPr="00A628EA">
              <w:rPr>
                <w:rFonts w:ascii="Times New Roman" w:hAnsi="Times New Roman"/>
              </w:rPr>
              <w:t xml:space="preserve"> (X)</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C2826" w:rsidRPr="00A628EA" w:rsidRDefault="007C2826" w:rsidP="00C553BB">
            <w:pPr>
              <w:rPr>
                <w:rFonts w:ascii="Times New Roman" w:hAnsi="Times New Roman"/>
                <w:color w:val="2D3033"/>
              </w:rPr>
            </w:pPr>
            <w:r w:rsidRPr="00A628EA">
              <w:rPr>
                <w:rFonts w:ascii="Times New Roman" w:hAnsi="Times New Roman"/>
                <w:color w:val="2D3033"/>
              </w:rPr>
              <w:t>3</w:t>
            </w:r>
          </w:p>
        </w:tc>
      </w:tr>
      <w:tr w:rsidR="007C2826" w:rsidRPr="005E167F" w:rsidTr="00C553BB">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C2826" w:rsidRPr="005E167F" w:rsidRDefault="007C2826" w:rsidP="00C553BB">
            <w:pPr>
              <w:rPr>
                <w:rFonts w:ascii="inherit" w:hAnsi="inherit"/>
                <w:color w:val="2D3033"/>
              </w:rPr>
            </w:pPr>
            <w:r w:rsidRPr="005E167F">
              <w:rPr>
                <w:rFonts w:ascii="inherit" w:hAnsi="inherit"/>
                <w:color w:val="2D3033"/>
              </w:rPr>
              <w:t>Group XI: Natural Sciences - One Natural Science course must include a laboratory experience.</w:t>
            </w:r>
            <w:r w:rsidR="00A628EA">
              <w:rPr>
                <w:rFonts w:ascii="inherit" w:hAnsi="inherit"/>
                <w:color w:val="2D3033"/>
              </w:rPr>
              <w:t xml:space="preserve">  (N)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C2826" w:rsidRPr="005E167F" w:rsidRDefault="007C2826" w:rsidP="00C553BB">
            <w:pPr>
              <w:rPr>
                <w:rFonts w:ascii="inherit" w:hAnsi="inherit"/>
                <w:color w:val="2D3033"/>
              </w:rPr>
            </w:pPr>
            <w:r w:rsidRPr="005E167F">
              <w:rPr>
                <w:rFonts w:ascii="inherit" w:hAnsi="inherit"/>
                <w:color w:val="2D3033"/>
              </w:rPr>
              <w:t>6</w:t>
            </w:r>
            <w:r w:rsidRPr="007C2826">
              <w:rPr>
                <w:rFonts w:ascii="inherit" w:hAnsi="inherit"/>
                <w:color w:val="2D3033"/>
                <w:u w:val="single"/>
              </w:rPr>
              <w:t>-7</w:t>
            </w:r>
          </w:p>
        </w:tc>
      </w:tr>
      <w:tr w:rsidR="007C2826" w:rsidRPr="005E167F" w:rsidTr="00C553B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C2826" w:rsidRPr="007C2826" w:rsidRDefault="007C2826" w:rsidP="00C553BB">
            <w:pPr>
              <w:rPr>
                <w:rFonts w:ascii="inherit" w:hAnsi="inherit"/>
                <w:strike/>
                <w:color w:val="2D3033"/>
              </w:rPr>
            </w:pPr>
            <w:r w:rsidRPr="007C2826">
              <w:rPr>
                <w:rFonts w:ascii="inherit" w:hAnsi="inherit"/>
                <w:strike/>
                <w:color w:val="2D3033"/>
              </w:rPr>
              <w:t>Total</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C2826" w:rsidRPr="007C2826" w:rsidRDefault="007C2826" w:rsidP="00C553BB">
            <w:pPr>
              <w:rPr>
                <w:rFonts w:ascii="inherit" w:hAnsi="inherit"/>
                <w:strike/>
                <w:color w:val="2D3033"/>
              </w:rPr>
            </w:pPr>
            <w:r w:rsidRPr="007C2826">
              <w:rPr>
                <w:rFonts w:ascii="inherit" w:hAnsi="inherit"/>
                <w:strike/>
                <w:color w:val="2D3033"/>
              </w:rPr>
              <w:t>28-49</w:t>
            </w:r>
            <w:r w:rsidRPr="007C2826">
              <w:rPr>
                <w:rFonts w:ascii="inherit" w:hAnsi="inherit"/>
                <w:strike/>
                <w:color w:val="2D3033"/>
                <w:sz w:val="18"/>
                <w:szCs w:val="18"/>
                <w:bdr w:val="none" w:sz="0" w:space="0" w:color="auto" w:frame="1"/>
                <w:vertAlign w:val="superscript"/>
              </w:rPr>
              <w:t>1</w:t>
            </w:r>
          </w:p>
        </w:tc>
      </w:tr>
      <w:tr w:rsidR="007C2826" w:rsidRPr="005E167F" w:rsidTr="00C553BB">
        <w:trPr>
          <w:trHeight w:val="321"/>
          <w:tblHeader/>
        </w:trPr>
        <w:tc>
          <w:tcPr>
            <w:tcW w:w="0" w:type="auto"/>
            <w:gridSpan w:val="2"/>
            <w:tcBorders>
              <w:top w:val="nil"/>
              <w:left w:val="nil"/>
              <w:bottom w:val="nil"/>
              <w:right w:val="nil"/>
            </w:tcBorders>
            <w:shd w:val="clear" w:color="auto" w:fill="F2F2F2"/>
            <w:tcMar>
              <w:top w:w="120" w:type="dxa"/>
              <w:left w:w="120" w:type="dxa"/>
              <w:bottom w:w="120" w:type="dxa"/>
              <w:right w:w="120" w:type="dxa"/>
            </w:tcMar>
            <w:vAlign w:val="center"/>
            <w:hideMark/>
          </w:tcPr>
          <w:p w:rsidR="007C2826" w:rsidRPr="005E167F" w:rsidRDefault="007C2826" w:rsidP="00C553BB">
            <w:pPr>
              <w:textAlignment w:val="baseline"/>
              <w:rPr>
                <w:rFonts w:ascii="inherit" w:hAnsi="inherit"/>
                <w:color w:val="2D3033"/>
              </w:rPr>
            </w:pPr>
          </w:p>
        </w:tc>
      </w:tr>
    </w:tbl>
    <w:p w:rsidR="007C2826" w:rsidRPr="005E167F" w:rsidRDefault="007C2826" w:rsidP="007C2826">
      <w:pPr>
        <w:rPr>
          <w:rFonts w:ascii="Times New Roman" w:hAnsi="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405"/>
        <w:gridCol w:w="8955"/>
      </w:tblGrid>
      <w:tr w:rsidR="007C2826" w:rsidRPr="005E167F" w:rsidTr="00C553BB">
        <w:trPr>
          <w:trHeight w:val="351"/>
        </w:trPr>
        <w:tc>
          <w:tcPr>
            <w:tcW w:w="225" w:type="dxa"/>
            <w:tcBorders>
              <w:top w:val="nil"/>
              <w:left w:val="nil"/>
              <w:bottom w:val="nil"/>
              <w:right w:val="nil"/>
            </w:tcBorders>
            <w:shd w:val="clear" w:color="auto" w:fill="FFFFFF"/>
            <w:tcMar>
              <w:top w:w="0" w:type="dxa"/>
              <w:left w:w="0" w:type="dxa"/>
              <w:bottom w:w="180" w:type="dxa"/>
              <w:right w:w="0" w:type="dxa"/>
            </w:tcMar>
            <w:hideMark/>
          </w:tcPr>
          <w:p w:rsidR="007C2826" w:rsidRPr="005E167F" w:rsidRDefault="007C2826" w:rsidP="00C553BB">
            <w:pPr>
              <w:rPr>
                <w:rFonts w:ascii="inherit" w:hAnsi="inherit"/>
                <w:color w:val="2D3033"/>
                <w:sz w:val="18"/>
                <w:szCs w:val="18"/>
              </w:rPr>
            </w:pPr>
            <w:r w:rsidRPr="005E167F">
              <w:rPr>
                <w:rFonts w:ascii="inherit" w:hAnsi="inherit"/>
                <w:color w:val="2D3033"/>
                <w:sz w:val="14"/>
                <w:szCs w:val="14"/>
                <w:bdr w:val="none" w:sz="0" w:space="0" w:color="auto" w:frame="1"/>
                <w:vertAlign w:val="superscript"/>
              </w:rPr>
              <w:t>1</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7C2826" w:rsidRPr="005E167F" w:rsidRDefault="007C2826" w:rsidP="00C553BB">
            <w:pPr>
              <w:textAlignment w:val="baseline"/>
              <w:rPr>
                <w:rFonts w:ascii="inherit" w:hAnsi="inherit"/>
                <w:color w:val="2D3033"/>
              </w:rPr>
            </w:pPr>
          </w:p>
        </w:tc>
      </w:tr>
    </w:tbl>
    <w:p w:rsidR="007C2826" w:rsidRDefault="007C2826"/>
    <w:sectPr w:rsidR="007C2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26"/>
    <w:rsid w:val="002153CA"/>
    <w:rsid w:val="007C2826"/>
    <w:rsid w:val="007C4D4A"/>
    <w:rsid w:val="00A628EA"/>
    <w:rsid w:val="00D92645"/>
    <w:rsid w:val="00E5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AD37"/>
  <w15:chartTrackingRefBased/>
  <w15:docId w15:val="{5CE22C5F-B485-46B7-9F31-D2591E3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826"/>
    <w:pPr>
      <w:spacing w:after="0" w:line="240" w:lineRule="auto"/>
      <w:ind w:firstLine="360"/>
    </w:pPr>
    <w:rPr>
      <w:rFonts w:ascii="Calibri" w:eastAsia="Times New Roman" w:hAnsi="Calibri" w:cs="Times New Roman"/>
    </w:rPr>
  </w:style>
  <w:style w:type="paragraph" w:styleId="Heading1">
    <w:name w:val="heading 1"/>
    <w:basedOn w:val="Normal"/>
    <w:next w:val="Normal"/>
    <w:link w:val="Heading1Char"/>
    <w:uiPriority w:val="9"/>
    <w:qFormat/>
    <w:rsid w:val="007C28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264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C2826"/>
    <w:pPr>
      <w:spacing w:before="30" w:after="150" w:line="225" w:lineRule="atLeast"/>
    </w:pPr>
    <w:rPr>
      <w:rFonts w:ascii="Arial" w:hAnsi="Arial" w:cs="Arial"/>
      <w:color w:val="333366"/>
      <w:sz w:val="18"/>
      <w:szCs w:val="18"/>
    </w:rPr>
  </w:style>
  <w:style w:type="character" w:styleId="CommentReference">
    <w:name w:val="annotation reference"/>
    <w:uiPriority w:val="99"/>
    <w:unhideWhenUsed/>
    <w:rsid w:val="007C2826"/>
    <w:rPr>
      <w:sz w:val="18"/>
      <w:szCs w:val="18"/>
    </w:rPr>
  </w:style>
  <w:style w:type="paragraph" w:styleId="CommentText">
    <w:name w:val="annotation text"/>
    <w:basedOn w:val="Normal"/>
    <w:link w:val="CommentTextChar"/>
    <w:uiPriority w:val="99"/>
    <w:unhideWhenUsed/>
    <w:rsid w:val="007C2826"/>
    <w:pPr>
      <w:ind w:firstLine="0"/>
    </w:pPr>
    <w:rPr>
      <w:rFonts w:ascii="Cambria" w:eastAsia="MS Mincho" w:hAnsi="Cambria"/>
      <w:sz w:val="24"/>
      <w:szCs w:val="24"/>
    </w:rPr>
  </w:style>
  <w:style w:type="character" w:customStyle="1" w:styleId="CommentTextChar">
    <w:name w:val="Comment Text Char"/>
    <w:basedOn w:val="DefaultParagraphFont"/>
    <w:link w:val="CommentText"/>
    <w:uiPriority w:val="99"/>
    <w:rsid w:val="007C2826"/>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7C2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82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7C2826"/>
    <w:rPr>
      <w:rFonts w:asciiTheme="majorHAnsi" w:eastAsiaTheme="majorEastAsia" w:hAnsiTheme="majorHAnsi" w:cstheme="majorBidi"/>
      <w:color w:val="2E74B5" w:themeColor="accent1" w:themeShade="BF"/>
      <w:sz w:val="32"/>
      <w:szCs w:val="32"/>
    </w:rPr>
  </w:style>
  <w:style w:type="character" w:styleId="Hyperlink">
    <w:name w:val="Hyperlink"/>
    <w:rsid w:val="00A628EA"/>
    <w:rPr>
      <w:color w:val="0000FF"/>
      <w:u w:val="single"/>
    </w:rPr>
  </w:style>
  <w:style w:type="paragraph" w:styleId="CommentSubject">
    <w:name w:val="annotation subject"/>
    <w:basedOn w:val="CommentText"/>
    <w:next w:val="CommentText"/>
    <w:link w:val="CommentSubjectChar"/>
    <w:uiPriority w:val="99"/>
    <w:semiHidden/>
    <w:unhideWhenUsed/>
    <w:rsid w:val="00A628EA"/>
    <w:pPr>
      <w:ind w:firstLine="360"/>
    </w:pPr>
    <w:rPr>
      <w:rFonts w:ascii="Calibri" w:eastAsia="Times New Roman" w:hAnsi="Calibri"/>
      <w:b/>
      <w:bCs/>
      <w:sz w:val="20"/>
      <w:szCs w:val="20"/>
    </w:rPr>
  </w:style>
  <w:style w:type="character" w:customStyle="1" w:styleId="CommentSubjectChar">
    <w:name w:val="Comment Subject Char"/>
    <w:basedOn w:val="CommentTextChar"/>
    <w:link w:val="CommentSubject"/>
    <w:uiPriority w:val="99"/>
    <w:semiHidden/>
    <w:rsid w:val="00A628EA"/>
    <w:rPr>
      <w:rFonts w:ascii="Calibri" w:eastAsia="Times New Roman" w:hAnsi="Calibri" w:cs="Times New Roman"/>
      <w:b/>
      <w:bCs/>
      <w:sz w:val="20"/>
      <w:szCs w:val="20"/>
    </w:rPr>
  </w:style>
  <w:style w:type="character" w:styleId="Strong">
    <w:name w:val="Strong"/>
    <w:basedOn w:val="DefaultParagraphFont"/>
    <w:uiPriority w:val="22"/>
    <w:qFormat/>
    <w:rsid w:val="007C4D4A"/>
    <w:rPr>
      <w:b/>
      <w:bCs/>
    </w:rPr>
  </w:style>
  <w:style w:type="paragraph" w:styleId="Title">
    <w:name w:val="Title"/>
    <w:basedOn w:val="Normal"/>
    <w:next w:val="Normal"/>
    <w:link w:val="TitleChar"/>
    <w:uiPriority w:val="10"/>
    <w:qFormat/>
    <w:rsid w:val="00D926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64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9264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7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talog.umt.edu/academics/general-education-require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og.umt.edu/search/?P=WRIT%20101" TargetMode="External"/><Relationship Id="rId5" Type="http://schemas.openxmlformats.org/officeDocument/2006/relationships/hyperlink" Target="http://www.umt.edu/facultysenate/committees/gened/GE%20Forms.php" TargetMode="External"/><Relationship Id="rId4" Type="http://schemas.openxmlformats.org/officeDocument/2006/relationships/hyperlink" Target="http://catalog.umt.edu/academics/admission/transf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2</cp:revision>
  <dcterms:created xsi:type="dcterms:W3CDTF">2018-02-02T19:53:00Z</dcterms:created>
  <dcterms:modified xsi:type="dcterms:W3CDTF">2018-02-02T19:53:00Z</dcterms:modified>
</cp:coreProperties>
</file>