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F5B73">
        <w:rPr>
          <w:rStyle w:val="Heading1Char"/>
          <w:rFonts w:eastAsiaTheme="minorHAnsi"/>
        </w:rPr>
        <w:t>2</w:t>
      </w:r>
      <w:r w:rsidR="00C46487">
        <w:rPr>
          <w:rStyle w:val="Heading1Char"/>
          <w:rFonts w:eastAsiaTheme="minorHAnsi"/>
        </w:rPr>
        <w:t>/</w:t>
      </w:r>
      <w:r w:rsidR="00FF5B73">
        <w:rPr>
          <w:rStyle w:val="Heading1Char"/>
          <w:rFonts w:eastAsiaTheme="minorHAnsi"/>
        </w:rPr>
        <w:t>28</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FF5B73">
        <w:rPr>
          <w:rFonts w:ascii="Arial" w:hAnsi="Arial" w:cs="Arial"/>
        </w:rPr>
        <w:t>GBB 225</w:t>
      </w:r>
    </w:p>
    <w:p w:rsidR="00503914" w:rsidRPr="00A8671A" w:rsidRDefault="00503914" w:rsidP="00503914">
      <w:pPr>
        <w:pStyle w:val="Heading2"/>
        <w:rPr>
          <w:rStyle w:val="Heading2Char"/>
          <w:i/>
          <w:sz w:val="24"/>
          <w:szCs w:val="24"/>
        </w:rPr>
      </w:pPr>
      <w:r w:rsidRPr="009B75B0">
        <w:t>Call to order</w:t>
      </w:r>
      <w:r w:rsidRPr="009B75B0">
        <w:br/>
      </w:r>
    </w:p>
    <w:p w:rsidR="001C4424" w:rsidRDefault="00503914" w:rsidP="00503914">
      <w:r>
        <w:t>Members Present:</w:t>
      </w:r>
      <w:r w:rsidR="0050051C">
        <w:t xml:space="preserve"> </w:t>
      </w:r>
      <w:r>
        <w:t xml:space="preserve">D. Coffin, </w:t>
      </w:r>
      <w:r w:rsidR="00FC41DE">
        <w:t xml:space="preserve">I. Crummy, </w:t>
      </w:r>
      <w:r>
        <w:t xml:space="preserve">J. Eglin, </w:t>
      </w:r>
      <w:r w:rsidR="00FC41DE">
        <w:t xml:space="preserve">C. Fitzpatrick, </w:t>
      </w:r>
      <w:r w:rsidR="000B0ABD">
        <w:t xml:space="preserve">N. Greymorning, </w:t>
      </w:r>
      <w:r w:rsidR="00FC41DE">
        <w:t xml:space="preserve">B. Hillman, </w:t>
      </w:r>
      <w:r w:rsidR="000B0ABD">
        <w:t xml:space="preserve">B. Love, </w:t>
      </w:r>
      <w:r w:rsidR="00A461FB">
        <w:t>T. Missett</w:t>
      </w:r>
      <w:r w:rsidR="003A40A8">
        <w:t>,</w:t>
      </w:r>
      <w:r w:rsidR="00A461FB">
        <w:t xml:space="preserve"> </w:t>
      </w:r>
      <w:r w:rsidR="009F1EF2">
        <w:t xml:space="preserve">D. Morell, </w:t>
      </w:r>
      <w:r>
        <w:t>G. St. George,</w:t>
      </w:r>
      <w:r w:rsidRPr="008D6282">
        <w:t xml:space="preserve"> </w:t>
      </w:r>
      <w:r w:rsidR="00FF5B73">
        <w:t xml:space="preserve">M. Semanoff </w:t>
      </w:r>
      <w:r>
        <w:t>E. Uchimoto</w:t>
      </w:r>
      <w:r w:rsidR="0012348F">
        <w:t xml:space="preserve">, </w:t>
      </w:r>
      <w:r w:rsidR="0012348F" w:rsidRPr="0012348F">
        <w:t xml:space="preserve"> </w:t>
      </w:r>
      <w:r w:rsidR="0012348F" w:rsidRPr="008D6282">
        <w:t>G.G. Weix</w:t>
      </w:r>
      <w:r w:rsidR="0012348F">
        <w:br/>
      </w:r>
      <w:r>
        <w:t>Ex-Officio Present</w:t>
      </w:r>
      <w:r w:rsidR="000B0ABD">
        <w:t>: J. Hickman</w:t>
      </w:r>
      <w:r w:rsidR="00FC25E9">
        <w:t xml:space="preserve">, </w:t>
      </w:r>
      <w:r w:rsidR="00375625">
        <w:t>N. Lindsay</w:t>
      </w:r>
      <w:r w:rsidR="00FC66FB">
        <w:br/>
      </w:r>
      <w:r>
        <w:t>Members Excused:</w:t>
      </w:r>
      <w:r w:rsidR="0012348F">
        <w:t xml:space="preserve"> </w:t>
      </w:r>
      <w:r w:rsidR="003A40A8" w:rsidRPr="008D6282">
        <w:t>M. Boller</w:t>
      </w:r>
      <w:r w:rsidR="00F15179">
        <w:t>,</w:t>
      </w:r>
      <w:r w:rsidR="00C46487" w:rsidRPr="00C46487">
        <w:t xml:space="preserve"> </w:t>
      </w:r>
      <w:r w:rsidR="003A40A8">
        <w:t>K. Lamar</w:t>
      </w:r>
      <w:r w:rsidR="00FC41DE">
        <w:t>,</w:t>
      </w:r>
      <w:r w:rsidR="00FC41DE" w:rsidRPr="00FC41DE">
        <w:t xml:space="preserve"> </w:t>
      </w:r>
      <w:r w:rsidR="000B0ABD">
        <w:t xml:space="preserve">B. French,  B. </w:t>
      </w:r>
      <w:r w:rsidR="000B0ABD" w:rsidRPr="009C7A48">
        <w:t>Holzworth</w:t>
      </w:r>
      <w:r w:rsidR="000B0ABD">
        <w:t xml:space="preserve"> </w:t>
      </w:r>
      <w:r w:rsidR="00FC66FB">
        <w:br/>
      </w:r>
      <w:r w:rsidR="00623E4A">
        <w:t xml:space="preserve">Guest: </w:t>
      </w:r>
      <w:r w:rsidR="00FC41DE">
        <w:t xml:space="preserve"> </w:t>
      </w:r>
      <w:r w:rsidR="00FF5B73">
        <w:t>G. Weix</w:t>
      </w:r>
    </w:p>
    <w:p w:rsidR="00503914" w:rsidRDefault="00503914" w:rsidP="00503914">
      <w:r w:rsidRPr="002F0AD7">
        <w:t>The minutes from</w:t>
      </w:r>
      <w:r>
        <w:t xml:space="preserve"> </w:t>
      </w:r>
      <w:r w:rsidR="00FF5B73">
        <w:t>2</w:t>
      </w:r>
      <w:r w:rsidR="009F1EF2">
        <w:t>/</w:t>
      </w:r>
      <w:r w:rsidR="00FF5B73">
        <w:t>14</w:t>
      </w:r>
      <w:r w:rsidRPr="002F0AD7">
        <w:t>/1</w:t>
      </w:r>
      <w:r w:rsidR="00FF5B73">
        <w:t>7</w:t>
      </w:r>
      <w:r w:rsidRPr="002F0AD7">
        <w:t xml:space="preserve"> were</w:t>
      </w:r>
      <w:r w:rsidR="001B119C">
        <w:t xml:space="preserve"> </w:t>
      </w:r>
      <w:r w:rsidRPr="002F0AD7">
        <w:t xml:space="preserve">approved. </w:t>
      </w:r>
    </w:p>
    <w:p w:rsidR="00747F3D" w:rsidRDefault="00747F3D" w:rsidP="000B1392">
      <w:pPr>
        <w:pStyle w:val="Heading2"/>
      </w:pPr>
      <w:r>
        <w:t xml:space="preserve">Communication: </w:t>
      </w:r>
      <w:r w:rsidR="000B1392">
        <w:br/>
      </w:r>
    </w:p>
    <w:p w:rsidR="00FF5B73" w:rsidRDefault="00FF5B73" w:rsidP="00BB37EF">
      <w:pPr>
        <w:numPr>
          <w:ilvl w:val="0"/>
          <w:numId w:val="27"/>
        </w:numPr>
        <w:spacing w:after="0" w:line="240" w:lineRule="auto"/>
      </w:pPr>
      <w:r>
        <w:t xml:space="preserve">New members </w:t>
      </w:r>
      <w:r w:rsidR="000F2495" w:rsidRPr="001A4D2F">
        <w:rPr>
          <w:rFonts w:cs="Arial"/>
        </w:rPr>
        <w:t>Maria Welch and Andria Schafer</w:t>
      </w:r>
      <w:r w:rsidR="000F2495" w:rsidRPr="000F2495">
        <w:rPr>
          <w:rFonts w:ascii="Arial" w:hAnsi="Arial" w:cs="Arial"/>
        </w:rPr>
        <w:t xml:space="preserve"> </w:t>
      </w:r>
      <w:r>
        <w:t xml:space="preserve">were welcomed. </w:t>
      </w:r>
      <w:r>
        <w:br/>
      </w:r>
    </w:p>
    <w:p w:rsidR="000F2495" w:rsidRDefault="00FF5B73" w:rsidP="00BB37EF">
      <w:pPr>
        <w:pStyle w:val="ListParagraph"/>
        <w:numPr>
          <w:ilvl w:val="0"/>
          <w:numId w:val="27"/>
        </w:numPr>
      </w:pPr>
      <w:r>
        <w:t xml:space="preserve">There is a special meeting of the Faculty Senate today at 4 p.m. in GBB 123.  The Senate will consider a resolution for ECOS regarding Forward 125 and discuss faculty governance’s role in Program Prioritization. </w:t>
      </w:r>
      <w:r w:rsidR="000B0ABD">
        <w:t xml:space="preserve"> </w:t>
      </w:r>
      <w:r w:rsidR="000F2495">
        <w:br/>
      </w:r>
    </w:p>
    <w:p w:rsidR="000F2495" w:rsidRDefault="000F2495" w:rsidP="00BB37EF">
      <w:pPr>
        <w:pStyle w:val="ListParagraph"/>
        <w:numPr>
          <w:ilvl w:val="0"/>
          <w:numId w:val="27"/>
        </w:numPr>
      </w:pPr>
      <w:r>
        <w:t>The Dormant Course report was sent to departments requesting a response by March 24</w:t>
      </w:r>
      <w:r w:rsidRPr="000F2495">
        <w:rPr>
          <w:vertAlign w:val="superscript"/>
        </w:rPr>
        <w:t>th</w:t>
      </w:r>
      <w:r>
        <w:t xml:space="preserve">. </w:t>
      </w:r>
      <w:r>
        <w:br/>
      </w:r>
    </w:p>
    <w:p w:rsidR="000F2495" w:rsidRDefault="000F2495" w:rsidP="00BB37EF">
      <w:pPr>
        <w:pStyle w:val="ListParagraph"/>
        <w:numPr>
          <w:ilvl w:val="0"/>
          <w:numId w:val="27"/>
        </w:numPr>
      </w:pPr>
      <w:r>
        <w:t xml:space="preserve">Camie will send the experimental course report to departments that have offered experimental courses 3 or more times to remind them of the policy. </w:t>
      </w:r>
      <w:r>
        <w:br/>
      </w:r>
    </w:p>
    <w:p w:rsidR="000B0ABD" w:rsidRDefault="000F2495" w:rsidP="00BB37EF">
      <w:pPr>
        <w:pStyle w:val="ListParagraph"/>
        <w:numPr>
          <w:ilvl w:val="0"/>
          <w:numId w:val="27"/>
        </w:numPr>
      </w:pPr>
      <w:r>
        <w:t xml:space="preserve">Faculty that participated in the </w:t>
      </w:r>
      <w:proofErr w:type="spellStart"/>
      <w:r>
        <w:t>CourseLeaf</w:t>
      </w:r>
      <w:proofErr w:type="spellEnd"/>
      <w:r>
        <w:t xml:space="preserve"> training helped to identify the format for the catalog. Professor Coffin indicated that it is pretty well laid out and user friendly.  There will be a demonstration when the company has the framework tailored for UM. </w:t>
      </w:r>
      <w:r w:rsidR="000B0ABD">
        <w:br/>
      </w:r>
    </w:p>
    <w:p w:rsidR="00260E8E" w:rsidRDefault="00BB37EF" w:rsidP="004B380A">
      <w:pPr>
        <w:pStyle w:val="Heading2"/>
      </w:pPr>
      <w:r>
        <w:t>Business Items</w:t>
      </w:r>
      <w:r w:rsidR="00FC41DE">
        <w:br/>
      </w:r>
    </w:p>
    <w:p w:rsidR="000F2495" w:rsidRDefault="000F2495" w:rsidP="000B0ABD">
      <w:pPr>
        <w:pStyle w:val="ListParagraph"/>
        <w:numPr>
          <w:ilvl w:val="0"/>
          <w:numId w:val="32"/>
        </w:numPr>
      </w:pPr>
      <w:r>
        <w:t xml:space="preserve">ASCRC considered the late request for LSCI 210, Who Owns Culture.  The instructor has had the course approved both as a </w:t>
      </w:r>
      <w:r w:rsidR="00365160">
        <w:t>Democracy</w:t>
      </w:r>
      <w:r>
        <w:t xml:space="preserve"> and Citizenship and a Writing Course, but was not aware that a course form also needed to be submitted.  The course was approved provided the instructor shortens the course description. </w:t>
      </w:r>
    </w:p>
    <w:p w:rsidR="000F2495" w:rsidRDefault="000F2495" w:rsidP="000F2495">
      <w:pPr>
        <w:pStyle w:val="ListParagraph"/>
        <w:ind w:left="360"/>
      </w:pPr>
    </w:p>
    <w:p w:rsidR="000F2495" w:rsidRDefault="000F2495" w:rsidP="000B0ABD">
      <w:pPr>
        <w:pStyle w:val="ListParagraph"/>
        <w:numPr>
          <w:ilvl w:val="0"/>
          <w:numId w:val="32"/>
        </w:numPr>
      </w:pPr>
      <w:r>
        <w:t xml:space="preserve">The following consent agenda from the Humanities subcommittee was approved. </w:t>
      </w:r>
    </w:p>
    <w:tbl>
      <w:tblPr>
        <w:tblW w:w="8375" w:type="dxa"/>
        <w:tblInd w:w="828" w:type="dxa"/>
        <w:tblLook w:val="04A0" w:firstRow="1" w:lastRow="0" w:firstColumn="1" w:lastColumn="0" w:noHBand="0" w:noVBand="1"/>
      </w:tblPr>
      <w:tblGrid>
        <w:gridCol w:w="2070"/>
        <w:gridCol w:w="2250"/>
        <w:gridCol w:w="4055"/>
      </w:tblGrid>
      <w:tr w:rsidR="000F2495" w:rsidRPr="00E67CA5" w:rsidTr="00646B35">
        <w:trPr>
          <w:trHeight w:val="300"/>
        </w:trPr>
        <w:tc>
          <w:tcPr>
            <w:tcW w:w="8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2495" w:rsidRPr="00E67CA5" w:rsidRDefault="000F2495" w:rsidP="00646B35">
            <w:pPr>
              <w:jc w:val="center"/>
              <w:rPr>
                <w:rFonts w:ascii="Calibri" w:hAnsi="Calibri"/>
                <w:b/>
                <w:bCs/>
                <w:color w:val="000000"/>
              </w:rPr>
            </w:pPr>
            <w:r>
              <w:rPr>
                <w:rFonts w:ascii="Calibri" w:hAnsi="Calibri"/>
                <w:b/>
                <w:bCs/>
                <w:color w:val="000000"/>
              </w:rPr>
              <w:t xml:space="preserve">Liberal Studies </w:t>
            </w:r>
          </w:p>
        </w:tc>
      </w:tr>
      <w:tr w:rsidR="000F2495" w:rsidRPr="00B75FAB" w:rsidTr="00646B35">
        <w:trPr>
          <w:trHeight w:val="300"/>
        </w:trPr>
        <w:tc>
          <w:tcPr>
            <w:tcW w:w="2070" w:type="dxa"/>
            <w:tcBorders>
              <w:top w:val="nil"/>
              <w:left w:val="single" w:sz="4" w:space="0" w:color="000000"/>
              <w:bottom w:val="single" w:sz="4" w:space="0" w:color="000000"/>
              <w:right w:val="single" w:sz="4" w:space="0" w:color="000000"/>
            </w:tcBorders>
            <w:shd w:val="clear" w:color="auto" w:fill="auto"/>
            <w:vAlign w:val="center"/>
          </w:tcPr>
          <w:p w:rsidR="000F2495" w:rsidRPr="00B75FAB" w:rsidRDefault="001A4D2F" w:rsidP="00646B35">
            <w:pPr>
              <w:rPr>
                <w:rFonts w:ascii="Calibri" w:hAnsi="Calibri"/>
              </w:rPr>
            </w:pPr>
            <w:hyperlink r:id="rId6" w:tgtFrame="_blank" w:history="1">
              <w:r w:rsidR="000F2495" w:rsidRPr="00B75FAB">
                <w:rPr>
                  <w:rStyle w:val="Hyperlink"/>
                  <w:rFonts w:ascii="Calibri" w:hAnsi="Calibri"/>
                </w:rPr>
                <w:t>LSH 328 U</w:t>
              </w:r>
            </w:hyperlink>
            <w:r w:rsidR="000F2495" w:rsidRPr="00B75FAB">
              <w:rPr>
                <w:rFonts w:ascii="Calibri" w:hAnsi="Calibri"/>
              </w:rPr>
              <w:t xml:space="preserve"> </w:t>
            </w:r>
          </w:p>
        </w:tc>
        <w:tc>
          <w:tcPr>
            <w:tcW w:w="2250" w:type="dxa"/>
            <w:tcBorders>
              <w:top w:val="nil"/>
              <w:left w:val="nil"/>
              <w:bottom w:val="single" w:sz="4" w:space="0" w:color="000000"/>
              <w:right w:val="single" w:sz="4" w:space="0" w:color="000000"/>
            </w:tcBorders>
            <w:shd w:val="clear" w:color="auto" w:fill="auto"/>
            <w:vAlign w:val="center"/>
          </w:tcPr>
          <w:p w:rsidR="000F2495" w:rsidRPr="00B75FAB" w:rsidRDefault="000F2495" w:rsidP="00646B35">
            <w:pPr>
              <w:rPr>
                <w:rFonts w:ascii="Calibri" w:hAnsi="Calibri"/>
              </w:rPr>
            </w:pPr>
            <w:r w:rsidRPr="00B75FAB">
              <w:rPr>
                <w:rFonts w:ascii="Calibri" w:hAnsi="Calibri"/>
              </w:rPr>
              <w:t>Gender Sexuality India</w:t>
            </w:r>
          </w:p>
        </w:tc>
        <w:tc>
          <w:tcPr>
            <w:tcW w:w="4055" w:type="dxa"/>
            <w:tcBorders>
              <w:top w:val="nil"/>
              <w:left w:val="nil"/>
              <w:bottom w:val="single" w:sz="4" w:space="0" w:color="000000"/>
              <w:right w:val="single" w:sz="4" w:space="0" w:color="000000"/>
            </w:tcBorders>
            <w:shd w:val="clear" w:color="auto" w:fill="auto"/>
            <w:vAlign w:val="center"/>
          </w:tcPr>
          <w:p w:rsidR="000F2495" w:rsidRPr="00B75FAB" w:rsidRDefault="000F2495" w:rsidP="00646B35">
            <w:pPr>
              <w:rPr>
                <w:rFonts w:ascii="Calibri" w:hAnsi="Calibri"/>
              </w:rPr>
            </w:pPr>
            <w:r w:rsidRPr="00B75FAB">
              <w:rPr>
                <w:rFonts w:ascii="Calibri" w:hAnsi="Calibri"/>
              </w:rPr>
              <w:t xml:space="preserve">Change description, title </w:t>
            </w:r>
          </w:p>
        </w:tc>
      </w:tr>
      <w:tr w:rsidR="000F2495" w:rsidRPr="00B75FAB" w:rsidTr="00646B35">
        <w:trPr>
          <w:trHeight w:val="300"/>
        </w:trPr>
        <w:tc>
          <w:tcPr>
            <w:tcW w:w="2070" w:type="dxa"/>
            <w:tcBorders>
              <w:top w:val="nil"/>
              <w:left w:val="single" w:sz="4" w:space="0" w:color="000000"/>
              <w:bottom w:val="single" w:sz="4" w:space="0" w:color="000000"/>
              <w:right w:val="single" w:sz="4" w:space="0" w:color="000000"/>
            </w:tcBorders>
            <w:shd w:val="clear" w:color="auto" w:fill="auto"/>
            <w:vAlign w:val="center"/>
          </w:tcPr>
          <w:p w:rsidR="000F2495" w:rsidRPr="00B75FAB" w:rsidRDefault="001A4D2F" w:rsidP="00646B35">
            <w:pPr>
              <w:rPr>
                <w:rFonts w:ascii="Calibri" w:hAnsi="Calibri"/>
              </w:rPr>
            </w:pPr>
            <w:hyperlink r:id="rId7" w:tgtFrame="_blank" w:history="1">
              <w:r w:rsidR="000F2495" w:rsidRPr="00B75FAB">
                <w:rPr>
                  <w:rStyle w:val="Hyperlink"/>
                  <w:rFonts w:ascii="Calibri" w:hAnsi="Calibri"/>
                </w:rPr>
                <w:t>LSH 333 U</w:t>
              </w:r>
            </w:hyperlink>
            <w:r w:rsidR="000F2495" w:rsidRPr="00B75FAB">
              <w:rPr>
                <w:rFonts w:ascii="Calibri" w:hAnsi="Calibri"/>
              </w:rPr>
              <w:t xml:space="preserve"> </w:t>
            </w:r>
          </w:p>
        </w:tc>
        <w:tc>
          <w:tcPr>
            <w:tcW w:w="2250" w:type="dxa"/>
            <w:tcBorders>
              <w:top w:val="nil"/>
              <w:left w:val="nil"/>
              <w:bottom w:val="single" w:sz="4" w:space="0" w:color="000000"/>
              <w:right w:val="single" w:sz="4" w:space="0" w:color="000000"/>
            </w:tcBorders>
            <w:shd w:val="clear" w:color="auto" w:fill="auto"/>
            <w:vAlign w:val="center"/>
          </w:tcPr>
          <w:p w:rsidR="000F2495" w:rsidRPr="00B75FAB" w:rsidRDefault="000F2495" w:rsidP="00646B35">
            <w:pPr>
              <w:rPr>
                <w:rFonts w:ascii="Calibri" w:hAnsi="Calibri"/>
              </w:rPr>
            </w:pPr>
            <w:r w:rsidRPr="00B75FAB">
              <w:rPr>
                <w:rFonts w:ascii="Calibri" w:hAnsi="Calibri"/>
              </w:rPr>
              <w:t>Gandhi</w:t>
            </w:r>
          </w:p>
        </w:tc>
        <w:tc>
          <w:tcPr>
            <w:tcW w:w="4055" w:type="dxa"/>
            <w:tcBorders>
              <w:top w:val="nil"/>
              <w:left w:val="nil"/>
              <w:bottom w:val="single" w:sz="4" w:space="0" w:color="000000"/>
              <w:right w:val="single" w:sz="4" w:space="0" w:color="000000"/>
            </w:tcBorders>
            <w:shd w:val="clear" w:color="auto" w:fill="auto"/>
            <w:vAlign w:val="center"/>
          </w:tcPr>
          <w:p w:rsidR="000F2495" w:rsidRPr="00B75FAB" w:rsidRDefault="000F2495" w:rsidP="00646B35">
            <w:pPr>
              <w:rPr>
                <w:rFonts w:ascii="Calibri" w:hAnsi="Calibri"/>
              </w:rPr>
            </w:pPr>
            <w:r w:rsidRPr="00B75FAB">
              <w:rPr>
                <w:rFonts w:ascii="Calibri" w:hAnsi="Calibri"/>
              </w:rPr>
              <w:t xml:space="preserve">New course </w:t>
            </w:r>
          </w:p>
        </w:tc>
      </w:tr>
      <w:tr w:rsidR="000F2495" w:rsidRPr="00B75FAB" w:rsidTr="00646B35">
        <w:trPr>
          <w:trHeight w:val="300"/>
        </w:trPr>
        <w:tc>
          <w:tcPr>
            <w:tcW w:w="2070" w:type="dxa"/>
            <w:tcBorders>
              <w:top w:val="nil"/>
              <w:left w:val="single" w:sz="4" w:space="0" w:color="000000"/>
              <w:bottom w:val="single" w:sz="4" w:space="0" w:color="auto"/>
              <w:right w:val="single" w:sz="4" w:space="0" w:color="000000"/>
            </w:tcBorders>
            <w:shd w:val="clear" w:color="auto" w:fill="auto"/>
            <w:vAlign w:val="center"/>
            <w:hideMark/>
          </w:tcPr>
          <w:p w:rsidR="000F2495" w:rsidRPr="00B75FAB" w:rsidRDefault="001A4D2F" w:rsidP="00646B35">
            <w:pPr>
              <w:rPr>
                <w:rFonts w:ascii="Calibri" w:hAnsi="Calibri"/>
                <w:color w:val="D9D9D9"/>
                <w:u w:val="single"/>
              </w:rPr>
            </w:pPr>
            <w:hyperlink r:id="rId8" w:history="1">
              <w:r w:rsidR="000F2495" w:rsidRPr="00B75FAB">
                <w:rPr>
                  <w:rFonts w:ascii="Calibri" w:hAnsi="Calibri"/>
                  <w:u w:val="single"/>
                </w:rPr>
                <w:t>Academic</w:t>
              </w:r>
            </w:hyperlink>
            <w:r w:rsidR="000F2495" w:rsidRPr="00B75FAB">
              <w:rPr>
                <w:rFonts w:ascii="Calibri" w:hAnsi="Calibri"/>
                <w:u w:val="single"/>
              </w:rPr>
              <w:t xml:space="preserve"> Request</w:t>
            </w:r>
          </w:p>
        </w:tc>
        <w:tc>
          <w:tcPr>
            <w:tcW w:w="2250" w:type="dxa"/>
            <w:tcBorders>
              <w:top w:val="nil"/>
              <w:left w:val="nil"/>
              <w:bottom w:val="single" w:sz="4" w:space="0" w:color="auto"/>
              <w:right w:val="single" w:sz="4" w:space="0" w:color="000000"/>
            </w:tcBorders>
            <w:shd w:val="clear" w:color="auto" w:fill="auto"/>
            <w:vAlign w:val="center"/>
            <w:hideMark/>
          </w:tcPr>
          <w:p w:rsidR="000F2495" w:rsidRPr="00B75FAB" w:rsidRDefault="000F2495" w:rsidP="00646B35">
            <w:pPr>
              <w:rPr>
                <w:rFonts w:ascii="Calibri" w:hAnsi="Calibri"/>
              </w:rPr>
            </w:pPr>
            <w:r w:rsidRPr="00B75FAB">
              <w:rPr>
                <w:rFonts w:ascii="Calibri" w:hAnsi="Calibri"/>
              </w:rPr>
              <w:t>Options Terminated</w:t>
            </w:r>
          </w:p>
        </w:tc>
        <w:tc>
          <w:tcPr>
            <w:tcW w:w="4055" w:type="dxa"/>
            <w:tcBorders>
              <w:top w:val="nil"/>
              <w:left w:val="nil"/>
              <w:bottom w:val="single" w:sz="4" w:space="0" w:color="auto"/>
              <w:right w:val="single" w:sz="4" w:space="0" w:color="000000"/>
            </w:tcBorders>
            <w:shd w:val="clear" w:color="auto" w:fill="auto"/>
            <w:vAlign w:val="center"/>
            <w:hideMark/>
          </w:tcPr>
          <w:p w:rsidR="000F2495" w:rsidRPr="00B75FAB" w:rsidRDefault="000F2495" w:rsidP="00646B35">
            <w:pPr>
              <w:rPr>
                <w:rFonts w:ascii="Calibri" w:hAnsi="Calibri"/>
              </w:rPr>
            </w:pPr>
            <w:r w:rsidRPr="00B75FAB">
              <w:rPr>
                <w:rFonts w:ascii="Calibri" w:hAnsi="Calibri"/>
              </w:rPr>
              <w:t>Asian Studies and Joint option in Women’s Studies and Liberal Studies</w:t>
            </w:r>
          </w:p>
        </w:tc>
      </w:tr>
    </w:tbl>
    <w:p w:rsidR="000F2495" w:rsidRDefault="000F2495" w:rsidP="000F2495"/>
    <w:p w:rsidR="000F2495" w:rsidRDefault="000F2495" w:rsidP="000F2495">
      <w:pPr>
        <w:ind w:left="360"/>
      </w:pPr>
      <w:r>
        <w:t>There were issues with the course numbers for the two new Literature courses</w:t>
      </w:r>
      <w:r w:rsidR="00F31149">
        <w:t xml:space="preserve"> (LIT 230 and LIT 240)</w:t>
      </w:r>
      <w:r>
        <w:t>.  OCHE will not approve permanent course numbers for courses with varia</w:t>
      </w:r>
      <w:r w:rsidR="00F31149">
        <w:t>ble c</w:t>
      </w:r>
      <w:r w:rsidR="001A4D2F">
        <w:t>ontent</w:t>
      </w:r>
      <w:r w:rsidR="00F31149">
        <w:t xml:space="preserve">.  </w:t>
      </w:r>
      <w:bookmarkStart w:id="0" w:name="_GoBack"/>
      <w:r w:rsidR="00F31149">
        <w:t xml:space="preserve">One option is for the </w:t>
      </w:r>
      <w:r>
        <w:t>courses use the 294 number with the title “</w:t>
      </w:r>
      <w:r>
        <w:rPr>
          <w:rFonts w:ascii="Calibri" w:hAnsi="Calibri"/>
          <w:color w:val="000000"/>
        </w:rPr>
        <w:t xml:space="preserve">Seminar: </w:t>
      </w:r>
      <w:r>
        <w:t xml:space="preserve"> Literary Histories” and Seminar: </w:t>
      </w:r>
      <w:r w:rsidRPr="00B75FAB">
        <w:rPr>
          <w:rFonts w:ascii="Calibri" w:hAnsi="Calibri"/>
          <w:color w:val="000000"/>
        </w:rPr>
        <w:t>Genres, Themes, Approaches</w:t>
      </w:r>
      <w:r>
        <w:rPr>
          <w:rFonts w:ascii="Calibri" w:hAnsi="Calibri"/>
          <w:color w:val="000000"/>
        </w:rPr>
        <w:t xml:space="preserve">.  </w:t>
      </w:r>
      <w:bookmarkEnd w:id="0"/>
      <w:r>
        <w:rPr>
          <w:rFonts w:ascii="Calibri" w:hAnsi="Calibri"/>
          <w:color w:val="000000"/>
        </w:rPr>
        <w:t xml:space="preserve">A more generic syllabus is needed with overarching learning outcomes </w:t>
      </w:r>
      <w:r w:rsidR="00F31149">
        <w:rPr>
          <w:rFonts w:ascii="Calibri" w:hAnsi="Calibri"/>
          <w:color w:val="000000"/>
        </w:rPr>
        <w:t xml:space="preserve">to be sent to </w:t>
      </w:r>
      <w:proofErr w:type="spellStart"/>
      <w:r w:rsidR="00F31149">
        <w:rPr>
          <w:rFonts w:ascii="Calibri" w:hAnsi="Calibri"/>
          <w:color w:val="000000"/>
        </w:rPr>
        <w:t>OCHE</w:t>
      </w:r>
      <w:proofErr w:type="spellEnd"/>
      <w:r w:rsidR="00F31149">
        <w:rPr>
          <w:rFonts w:ascii="Calibri" w:hAnsi="Calibri"/>
          <w:color w:val="000000"/>
        </w:rPr>
        <w:t xml:space="preserve">.  The courses were approved with the understanding revised syllabi would be submitted.  There was also the issue of the sample syllabus overlapping with a course taught in Classics.  There will be discussions among the effected programs. </w:t>
      </w:r>
      <w:r>
        <w:rPr>
          <w:rFonts w:ascii="Calibri" w:hAnsi="Calibri"/>
          <w:color w:val="000000"/>
        </w:rPr>
        <w:t xml:space="preserve">  The reserved course numbered courses do not require review by OCHE.  </w:t>
      </w:r>
    </w:p>
    <w:p w:rsidR="000F2495" w:rsidRDefault="000F2495" w:rsidP="000F2495">
      <w:pPr>
        <w:pStyle w:val="ListParagraph"/>
        <w:numPr>
          <w:ilvl w:val="0"/>
          <w:numId w:val="38"/>
        </w:numPr>
        <w:ind w:left="360"/>
      </w:pPr>
      <w:r>
        <w:t xml:space="preserve">The following consent agenda from the Social Science subcommittee was approved. </w:t>
      </w:r>
    </w:p>
    <w:tbl>
      <w:tblPr>
        <w:tblW w:w="8375" w:type="dxa"/>
        <w:tblInd w:w="828" w:type="dxa"/>
        <w:tblCellMar>
          <w:left w:w="0" w:type="dxa"/>
          <w:right w:w="0" w:type="dxa"/>
        </w:tblCellMar>
        <w:tblLook w:val="04A0" w:firstRow="1" w:lastRow="0" w:firstColumn="1" w:lastColumn="0" w:noHBand="0" w:noVBand="1"/>
      </w:tblPr>
      <w:tblGrid>
        <w:gridCol w:w="1437"/>
        <w:gridCol w:w="183"/>
        <w:gridCol w:w="2700"/>
        <w:gridCol w:w="4055"/>
      </w:tblGrid>
      <w:tr w:rsidR="000F2495" w:rsidRPr="00B75FAB" w:rsidTr="00646B35">
        <w:trPr>
          <w:trHeight w:val="300"/>
        </w:trPr>
        <w:tc>
          <w:tcPr>
            <w:tcW w:w="837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2495" w:rsidRPr="00B75FAB" w:rsidRDefault="000F2495" w:rsidP="00646B35">
            <w:pPr>
              <w:jc w:val="center"/>
              <w:rPr>
                <w:rFonts w:ascii="Calibri" w:eastAsia="Calibri" w:hAnsi="Calibri"/>
              </w:rPr>
            </w:pPr>
            <w:r w:rsidRPr="00B75FAB">
              <w:rPr>
                <w:rFonts w:ascii="Calibri" w:hAnsi="Calibri"/>
                <w:b/>
                <w:bCs/>
              </w:rPr>
              <w:t>Environmental Studies</w:t>
            </w:r>
          </w:p>
        </w:tc>
      </w:tr>
      <w:tr w:rsidR="000F2495" w:rsidRPr="00B75FAB" w:rsidTr="00365160">
        <w:trPr>
          <w:trHeight w:val="300"/>
        </w:trPr>
        <w:tc>
          <w:tcPr>
            <w:tcW w:w="14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2495" w:rsidRPr="005F5C47" w:rsidRDefault="001A4D2F" w:rsidP="00646B35">
            <w:pPr>
              <w:rPr>
                <w:rFonts w:eastAsia="Calibri"/>
              </w:rPr>
            </w:pPr>
            <w:hyperlink r:id="rId9" w:tgtFrame="_blank" w:history="1">
              <w:r w:rsidR="000F2495" w:rsidRPr="005F5C47">
                <w:rPr>
                  <w:rStyle w:val="Hyperlink"/>
                  <w:color w:val="000000" w:themeColor="text1"/>
                  <w:u w:val="none"/>
                </w:rPr>
                <w:t>ENST</w:t>
              </w:r>
            </w:hyperlink>
            <w:r w:rsidR="000F2495" w:rsidRPr="005F5C47">
              <w:rPr>
                <w:color w:val="000000" w:themeColor="text1"/>
              </w:rPr>
              <w:t xml:space="preserve"> 320</w:t>
            </w:r>
          </w:p>
        </w:tc>
        <w:tc>
          <w:tcPr>
            <w:tcW w:w="288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2495" w:rsidRPr="00B75FAB" w:rsidRDefault="000F2495" w:rsidP="00646B35">
            <w:pPr>
              <w:rPr>
                <w:rFonts w:ascii="Calibri" w:eastAsia="Calibri" w:hAnsi="Calibri"/>
              </w:rPr>
            </w:pPr>
            <w:r w:rsidRPr="00B75FAB">
              <w:rPr>
                <w:rFonts w:ascii="Calibri" w:hAnsi="Calibri"/>
              </w:rPr>
              <w:t>Earth Ethics</w:t>
            </w:r>
          </w:p>
        </w:tc>
        <w:tc>
          <w:tcPr>
            <w:tcW w:w="40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2495" w:rsidRPr="00B75FAB" w:rsidRDefault="000F2495" w:rsidP="00646B35">
            <w:pPr>
              <w:rPr>
                <w:rFonts w:ascii="Calibri" w:eastAsia="Calibri" w:hAnsi="Calibri"/>
              </w:rPr>
            </w:pPr>
            <w:r w:rsidRPr="00B75FAB">
              <w:rPr>
                <w:rFonts w:ascii="Calibri" w:hAnsi="Calibri"/>
              </w:rPr>
              <w:t>New Course</w:t>
            </w:r>
          </w:p>
        </w:tc>
      </w:tr>
      <w:tr w:rsidR="000F2495" w:rsidRPr="00B75FAB" w:rsidTr="00646B35">
        <w:trPr>
          <w:trHeight w:val="300"/>
        </w:trPr>
        <w:tc>
          <w:tcPr>
            <w:tcW w:w="837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2495" w:rsidRPr="00B75FAB" w:rsidRDefault="000F2495" w:rsidP="00646B35">
            <w:pPr>
              <w:jc w:val="center"/>
              <w:rPr>
                <w:rFonts w:ascii="Calibri" w:eastAsia="Calibri" w:hAnsi="Calibri"/>
              </w:rPr>
            </w:pPr>
            <w:r w:rsidRPr="00B75FAB">
              <w:rPr>
                <w:rFonts w:ascii="Calibri" w:hAnsi="Calibri"/>
                <w:b/>
                <w:bCs/>
                <w:color w:val="000000"/>
              </w:rPr>
              <w:t>MC: Applied Arts and Science - Communication and Psychology</w:t>
            </w:r>
          </w:p>
        </w:tc>
      </w:tr>
      <w:tr w:rsidR="000F2495" w:rsidRPr="00B75FAB" w:rsidTr="00365160">
        <w:trPr>
          <w:trHeight w:val="600"/>
        </w:trPr>
        <w:tc>
          <w:tcPr>
            <w:tcW w:w="16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2495" w:rsidRPr="005F5C47" w:rsidRDefault="001A4D2F" w:rsidP="00646B35">
            <w:pPr>
              <w:rPr>
                <w:rFonts w:ascii="Calibri" w:eastAsia="Calibri" w:hAnsi="Calibri"/>
              </w:rPr>
            </w:pPr>
            <w:hyperlink r:id="rId10" w:tgtFrame="_blank" w:history="1">
              <w:r w:rsidR="000F2495" w:rsidRPr="005F5C47">
                <w:rPr>
                  <w:rStyle w:val="Hyperlink"/>
                  <w:rFonts w:ascii="Calibri" w:hAnsi="Calibri"/>
                  <w:color w:val="000000" w:themeColor="text1"/>
                  <w:u w:val="none"/>
                </w:rPr>
                <w:t>COMX 205 U</w:t>
              </w:r>
            </w:hyperlink>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2495" w:rsidRPr="00B75FAB" w:rsidRDefault="000F2495" w:rsidP="00646B35">
            <w:pPr>
              <w:rPr>
                <w:rFonts w:ascii="Calibri" w:eastAsia="Calibri" w:hAnsi="Calibri"/>
              </w:rPr>
            </w:pPr>
            <w:r w:rsidRPr="00B75FAB">
              <w:rPr>
                <w:rFonts w:ascii="Calibri" w:hAnsi="Calibri"/>
                <w:color w:val="000000"/>
              </w:rPr>
              <w:t>Deliberative Democracy</w:t>
            </w:r>
          </w:p>
        </w:tc>
        <w:tc>
          <w:tcPr>
            <w:tcW w:w="40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2495" w:rsidRPr="00B75FAB" w:rsidRDefault="000F2495" w:rsidP="00646B35">
            <w:pPr>
              <w:rPr>
                <w:rFonts w:ascii="Calibri" w:eastAsia="Calibri" w:hAnsi="Calibri"/>
              </w:rPr>
            </w:pPr>
            <w:r w:rsidRPr="00B75FAB">
              <w:rPr>
                <w:rFonts w:ascii="Calibri" w:hAnsi="Calibri"/>
                <w:color w:val="000000"/>
              </w:rPr>
              <w:t>New course</w:t>
            </w:r>
          </w:p>
        </w:tc>
      </w:tr>
    </w:tbl>
    <w:p w:rsidR="000F2495" w:rsidRDefault="000F2495" w:rsidP="000F2495">
      <w:pPr>
        <w:pStyle w:val="ListParagraph"/>
        <w:ind w:left="0"/>
      </w:pPr>
    </w:p>
    <w:p w:rsidR="000B0ABD" w:rsidRDefault="000B0ABD" w:rsidP="000B0ABD">
      <w:pPr>
        <w:pStyle w:val="ListParagraph"/>
        <w:numPr>
          <w:ilvl w:val="0"/>
          <w:numId w:val="32"/>
        </w:numPr>
      </w:pPr>
      <w:r>
        <w:t xml:space="preserve">The following general education </w:t>
      </w:r>
      <w:r w:rsidR="000F2495">
        <w:t xml:space="preserve">consent agenda was approved. </w:t>
      </w:r>
      <w:r w:rsidR="00646B35">
        <w:br/>
      </w:r>
    </w:p>
    <w:p w:rsidR="00365160" w:rsidRDefault="00365160" w:rsidP="00646B35">
      <w:pPr>
        <w:pStyle w:val="ListParagraph"/>
        <w:ind w:left="360"/>
        <w:jc w:val="center"/>
      </w:pPr>
      <w:r>
        <w:t>General Education Consent Agenda, 2/28/17</w:t>
      </w:r>
    </w:p>
    <w:p w:rsidR="00365160" w:rsidRDefault="00365160" w:rsidP="00365160">
      <w:pPr>
        <w:pStyle w:val="ListParagraph"/>
        <w:ind w:left="360"/>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4050"/>
      </w:tblGrid>
      <w:tr w:rsidR="00365160" w:rsidRPr="00AB704C" w:rsidTr="00365160">
        <w:trPr>
          <w:trHeight w:val="290"/>
        </w:trPr>
        <w:tc>
          <w:tcPr>
            <w:tcW w:w="1440" w:type="dxa"/>
            <w:shd w:val="clear" w:color="auto" w:fill="auto"/>
            <w:noWrap/>
            <w:vAlign w:val="bottom"/>
          </w:tcPr>
          <w:p w:rsidR="00365160" w:rsidRPr="005F5C47" w:rsidRDefault="00365160" w:rsidP="00646B35">
            <w:pPr>
              <w:rPr>
                <w:rFonts w:cs="Calibri"/>
                <w:color w:val="000000"/>
              </w:rPr>
            </w:pPr>
            <w:r w:rsidRPr="005F5C47">
              <w:rPr>
                <w:rFonts w:cs="Calibri"/>
                <w:color w:val="000000"/>
              </w:rPr>
              <w:t>Course</w:t>
            </w:r>
          </w:p>
        </w:tc>
        <w:tc>
          <w:tcPr>
            <w:tcW w:w="2880" w:type="dxa"/>
            <w:shd w:val="clear" w:color="auto" w:fill="auto"/>
            <w:noWrap/>
            <w:vAlign w:val="bottom"/>
          </w:tcPr>
          <w:p w:rsidR="00365160" w:rsidRPr="005F5C47" w:rsidRDefault="00365160" w:rsidP="00646B35">
            <w:pPr>
              <w:rPr>
                <w:rFonts w:cs="Calibri"/>
                <w:color w:val="000000"/>
              </w:rPr>
            </w:pPr>
            <w:r w:rsidRPr="005F5C47">
              <w:rPr>
                <w:rFonts w:cs="Calibri"/>
                <w:color w:val="000000"/>
              </w:rPr>
              <w:t xml:space="preserve">Title </w:t>
            </w:r>
          </w:p>
        </w:tc>
        <w:tc>
          <w:tcPr>
            <w:tcW w:w="4050" w:type="dxa"/>
            <w:shd w:val="clear" w:color="auto" w:fill="auto"/>
            <w:noWrap/>
            <w:vAlign w:val="bottom"/>
          </w:tcPr>
          <w:p w:rsidR="00365160" w:rsidRPr="005F5C47" w:rsidRDefault="00365160" w:rsidP="00646B35">
            <w:r w:rsidRPr="005F5C47">
              <w:t>General Education Group</w:t>
            </w:r>
          </w:p>
        </w:tc>
      </w:tr>
      <w:tr w:rsidR="00365160" w:rsidRPr="00AB704C" w:rsidTr="00365160">
        <w:trPr>
          <w:trHeight w:val="290"/>
        </w:trPr>
        <w:tc>
          <w:tcPr>
            <w:tcW w:w="1440" w:type="dxa"/>
            <w:shd w:val="clear" w:color="auto" w:fill="auto"/>
            <w:noWrap/>
            <w:vAlign w:val="bottom"/>
            <w:hideMark/>
          </w:tcPr>
          <w:p w:rsidR="00365160" w:rsidRPr="005F5C47" w:rsidRDefault="00365160" w:rsidP="00646B35">
            <w:pPr>
              <w:rPr>
                <w:rFonts w:cs="Calibri"/>
                <w:color w:val="000000"/>
              </w:rPr>
            </w:pPr>
            <w:proofErr w:type="spellStart"/>
            <w:r w:rsidRPr="005F5C47">
              <w:rPr>
                <w:rFonts w:cs="Calibri"/>
                <w:color w:val="000000"/>
              </w:rPr>
              <w:t>ANTY</w:t>
            </w:r>
            <w:proofErr w:type="spellEnd"/>
            <w:r w:rsidRPr="005F5C47">
              <w:rPr>
                <w:rFonts w:cs="Calibri"/>
                <w:color w:val="000000"/>
              </w:rPr>
              <w:t xml:space="preserve"> 150</w:t>
            </w:r>
          </w:p>
        </w:tc>
        <w:tc>
          <w:tcPr>
            <w:tcW w:w="2880" w:type="dxa"/>
            <w:shd w:val="clear" w:color="auto" w:fill="auto"/>
            <w:noWrap/>
            <w:vAlign w:val="bottom"/>
            <w:hideMark/>
          </w:tcPr>
          <w:p w:rsidR="00365160" w:rsidRPr="005F5C47" w:rsidRDefault="00365160" w:rsidP="00646B35">
            <w:pPr>
              <w:rPr>
                <w:rFonts w:cs="Calibri"/>
                <w:color w:val="000000"/>
              </w:rPr>
            </w:pPr>
            <w:r w:rsidRPr="005F5C47">
              <w:rPr>
                <w:rFonts w:cs="Calibri"/>
                <w:color w:val="000000"/>
              </w:rPr>
              <w:t>Archaeology of Yellowstone</w:t>
            </w:r>
          </w:p>
        </w:tc>
        <w:tc>
          <w:tcPr>
            <w:tcW w:w="4050" w:type="dxa"/>
            <w:shd w:val="clear" w:color="auto" w:fill="auto"/>
            <w:noWrap/>
            <w:vAlign w:val="bottom"/>
            <w:hideMark/>
          </w:tcPr>
          <w:p w:rsidR="00365160" w:rsidRPr="005F5C47" w:rsidRDefault="00365160" w:rsidP="00646B35">
            <w:pPr>
              <w:rPr>
                <w:rFonts w:cs="Calibri"/>
                <w:color w:val="000000"/>
              </w:rPr>
            </w:pPr>
            <w:r w:rsidRPr="005F5C47">
              <w:t xml:space="preserve">Cultural &amp; International Diversity </w:t>
            </w:r>
            <w:r w:rsidRPr="005F5C47">
              <w:br/>
              <w:t>(New Course)</w:t>
            </w:r>
          </w:p>
        </w:tc>
      </w:tr>
      <w:tr w:rsidR="00365160" w:rsidRPr="00AB704C" w:rsidTr="00365160">
        <w:trPr>
          <w:trHeight w:val="290"/>
        </w:trPr>
        <w:tc>
          <w:tcPr>
            <w:tcW w:w="1440" w:type="dxa"/>
            <w:shd w:val="clear" w:color="auto" w:fill="auto"/>
            <w:noWrap/>
            <w:vAlign w:val="bottom"/>
          </w:tcPr>
          <w:p w:rsidR="00365160" w:rsidRPr="005F5C47" w:rsidRDefault="00365160" w:rsidP="00646B35">
            <w:pPr>
              <w:rPr>
                <w:rFonts w:cs="Calibri"/>
                <w:color w:val="000000"/>
              </w:rPr>
            </w:pPr>
            <w:r w:rsidRPr="005F5C47">
              <w:rPr>
                <w:rFonts w:cs="Calibri"/>
                <w:color w:val="000000"/>
              </w:rPr>
              <w:t>EDU 407</w:t>
            </w:r>
          </w:p>
        </w:tc>
        <w:tc>
          <w:tcPr>
            <w:tcW w:w="2880" w:type="dxa"/>
            <w:shd w:val="clear" w:color="auto" w:fill="auto"/>
            <w:noWrap/>
            <w:vAlign w:val="bottom"/>
          </w:tcPr>
          <w:p w:rsidR="00365160" w:rsidRPr="005F5C47" w:rsidRDefault="00365160" w:rsidP="00646B35">
            <w:pPr>
              <w:rPr>
                <w:rFonts w:cs="Calibri"/>
                <w:color w:val="000000"/>
              </w:rPr>
            </w:pPr>
            <w:r w:rsidRPr="005F5C47">
              <w:rPr>
                <w:color w:val="000000"/>
              </w:rPr>
              <w:t>Ethics and Policy Issues</w:t>
            </w:r>
          </w:p>
        </w:tc>
        <w:tc>
          <w:tcPr>
            <w:tcW w:w="4050" w:type="dxa"/>
            <w:shd w:val="clear" w:color="auto" w:fill="auto"/>
            <w:noWrap/>
            <w:vAlign w:val="bottom"/>
          </w:tcPr>
          <w:p w:rsidR="00365160" w:rsidRPr="005F5C47" w:rsidRDefault="00365160" w:rsidP="00646B35">
            <w:r w:rsidRPr="005F5C47">
              <w:t>Ethics (renew)</w:t>
            </w:r>
          </w:p>
        </w:tc>
      </w:tr>
      <w:tr w:rsidR="00365160" w:rsidRPr="00AB704C" w:rsidTr="00365160">
        <w:trPr>
          <w:trHeight w:val="290"/>
        </w:trPr>
        <w:tc>
          <w:tcPr>
            <w:tcW w:w="1440" w:type="dxa"/>
            <w:shd w:val="clear" w:color="auto" w:fill="auto"/>
            <w:noWrap/>
            <w:vAlign w:val="bottom"/>
          </w:tcPr>
          <w:p w:rsidR="00365160" w:rsidRPr="005F5C47" w:rsidRDefault="00365160" w:rsidP="00646B35">
            <w:pPr>
              <w:rPr>
                <w:rFonts w:cs="Calibri"/>
                <w:color w:val="000000"/>
              </w:rPr>
            </w:pPr>
            <w:r w:rsidRPr="005F5C47">
              <w:rPr>
                <w:rFonts w:cs="Calibri"/>
                <w:color w:val="000000"/>
              </w:rPr>
              <w:t>SW 410</w:t>
            </w:r>
          </w:p>
        </w:tc>
        <w:tc>
          <w:tcPr>
            <w:tcW w:w="2880" w:type="dxa"/>
            <w:shd w:val="clear" w:color="auto" w:fill="auto"/>
            <w:noWrap/>
            <w:vAlign w:val="bottom"/>
          </w:tcPr>
          <w:p w:rsidR="00365160" w:rsidRPr="005F5C47" w:rsidRDefault="00365160" w:rsidP="00646B35">
            <w:pPr>
              <w:rPr>
                <w:color w:val="000000"/>
              </w:rPr>
            </w:pPr>
            <w:r w:rsidRPr="005F5C47">
              <w:t>Social Work Ethics</w:t>
            </w:r>
          </w:p>
        </w:tc>
        <w:tc>
          <w:tcPr>
            <w:tcW w:w="4050" w:type="dxa"/>
            <w:shd w:val="clear" w:color="auto" w:fill="auto"/>
            <w:noWrap/>
            <w:vAlign w:val="bottom"/>
          </w:tcPr>
          <w:p w:rsidR="00365160" w:rsidRPr="005F5C47" w:rsidRDefault="00365160" w:rsidP="00646B35">
            <w:r w:rsidRPr="005F5C47">
              <w:t>Ethics (Renew)</w:t>
            </w:r>
          </w:p>
        </w:tc>
      </w:tr>
    </w:tbl>
    <w:p w:rsidR="00365160" w:rsidRDefault="00365160" w:rsidP="00365160">
      <w:pPr>
        <w:pStyle w:val="ListParagraph"/>
        <w:ind w:left="360"/>
      </w:pPr>
    </w:p>
    <w:p w:rsidR="000F2495" w:rsidRDefault="000F2495" w:rsidP="000F2495">
      <w:pPr>
        <w:pStyle w:val="ListParagraph"/>
        <w:numPr>
          <w:ilvl w:val="0"/>
          <w:numId w:val="32"/>
        </w:numPr>
      </w:pPr>
      <w:r>
        <w:t xml:space="preserve">A member of ECOS had some concerns with the revised Honors Policy.  These were addressed in the following amended revision.  It was approved by ASCRC. </w:t>
      </w:r>
    </w:p>
    <w:p w:rsidR="00365160" w:rsidRDefault="00365160" w:rsidP="00365160">
      <w:pPr>
        <w:pStyle w:val="Heading3"/>
        <w:ind w:left="360"/>
      </w:pPr>
      <w:r>
        <w:lastRenderedPageBreak/>
        <w:t>Revised UM Policy:  Graduation with Honors, 3/16/17</w:t>
      </w:r>
      <w:r>
        <w:br/>
      </w:r>
    </w:p>
    <w:p w:rsidR="00365160" w:rsidRDefault="00365160" w:rsidP="00365160">
      <w:pPr>
        <w:widowControl w:val="0"/>
        <w:autoSpaceDE w:val="0"/>
        <w:autoSpaceDN w:val="0"/>
        <w:adjustRightInd w:val="0"/>
        <w:ind w:left="360"/>
        <w:jc w:val="both"/>
        <w:rPr>
          <w:rFonts w:cs="Arial"/>
        </w:rPr>
      </w:pPr>
      <w:r>
        <w:rPr>
          <w:rFonts w:cs="Arial"/>
        </w:rPr>
        <w:t xml:space="preserve">Graduates may be awarded honors with their certificates, associate, and bachelor degrees based on their cumulative University of Montana-Missoula (UM) Grade point average (GPA). </w:t>
      </w:r>
    </w:p>
    <w:p w:rsidR="00365160" w:rsidRDefault="00365160" w:rsidP="00365160">
      <w:pPr>
        <w:widowControl w:val="0"/>
        <w:autoSpaceDE w:val="0"/>
        <w:autoSpaceDN w:val="0"/>
        <w:adjustRightInd w:val="0"/>
        <w:ind w:left="360"/>
        <w:jc w:val="both"/>
        <w:rPr>
          <w:rFonts w:cs="Arial"/>
        </w:rPr>
      </w:pPr>
    </w:p>
    <w:p w:rsidR="00365160" w:rsidRDefault="00365160" w:rsidP="00365160">
      <w:pPr>
        <w:widowControl w:val="0"/>
        <w:autoSpaceDE w:val="0"/>
        <w:autoSpaceDN w:val="0"/>
        <w:adjustRightInd w:val="0"/>
        <w:ind w:left="360"/>
        <w:jc w:val="both"/>
        <w:rPr>
          <w:rFonts w:cs="Arial"/>
        </w:rPr>
      </w:pPr>
      <w:r>
        <w:rPr>
          <w:rFonts w:cs="Arial"/>
        </w:rPr>
        <w:t>Consistent with Board of Regents policy, the UM GPA shall be computed by dividing the sum of grade points earned by the total credits carried, except that neither the credits nor the grade points shall be counted for a. non-credit, remedial, developmental, or other sub college-level courses; b. courses taken on a credit/no credit basis (pass/fail, etc.); or, c. transferred coursework. To be eligible for graduation honors, students transferring to UM must complete a minimum of 50% of the credits used to calculate their GPA at UM.</w:t>
      </w:r>
    </w:p>
    <w:p w:rsidR="00365160" w:rsidRDefault="00365160" w:rsidP="00365160">
      <w:pPr>
        <w:widowControl w:val="0"/>
        <w:autoSpaceDE w:val="0"/>
        <w:autoSpaceDN w:val="0"/>
        <w:adjustRightInd w:val="0"/>
        <w:ind w:left="360"/>
        <w:jc w:val="both"/>
        <w:rPr>
          <w:rFonts w:cs="Arial"/>
        </w:rPr>
      </w:pPr>
    </w:p>
    <w:p w:rsidR="00365160" w:rsidRDefault="00365160" w:rsidP="00365160">
      <w:pPr>
        <w:widowControl w:val="0"/>
        <w:autoSpaceDE w:val="0"/>
        <w:autoSpaceDN w:val="0"/>
        <w:adjustRightInd w:val="0"/>
        <w:ind w:left="360"/>
        <w:jc w:val="both"/>
        <w:rPr>
          <w:rFonts w:cs="Arial"/>
          <w:b/>
          <w:bCs/>
        </w:rPr>
      </w:pPr>
      <w:r>
        <w:rPr>
          <w:rFonts w:cs="Arial"/>
          <w:b/>
          <w:bCs/>
        </w:rPr>
        <w:t xml:space="preserve">Graduation </w:t>
      </w:r>
      <w:r>
        <w:rPr>
          <w:rFonts w:cs="Arial"/>
          <w:b/>
          <w:bCs/>
          <w:i/>
        </w:rPr>
        <w:t>cum laude</w:t>
      </w:r>
      <w:r>
        <w:rPr>
          <w:rFonts w:cs="Arial"/>
          <w:b/>
          <w:bCs/>
        </w:rPr>
        <w:t xml:space="preserve">, </w:t>
      </w:r>
      <w:r>
        <w:rPr>
          <w:rFonts w:cs="Arial"/>
          <w:b/>
          <w:bCs/>
          <w:i/>
        </w:rPr>
        <w:t>magna cum laude or summa cum laude</w:t>
      </w:r>
    </w:p>
    <w:p w:rsidR="00365160" w:rsidRDefault="00365160" w:rsidP="00365160">
      <w:pPr>
        <w:widowControl w:val="0"/>
        <w:autoSpaceDE w:val="0"/>
        <w:autoSpaceDN w:val="0"/>
        <w:adjustRightInd w:val="0"/>
        <w:ind w:left="360"/>
        <w:jc w:val="both"/>
        <w:rPr>
          <w:rFonts w:cs="Arial"/>
        </w:rPr>
      </w:pPr>
      <w:r>
        <w:rPr>
          <w:rFonts w:cs="Arial"/>
        </w:rPr>
        <w:t>Each semester the registrar shall distribute a list of graduation candidates with a UM GPA that meets or exceeds 3.40. Faculty Senate shall award honors as:</w:t>
      </w:r>
    </w:p>
    <w:p w:rsidR="00365160" w:rsidRDefault="00365160" w:rsidP="00365160">
      <w:pPr>
        <w:widowControl w:val="0"/>
        <w:autoSpaceDE w:val="0"/>
        <w:autoSpaceDN w:val="0"/>
        <w:adjustRightInd w:val="0"/>
        <w:ind w:left="360"/>
        <w:jc w:val="both"/>
        <w:rPr>
          <w:rFonts w:cs="Arial"/>
        </w:rPr>
      </w:pPr>
      <w:r>
        <w:rPr>
          <w:rFonts w:cs="Arial"/>
        </w:rPr>
        <w:t xml:space="preserve">1. </w:t>
      </w:r>
      <w:r>
        <w:rPr>
          <w:rFonts w:cs="Arial"/>
          <w:i/>
        </w:rPr>
        <w:t>Cum laude:</w:t>
      </w:r>
      <w:r>
        <w:rPr>
          <w:rFonts w:cs="Arial"/>
        </w:rPr>
        <w:t xml:space="preserve"> All undergraduate students shall graduate </w:t>
      </w:r>
      <w:r>
        <w:rPr>
          <w:rFonts w:cs="Arial"/>
          <w:i/>
        </w:rPr>
        <w:t>cum laude</w:t>
      </w:r>
      <w:r>
        <w:rPr>
          <w:rFonts w:cs="Arial"/>
        </w:rPr>
        <w:t xml:space="preserve"> when their cumulative UM GPA meets or exceeds 3.40. </w:t>
      </w:r>
    </w:p>
    <w:p w:rsidR="00365160" w:rsidRDefault="00365160" w:rsidP="00365160">
      <w:pPr>
        <w:widowControl w:val="0"/>
        <w:autoSpaceDE w:val="0"/>
        <w:autoSpaceDN w:val="0"/>
        <w:adjustRightInd w:val="0"/>
        <w:ind w:left="360"/>
        <w:jc w:val="both"/>
        <w:rPr>
          <w:rFonts w:cs="Arial"/>
        </w:rPr>
      </w:pPr>
      <w:r>
        <w:rPr>
          <w:rFonts w:cs="Arial"/>
        </w:rPr>
        <w:t xml:space="preserve">2. </w:t>
      </w:r>
      <w:r>
        <w:rPr>
          <w:rFonts w:cs="Arial"/>
          <w:i/>
        </w:rPr>
        <w:t>Magna cum laude:</w:t>
      </w:r>
      <w:r>
        <w:rPr>
          <w:rFonts w:cs="Arial"/>
        </w:rPr>
        <w:t xml:space="preserve"> Departments and programs may stipulate additional requirements and then recommend students for graduation </w:t>
      </w:r>
      <w:r>
        <w:rPr>
          <w:rFonts w:cs="Arial"/>
          <w:i/>
        </w:rPr>
        <w:t>magna cum laude</w:t>
      </w:r>
      <w:r>
        <w:rPr>
          <w:rFonts w:cs="Arial"/>
        </w:rPr>
        <w:t xml:space="preserve"> when the cumulative UM GPA meets or exceeds 3.70. </w:t>
      </w:r>
    </w:p>
    <w:p w:rsidR="00365160" w:rsidRDefault="00365160" w:rsidP="00365160">
      <w:pPr>
        <w:widowControl w:val="0"/>
        <w:autoSpaceDE w:val="0"/>
        <w:autoSpaceDN w:val="0"/>
        <w:adjustRightInd w:val="0"/>
        <w:ind w:left="360"/>
        <w:jc w:val="both"/>
        <w:rPr>
          <w:rFonts w:cs="Arial"/>
        </w:rPr>
      </w:pPr>
      <w:r>
        <w:rPr>
          <w:rFonts w:cs="Arial"/>
        </w:rPr>
        <w:t xml:space="preserve">3. </w:t>
      </w:r>
      <w:r>
        <w:rPr>
          <w:rFonts w:cs="Arial"/>
          <w:i/>
        </w:rPr>
        <w:t>Summa cum laude</w:t>
      </w:r>
      <w:r>
        <w:rPr>
          <w:rFonts w:cs="Arial"/>
        </w:rPr>
        <w:t xml:space="preserve">: Departments and programs may stipulate additional requirements and then recommend students for graduation </w:t>
      </w:r>
      <w:r>
        <w:rPr>
          <w:rFonts w:cs="Arial"/>
          <w:i/>
        </w:rPr>
        <w:t>summa cum laude</w:t>
      </w:r>
      <w:r>
        <w:rPr>
          <w:rFonts w:cs="Arial"/>
        </w:rPr>
        <w:t xml:space="preserve"> when their UM GPA meets or exceeds 3.90.</w:t>
      </w:r>
    </w:p>
    <w:p w:rsidR="000F2495" w:rsidRDefault="000F2495" w:rsidP="000F2495">
      <w:pPr>
        <w:pStyle w:val="ListParagraph"/>
        <w:numPr>
          <w:ilvl w:val="0"/>
          <w:numId w:val="32"/>
        </w:numPr>
      </w:pPr>
      <w:proofErr w:type="spellStart"/>
      <w:r>
        <w:t>ASCRC</w:t>
      </w:r>
      <w:proofErr w:type="spellEnd"/>
      <w:r>
        <w:t xml:space="preserve"> discussed the courses that were halted at OCHE.  F</w:t>
      </w:r>
      <w:r w:rsidR="00DA687A">
        <w:t>ILM</w:t>
      </w:r>
      <w:r>
        <w:t xml:space="preserve"> 271 Film and Literature is in the CCN data base as LIT 270 Film as Literature and is offered by two other campuses.  Camie will inform the department that this request was denied. OCHE recommends that EDU 455 Teacher Professional Development Workshop use the reserved course number for Workshop.  Education is concerned that there be some distinction to ensure the course t is not offered for college credit.  It is taught through continuing education.   Registrar Hickman indicated that Continuing Education can offer the workshop without an EDU course number for continuing education credit.  A discussion just needs to occur with Continuing Education.  Professor Missett will communicate this to the requestor.   Camie will follow-up with the Art Department regarding ARTH 161, Topics in Art.  The intent is for the course to have variable content; therefore it should use one of the reserved course numbers.  </w:t>
      </w:r>
    </w:p>
    <w:p w:rsidR="000F2495" w:rsidRDefault="000F2495" w:rsidP="000F2495">
      <w:pPr>
        <w:pStyle w:val="ListParagraph"/>
        <w:ind w:left="360"/>
      </w:pPr>
      <w:r>
        <w:t xml:space="preserve">There are examples in other departments of permanent courses that have variable content, such as </w:t>
      </w:r>
      <w:proofErr w:type="spellStart"/>
      <w:r w:rsidR="00365160">
        <w:t>PSCI</w:t>
      </w:r>
      <w:proofErr w:type="spellEnd"/>
      <w:r w:rsidR="00365160">
        <w:t xml:space="preserve"> 330, Experimental Offerings: International Relations, </w:t>
      </w:r>
      <w:proofErr w:type="spellStart"/>
      <w:r w:rsidR="00365160">
        <w:t>PSCI</w:t>
      </w:r>
      <w:proofErr w:type="spellEnd"/>
      <w:r w:rsidR="00365160">
        <w:t xml:space="preserve"> 340, Experimental Offerings: American Government, </w:t>
      </w:r>
      <w:proofErr w:type="spellStart"/>
      <w:r w:rsidR="00365160">
        <w:t>PSCI</w:t>
      </w:r>
      <w:proofErr w:type="spellEnd"/>
      <w:r w:rsidR="00365160">
        <w:t xml:space="preserve"> 350 Experimental Offerings: Political Theory, and </w:t>
      </w:r>
      <w:proofErr w:type="spellStart"/>
      <w:r w:rsidR="00365160">
        <w:t>ANTY</w:t>
      </w:r>
      <w:proofErr w:type="spellEnd"/>
      <w:r w:rsidR="00365160">
        <w:t xml:space="preserve"> 330X Peoples and Cultures of the World</w:t>
      </w:r>
      <w:r>
        <w:t xml:space="preserve">. </w:t>
      </w:r>
    </w:p>
    <w:p w:rsidR="000F2495" w:rsidRDefault="000F2495" w:rsidP="000F2495">
      <w:pPr>
        <w:pStyle w:val="ListParagraph"/>
        <w:ind w:left="360"/>
      </w:pPr>
    </w:p>
    <w:p w:rsidR="000F2495" w:rsidRDefault="000F2495" w:rsidP="000F2495">
      <w:pPr>
        <w:pStyle w:val="ListParagraph"/>
        <w:numPr>
          <w:ilvl w:val="0"/>
          <w:numId w:val="32"/>
        </w:numPr>
      </w:pPr>
      <w:r>
        <w:t>Members were reminded to review the proposal for General Education Assessment for discussion at the next meeting on March 14</w:t>
      </w:r>
      <w:r w:rsidRPr="000F2495">
        <w:rPr>
          <w:vertAlign w:val="superscript"/>
        </w:rPr>
        <w:t>th</w:t>
      </w:r>
      <w:r>
        <w:t xml:space="preserve">.    Is the proposal in a form that can be sent to the Faculty Senate for consideration?  Most universities do not have a rolling review of general education courses.  Faculty do not want the General Education Committee micromanaging their courses.   Transitioning to a seven year cycle is an improvement. </w:t>
      </w:r>
    </w:p>
    <w:p w:rsidR="00BE64F2" w:rsidRDefault="007D13B0">
      <w:r>
        <w:t xml:space="preserve">The meeting was adjourned at </w:t>
      </w:r>
      <w:r w:rsidR="004B380A">
        <w:t>3:</w:t>
      </w:r>
      <w:r w:rsidR="00FF5B73">
        <w:t>27</w:t>
      </w:r>
      <w:r>
        <w:t xml:space="preserve"> p.m.</w:t>
      </w:r>
    </w:p>
    <w:sectPr w:rsidR="00BE64F2"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A43654"/>
    <w:multiLevelType w:val="hybridMultilevel"/>
    <w:tmpl w:val="3820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3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5"/>
  </w:num>
  <w:num w:numId="7">
    <w:abstractNumId w:val="16"/>
  </w:num>
  <w:num w:numId="8">
    <w:abstractNumId w:val="17"/>
  </w:num>
  <w:num w:numId="9">
    <w:abstractNumId w:val="29"/>
  </w:num>
  <w:num w:numId="10">
    <w:abstractNumId w:val="15"/>
  </w:num>
  <w:num w:numId="11">
    <w:abstractNumId w:val="35"/>
  </w:num>
  <w:num w:numId="12">
    <w:abstractNumId w:val="18"/>
  </w:num>
  <w:num w:numId="13">
    <w:abstractNumId w:val="33"/>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num>
  <w:num w:numId="18">
    <w:abstractNumId w:val="9"/>
  </w:num>
  <w:num w:numId="19">
    <w:abstractNumId w:val="27"/>
  </w:num>
  <w:num w:numId="20">
    <w:abstractNumId w:val="34"/>
  </w:num>
  <w:num w:numId="21">
    <w:abstractNumId w:val="6"/>
  </w:num>
  <w:num w:numId="22">
    <w:abstractNumId w:val="11"/>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3"/>
  </w:num>
  <w:num w:numId="28">
    <w:abstractNumId w:val="32"/>
  </w:num>
  <w:num w:numId="29">
    <w:abstractNumId w:val="30"/>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23"/>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2068"/>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16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380A"/>
    <w:rsid w:val="004B437D"/>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5365"/>
    <w:rsid w:val="005C773E"/>
    <w:rsid w:val="005D28A8"/>
    <w:rsid w:val="005D4766"/>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4F58"/>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49"/>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361" TargetMode="External"/><Relationship Id="rId3" Type="http://schemas.microsoft.com/office/2007/relationships/stylesWithEffects" Target="stylesWithEffects.xml"/><Relationship Id="rId7" Type="http://schemas.openxmlformats.org/officeDocument/2006/relationships/hyperlink" Target="https://www.umt.edu/winapps/adminfin/eCurr/CourseForm/Index/15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winapps/adminfin/eCurr/CourseForm/Index/16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mt.edu/winapps/adminfin/eCurr/CourseForm/Index/1522" TargetMode="External"/><Relationship Id="rId4" Type="http://schemas.openxmlformats.org/officeDocument/2006/relationships/settings" Target="settings.xml"/><Relationship Id="rId9" Type="http://schemas.openxmlformats.org/officeDocument/2006/relationships/hyperlink" Target="https://www.umt.edu/winapps/adminfin/eCurr/CourseForm/Index/1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2017-03-01T21:01:00Z</dcterms:created>
  <dcterms:modified xsi:type="dcterms:W3CDTF">2017-03-07T00:25:00Z</dcterms:modified>
</cp:coreProperties>
</file>