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91" w:rsidRDefault="00B35CBF" w:rsidP="00803EDB">
      <w:pPr>
        <w:pStyle w:val="Heading1"/>
      </w:pPr>
      <w:r>
        <w:t xml:space="preserve">University </w:t>
      </w:r>
      <w:r w:rsidR="00907B46">
        <w:t>Library Committee</w:t>
      </w:r>
      <w:r w:rsidR="00803EDB">
        <w:t xml:space="preserve"> Minutes</w:t>
      </w:r>
      <w:proofErr w:type="gramStart"/>
      <w:r w:rsidR="00803EDB">
        <w:t xml:space="preserve">, </w:t>
      </w:r>
      <w:r w:rsidR="00B03F99">
        <w:t xml:space="preserve"> 3</w:t>
      </w:r>
      <w:proofErr w:type="gramEnd"/>
      <w:r w:rsidR="00803EDB">
        <w:t>/</w:t>
      </w:r>
      <w:r w:rsidR="00B03F99">
        <w:t>12</w:t>
      </w:r>
      <w:r w:rsidR="00803EDB">
        <w:t>/1</w:t>
      </w:r>
      <w:r w:rsidR="00B03F99">
        <w:t>8</w:t>
      </w:r>
    </w:p>
    <w:p w:rsidR="00803EDB" w:rsidRDefault="00803EDB" w:rsidP="00261F3C">
      <w:pPr>
        <w:jc w:val="center"/>
        <w:rPr>
          <w:sz w:val="24"/>
          <w:szCs w:val="24"/>
        </w:rPr>
      </w:pPr>
    </w:p>
    <w:p w:rsidR="00803EDB" w:rsidRDefault="00803EDB" w:rsidP="00803EDB">
      <w:pPr>
        <w:pStyle w:val="Heading2"/>
      </w:pPr>
      <w:r>
        <w:t>Call to Order / Roll Call</w:t>
      </w:r>
    </w:p>
    <w:p w:rsidR="00803EDB" w:rsidRPr="00F6487D" w:rsidRDefault="00803EDB" w:rsidP="00803EDB">
      <w:pPr>
        <w:spacing w:line="240" w:lineRule="auto"/>
      </w:pPr>
      <w:r w:rsidRPr="00F6487D">
        <w:t>The meeting was called to order at 4:</w:t>
      </w:r>
      <w:r>
        <w:t>0</w:t>
      </w:r>
      <w:r w:rsidRPr="00F6487D">
        <w:t>0 p.m.</w:t>
      </w:r>
      <w:r>
        <w:br/>
      </w:r>
      <w:r>
        <w:rPr>
          <w:rStyle w:val="Heading4Char"/>
        </w:rPr>
        <w:br/>
      </w:r>
      <w:r w:rsidRPr="005043C3">
        <w:rPr>
          <w:rStyle w:val="Heading4Char"/>
        </w:rPr>
        <w:t>Members present:</w:t>
      </w:r>
      <w:r w:rsidR="00543C7D" w:rsidRPr="00543C7D">
        <w:t xml:space="preserve"> </w:t>
      </w:r>
      <w:r w:rsidR="00B03F99">
        <w:t>K. Brayko</w:t>
      </w:r>
      <w:proofErr w:type="gramStart"/>
      <w:r w:rsidR="00B03F99">
        <w:t>,  K</w:t>
      </w:r>
      <w:proofErr w:type="gramEnd"/>
      <w:r w:rsidR="00B03F99">
        <w:t>. Cowley,  A</w:t>
      </w:r>
      <w:r w:rsidR="00543C7D">
        <w:t>. Klene,</w:t>
      </w:r>
      <w:r>
        <w:t xml:space="preserve"> T. Keenan, </w:t>
      </w:r>
      <w:r w:rsidR="00B03F99">
        <w:t xml:space="preserve">D. McCrea, </w:t>
      </w:r>
      <w:r>
        <w:t>M. Snow,</w:t>
      </w:r>
      <w:r w:rsidRPr="00DB6DF7">
        <w:t xml:space="preserve"> </w:t>
      </w:r>
      <w:r w:rsidR="00B03F99">
        <w:t>T. Ward</w:t>
      </w:r>
      <w:r w:rsidR="00834D4B">
        <w:t xml:space="preserve"> </w:t>
      </w:r>
      <w:r>
        <w:br/>
      </w:r>
      <w:r w:rsidRPr="005043C3">
        <w:rPr>
          <w:rStyle w:val="Heading4Char"/>
        </w:rPr>
        <w:t>Members absent/excused:</w:t>
      </w:r>
      <w:r w:rsidR="00834D4B">
        <w:t xml:space="preserve">, </w:t>
      </w:r>
      <w:r w:rsidR="00543C7D">
        <w:t>S. Gordon</w:t>
      </w:r>
      <w:r w:rsidR="00834D4B">
        <w:t>,</w:t>
      </w:r>
      <w:r w:rsidR="00543C7D">
        <w:t xml:space="preserve"> </w:t>
      </w:r>
      <w:r w:rsidR="00B03F99">
        <w:t xml:space="preserve">T. Shearer,  </w:t>
      </w:r>
      <w:r w:rsidR="00B03F99" w:rsidRPr="00F6487D">
        <w:t>S. Zhang</w:t>
      </w:r>
    </w:p>
    <w:p w:rsidR="00803EDB" w:rsidRPr="005043C3" w:rsidRDefault="00803EDB" w:rsidP="00803EDB">
      <w:pPr>
        <w:pStyle w:val="Heading4"/>
        <w:spacing w:line="240" w:lineRule="auto"/>
      </w:pPr>
      <w:r w:rsidRPr="005043C3">
        <w:t>Minutes from last meeting:</w:t>
      </w:r>
    </w:p>
    <w:p w:rsidR="00803EDB" w:rsidRPr="00907B46" w:rsidRDefault="00803EDB" w:rsidP="00803EDB">
      <w:pPr>
        <w:spacing w:line="240" w:lineRule="auto"/>
        <w:rPr>
          <w:sz w:val="24"/>
          <w:szCs w:val="24"/>
        </w:rPr>
      </w:pPr>
      <w:r w:rsidRPr="00F6487D">
        <w:t xml:space="preserve">The minutes </w:t>
      </w:r>
      <w:proofErr w:type="gramStart"/>
      <w:r w:rsidRPr="00F6487D">
        <w:t>from</w:t>
      </w:r>
      <w:r>
        <w:t xml:space="preserve"> </w:t>
      </w:r>
      <w:r w:rsidR="00627AA0">
        <w:t xml:space="preserve"> 1</w:t>
      </w:r>
      <w:r w:rsidR="00B03F99">
        <w:t>2</w:t>
      </w:r>
      <w:proofErr w:type="gramEnd"/>
      <w:r w:rsidR="00627AA0">
        <w:t>/</w:t>
      </w:r>
      <w:r w:rsidR="00834D4B">
        <w:t>1</w:t>
      </w:r>
      <w:r w:rsidR="00B03F99">
        <w:t>1</w:t>
      </w:r>
      <w:r>
        <w:t xml:space="preserve">/17 </w:t>
      </w:r>
      <w:r w:rsidRPr="00DD4AF6">
        <w:rPr>
          <w:rFonts w:cstheme="minorHAnsi"/>
        </w:rPr>
        <w:t xml:space="preserve">were approved. </w:t>
      </w:r>
      <w:r w:rsidR="00543C7D" w:rsidRPr="00DD4AF6">
        <w:rPr>
          <w:rFonts w:cstheme="minorHAnsi"/>
        </w:rPr>
        <w:t xml:space="preserve"> </w:t>
      </w:r>
    </w:p>
    <w:p w:rsidR="00B80F8F" w:rsidRDefault="00492F91" w:rsidP="00B80F8F">
      <w:r w:rsidRPr="00FF247C">
        <w:rPr>
          <w:rStyle w:val="Heading2Char"/>
        </w:rPr>
        <w:t>Communications</w:t>
      </w:r>
      <w:r w:rsidRPr="00AA7DA4">
        <w:rPr>
          <w:b/>
          <w:sz w:val="24"/>
          <w:szCs w:val="24"/>
        </w:rPr>
        <w:t>:</w:t>
      </w:r>
    </w:p>
    <w:p w:rsidR="00921460" w:rsidRDefault="00921460" w:rsidP="00D92840">
      <w:pPr>
        <w:pStyle w:val="PlainText"/>
        <w:numPr>
          <w:ilvl w:val="0"/>
          <w:numId w:val="1"/>
        </w:numPr>
        <w:ind w:left="360"/>
      </w:pPr>
      <w:r>
        <w:t xml:space="preserve">Members introduced themselves and Professor McCrea and Student member Kat Cowley were welcomed to the committee. </w:t>
      </w:r>
      <w:r>
        <w:br/>
      </w:r>
    </w:p>
    <w:p w:rsidR="00B80F8F" w:rsidRDefault="00B80F8F" w:rsidP="00D92840">
      <w:pPr>
        <w:pStyle w:val="PlainText"/>
        <w:numPr>
          <w:ilvl w:val="0"/>
          <w:numId w:val="1"/>
        </w:numPr>
        <w:ind w:left="360"/>
      </w:pPr>
      <w:r>
        <w:t xml:space="preserve">Chair Snow read the library update communication from Dean Zhang, who could not be at the meeting. </w:t>
      </w:r>
    </w:p>
    <w:p w:rsidR="00B80F8F" w:rsidRDefault="00B80F8F" w:rsidP="00B80F8F">
      <w:pPr>
        <w:pStyle w:val="PlainText"/>
        <w:ind w:left="720"/>
      </w:pPr>
      <w:r>
        <w:br/>
      </w:r>
      <w:r w:rsidR="00921460">
        <w:t>“</w:t>
      </w:r>
      <w:r>
        <w:t>Good morning, Meradeth and Camie.</w:t>
      </w:r>
    </w:p>
    <w:p w:rsidR="00B80F8F" w:rsidRDefault="00B80F8F" w:rsidP="00B80F8F">
      <w:pPr>
        <w:pStyle w:val="PlainText"/>
      </w:pPr>
    </w:p>
    <w:p w:rsidR="00B80F8F" w:rsidRDefault="00B80F8F" w:rsidP="00B80F8F">
      <w:pPr>
        <w:pStyle w:val="PlainText"/>
        <w:ind w:left="720"/>
      </w:pPr>
      <w:r>
        <w:t>Since the FY19 budget is still in a process, we would not know the final figures until a late date this month. Therefore</w:t>
      </w:r>
      <w:proofErr w:type="gramStart"/>
      <w:r>
        <w:t>,  I</w:t>
      </w:r>
      <w:proofErr w:type="gramEnd"/>
      <w:r>
        <w:t xml:space="preserve"> will not be able to offer much information for ULC to advocate on that aspect, though we all know that there will be cuts anyway.</w:t>
      </w:r>
    </w:p>
    <w:p w:rsidR="00B80F8F" w:rsidRDefault="00B80F8F" w:rsidP="00B80F8F">
      <w:pPr>
        <w:pStyle w:val="PlainText"/>
        <w:ind w:left="720"/>
      </w:pPr>
    </w:p>
    <w:p w:rsidR="00B80F8F" w:rsidRDefault="00B80F8F" w:rsidP="00B80F8F">
      <w:pPr>
        <w:pStyle w:val="PlainText"/>
        <w:ind w:left="720"/>
      </w:pPr>
      <w:r>
        <w:t>Dean Reed Humphrey is co-chairing the mission statement in UPC. He created this template to facilitate the gathering of the needed information. Megan helped me with the submission version. I sent it to Reed this morning, in the attachment, FYI.</w:t>
      </w:r>
    </w:p>
    <w:p w:rsidR="00B80F8F" w:rsidRDefault="00B80F8F" w:rsidP="00B80F8F">
      <w:pPr>
        <w:pStyle w:val="PlainText"/>
        <w:ind w:left="720"/>
      </w:pPr>
    </w:p>
    <w:p w:rsidR="00B80F8F" w:rsidRDefault="00B80F8F" w:rsidP="00B80F8F">
      <w:pPr>
        <w:pStyle w:val="PlainText"/>
        <w:ind w:left="720"/>
      </w:pPr>
      <w:r>
        <w:t xml:space="preserve">ULC sent a very strong letter to President </w:t>
      </w:r>
      <w:proofErr w:type="spellStart"/>
      <w:r>
        <w:t>Bodnar</w:t>
      </w:r>
      <w:proofErr w:type="spellEnd"/>
      <w:r>
        <w:t>. I hope that he shares that letter with UPC. The ultimate outcome from UPC would be the continual investment to the library which supports all academic programs at UM.</w:t>
      </w:r>
    </w:p>
    <w:p w:rsidR="00B80F8F" w:rsidRDefault="00B80F8F" w:rsidP="00B80F8F">
      <w:pPr>
        <w:pStyle w:val="PlainText"/>
        <w:ind w:left="1080"/>
      </w:pPr>
    </w:p>
    <w:p w:rsidR="00B80F8F" w:rsidRDefault="00B80F8F" w:rsidP="00B80F8F">
      <w:pPr>
        <w:pStyle w:val="PlainText"/>
        <w:ind w:left="720"/>
      </w:pPr>
      <w:r>
        <w:t xml:space="preserve">The library’s </w:t>
      </w:r>
      <w:proofErr w:type="spellStart"/>
      <w:r>
        <w:t>Lightboard</w:t>
      </w:r>
      <w:proofErr w:type="spellEnd"/>
      <w:r>
        <w:t xml:space="preserve"> Studio is in a soft launch period. </w:t>
      </w:r>
    </w:p>
    <w:p w:rsidR="00B80F8F" w:rsidRDefault="00B80F8F" w:rsidP="00B80F8F">
      <w:pPr>
        <w:pStyle w:val="PlainText"/>
        <w:ind w:left="360"/>
      </w:pPr>
    </w:p>
    <w:p w:rsidR="00B80F8F" w:rsidRDefault="00B80F8F" w:rsidP="00B80F8F">
      <w:pPr>
        <w:pStyle w:val="PlainText"/>
        <w:ind w:left="720"/>
      </w:pPr>
      <w:r>
        <w:br/>
        <w:t>Shali Zhang, Ph.D.</w:t>
      </w:r>
    </w:p>
    <w:p w:rsidR="00B80F8F" w:rsidRDefault="00B80F8F" w:rsidP="00B80F8F">
      <w:pPr>
        <w:pStyle w:val="PlainText"/>
        <w:ind w:left="720"/>
      </w:pPr>
      <w:r>
        <w:t>Dean of Libraries and Professor</w:t>
      </w:r>
      <w:r w:rsidR="00921460">
        <w:t>”</w:t>
      </w:r>
    </w:p>
    <w:p w:rsidR="00B80F8F" w:rsidRDefault="00B80F8F" w:rsidP="00B80F8F">
      <w:pPr>
        <w:pStyle w:val="PlainText"/>
        <w:ind w:left="720"/>
      </w:pPr>
    </w:p>
    <w:p w:rsidR="00525312" w:rsidRDefault="00525312" w:rsidP="00525312">
      <w:pPr>
        <w:ind w:left="360"/>
      </w:pPr>
      <w:r>
        <w:t>The message and attachment will be forwarded to the full committee.  The template included six communities</w:t>
      </w:r>
      <w:r w:rsidR="00921460">
        <w:t xml:space="preserve"> listed below.  The library’s response is appended.   </w:t>
      </w:r>
    </w:p>
    <w:p w:rsidR="00525312" w:rsidRDefault="00525312" w:rsidP="00525312">
      <w:pPr>
        <w:pStyle w:val="ListParagraph"/>
      </w:pPr>
      <w:r>
        <w:t>Law, Policy &amp; Business</w:t>
      </w:r>
      <w:r>
        <w:br/>
        <w:t>Environment, Ecology &amp; Sustainability</w:t>
      </w:r>
      <w:r>
        <w:br/>
        <w:t>Human Expression, Design &amp; Art</w:t>
      </w:r>
      <w:r>
        <w:br/>
        <w:t>Health, Medicine, Education &amp; Human Potential</w:t>
      </w:r>
    </w:p>
    <w:p w:rsidR="00B80F8F" w:rsidRDefault="00525312" w:rsidP="00525312">
      <w:pPr>
        <w:pStyle w:val="ListParagraph"/>
      </w:pPr>
      <w:r>
        <w:t>Communication, Information Transfer &amp; Knowledge Systems</w:t>
      </w:r>
    </w:p>
    <w:p w:rsidR="00525312" w:rsidRDefault="00525312" w:rsidP="00525312">
      <w:pPr>
        <w:pStyle w:val="ListParagraph"/>
      </w:pPr>
      <w:r>
        <w:lastRenderedPageBreak/>
        <w:t>Scientific Innovation &amp; Discovery</w:t>
      </w:r>
      <w:r w:rsidR="00921460">
        <w:br/>
      </w:r>
    </w:p>
    <w:p w:rsidR="00B80F8F" w:rsidRDefault="00921460" w:rsidP="00921460">
      <w:pPr>
        <w:pStyle w:val="ListParagraph"/>
        <w:ind w:left="360"/>
      </w:pPr>
      <w:r>
        <w:t xml:space="preserve"> The UPC is now discussing the following six pillars: </w:t>
      </w:r>
    </w:p>
    <w:p w:rsidR="00921460" w:rsidRDefault="00921460" w:rsidP="00921460">
      <w:pPr>
        <w:pStyle w:val="PlainText"/>
        <w:ind w:left="720"/>
      </w:pPr>
      <w:r>
        <w:t>Environment and Sustainability</w:t>
      </w:r>
    </w:p>
    <w:p w:rsidR="00921460" w:rsidRDefault="00921460" w:rsidP="00921460">
      <w:pPr>
        <w:pStyle w:val="PlainText"/>
        <w:ind w:left="720"/>
      </w:pPr>
      <w:r>
        <w:t>Health and Medicine</w:t>
      </w:r>
    </w:p>
    <w:p w:rsidR="00921460" w:rsidRDefault="00921460" w:rsidP="00921460">
      <w:pPr>
        <w:pStyle w:val="PlainText"/>
        <w:ind w:left="720"/>
      </w:pPr>
      <w:r>
        <w:t>Culture and Society</w:t>
      </w:r>
    </w:p>
    <w:p w:rsidR="00921460" w:rsidRDefault="00921460" w:rsidP="00921460">
      <w:pPr>
        <w:pStyle w:val="PlainText"/>
        <w:ind w:left="720"/>
      </w:pPr>
      <w:r>
        <w:t>Leadership and Justice</w:t>
      </w:r>
    </w:p>
    <w:p w:rsidR="00921460" w:rsidRDefault="00921460" w:rsidP="00921460">
      <w:pPr>
        <w:pStyle w:val="PlainText"/>
        <w:ind w:left="720"/>
      </w:pPr>
      <w:r>
        <w:t>Entrepreneurship</w:t>
      </w:r>
    </w:p>
    <w:p w:rsidR="00921460" w:rsidRDefault="00921460" w:rsidP="00921460">
      <w:pPr>
        <w:pStyle w:val="PlainText"/>
        <w:ind w:left="720"/>
      </w:pPr>
      <w:r>
        <w:t>Creative Arts</w:t>
      </w:r>
    </w:p>
    <w:p w:rsidR="00921460" w:rsidRDefault="00921460" w:rsidP="00B80F8F">
      <w:pPr>
        <w:pStyle w:val="ListParagraph"/>
        <w:ind w:left="0"/>
      </w:pPr>
    </w:p>
    <w:p w:rsidR="00921460" w:rsidRDefault="00915AF3" w:rsidP="00D92840">
      <w:pPr>
        <w:pStyle w:val="ListParagraph"/>
        <w:numPr>
          <w:ilvl w:val="0"/>
          <w:numId w:val="6"/>
        </w:numPr>
      </w:pPr>
      <w:r>
        <w:t xml:space="preserve">President </w:t>
      </w:r>
      <w:proofErr w:type="spellStart"/>
      <w:r>
        <w:t>Bodnar</w:t>
      </w:r>
      <w:proofErr w:type="spellEnd"/>
      <w:r>
        <w:t xml:space="preserve"> has not responded to the letter. </w:t>
      </w:r>
      <w:r w:rsidR="00921460">
        <w:t xml:space="preserve">  </w:t>
      </w:r>
      <w:r>
        <w:t>Professor McCrea</w:t>
      </w:r>
      <w:r w:rsidR="00921460">
        <w:t xml:space="preserve"> asked to be copied on the final version.  The President did attend a </w:t>
      </w:r>
      <w:r>
        <w:t>library</w:t>
      </w:r>
      <w:r>
        <w:t xml:space="preserve"> </w:t>
      </w:r>
      <w:r w:rsidR="00921460">
        <w:t xml:space="preserve">meeting </w:t>
      </w:r>
      <w:bookmarkStart w:id="0" w:name="_GoBack"/>
      <w:bookmarkEnd w:id="0"/>
      <w:r w:rsidR="00D92840">
        <w:t>by invitation of Dean Zhang</w:t>
      </w:r>
      <w:r w:rsidR="00D6699B">
        <w:t>.  He was very interested in the Library’s work and service.</w:t>
      </w:r>
      <w:r w:rsidR="00D6699B">
        <w:br/>
        <w:t xml:space="preserve"> </w:t>
      </w:r>
    </w:p>
    <w:p w:rsidR="00D6699B" w:rsidRDefault="00D6699B" w:rsidP="00D92840">
      <w:pPr>
        <w:pStyle w:val="ListParagraph"/>
        <w:numPr>
          <w:ilvl w:val="0"/>
          <w:numId w:val="6"/>
        </w:numPr>
      </w:pPr>
      <w:r>
        <w:t xml:space="preserve">Members of the committee should think about attending the Open Forums with the Provost Candidates and ask questions relating to support of the library.  They should be worded so the candidate provides examples from their work history demonstrating support for the library.  </w:t>
      </w:r>
      <w:r>
        <w:br/>
      </w:r>
    </w:p>
    <w:p w:rsidR="00D6699B" w:rsidRDefault="00D6699B" w:rsidP="00D92840">
      <w:pPr>
        <w:pStyle w:val="ListParagraph"/>
        <w:numPr>
          <w:ilvl w:val="0"/>
          <w:numId w:val="6"/>
        </w:numPr>
      </w:pPr>
      <w:r>
        <w:t xml:space="preserve">Students and faculty do not understand the library’s role in providing access to online collections.  This is a message the ULC could clarify to campus.   Professor McCrea will send members the six APASP reports.  They will help members better understand the comprehensive work of the library and its challenges.  The continuing loss of personnel </w:t>
      </w:r>
      <w:r w:rsidR="00D92840">
        <w:t>(now a 40% reduction) will have noticeable cuts in service</w:t>
      </w:r>
      <w:r>
        <w:t xml:space="preserve">. </w:t>
      </w:r>
      <w:r w:rsidR="00D92840">
        <w:t xml:space="preserve">Library positions are not interchangeable. </w:t>
      </w:r>
      <w:r>
        <w:t>T</w:t>
      </w:r>
      <w:r w:rsidR="00D92840">
        <w:t xml:space="preserve">he library has many internal challenges, but continues to minimize the impact to campus.   This is not sustainable.   The students have complained about Paw Prints earlier closing.    The ULC needs to be the voice that notifies campus of the library’s struggles.   </w:t>
      </w:r>
      <w:r w:rsidR="00D92840">
        <w:br/>
      </w:r>
    </w:p>
    <w:p w:rsidR="00D6699B" w:rsidRDefault="00D92840" w:rsidP="00D92840">
      <w:pPr>
        <w:pStyle w:val="ListParagraph"/>
        <w:numPr>
          <w:ilvl w:val="0"/>
          <w:numId w:val="6"/>
        </w:numPr>
      </w:pPr>
      <w:r>
        <w:t xml:space="preserve">The draft annual report will be disseminated prior to the next meeting for input. </w:t>
      </w:r>
    </w:p>
    <w:p w:rsidR="00921460" w:rsidRPr="00B80F8F" w:rsidRDefault="00921460" w:rsidP="00B80F8F">
      <w:pPr>
        <w:pStyle w:val="ListParagraph"/>
        <w:ind w:left="0"/>
      </w:pPr>
    </w:p>
    <w:p w:rsidR="00164C9A" w:rsidRPr="00261F3C" w:rsidRDefault="00FF247C" w:rsidP="00FF247C">
      <w:pPr>
        <w:pStyle w:val="Heading2"/>
      </w:pPr>
      <w:r>
        <w:t>A</w:t>
      </w:r>
      <w:r w:rsidR="00164C9A" w:rsidRPr="00261F3C">
        <w:t>djournment</w:t>
      </w:r>
    </w:p>
    <w:p w:rsidR="00261F3C" w:rsidRDefault="00F40DB7" w:rsidP="00261F3C">
      <w:pPr>
        <w:rPr>
          <w:rFonts w:cstheme="minorHAnsi"/>
          <w:sz w:val="24"/>
          <w:szCs w:val="24"/>
        </w:rPr>
      </w:pPr>
      <w:r w:rsidRPr="00E825AA">
        <w:rPr>
          <w:rFonts w:cstheme="minorHAnsi"/>
          <w:sz w:val="24"/>
          <w:szCs w:val="24"/>
        </w:rPr>
        <w:t xml:space="preserve">The meeting was adjourned at </w:t>
      </w:r>
      <w:r w:rsidR="00B03F99">
        <w:rPr>
          <w:rFonts w:cstheme="minorHAnsi"/>
          <w:sz w:val="24"/>
          <w:szCs w:val="24"/>
        </w:rPr>
        <w:t>4</w:t>
      </w:r>
      <w:r w:rsidRPr="00E825AA">
        <w:rPr>
          <w:rFonts w:cstheme="minorHAnsi"/>
          <w:sz w:val="24"/>
          <w:szCs w:val="24"/>
        </w:rPr>
        <w:t>:</w:t>
      </w:r>
      <w:r w:rsidR="00B03F99">
        <w:rPr>
          <w:rFonts w:cstheme="minorHAnsi"/>
          <w:sz w:val="24"/>
          <w:szCs w:val="24"/>
        </w:rPr>
        <w:t>4</w:t>
      </w:r>
      <w:r w:rsidR="00F1722E">
        <w:rPr>
          <w:rFonts w:cstheme="minorHAnsi"/>
          <w:sz w:val="24"/>
          <w:szCs w:val="24"/>
        </w:rPr>
        <w:t>0</w:t>
      </w:r>
      <w:r w:rsidRPr="00E825AA">
        <w:rPr>
          <w:rFonts w:cstheme="minorHAnsi"/>
          <w:sz w:val="24"/>
          <w:szCs w:val="24"/>
        </w:rPr>
        <w:t xml:space="preserve"> p.m.</w:t>
      </w:r>
    </w:p>
    <w:p w:rsidR="00D92840" w:rsidRDefault="00D92840" w:rsidP="00921460">
      <w:pPr>
        <w:pStyle w:val="Heading2"/>
      </w:pPr>
    </w:p>
    <w:p w:rsidR="00921460" w:rsidRDefault="00921460" w:rsidP="00921460">
      <w:pPr>
        <w:pStyle w:val="Heading2"/>
      </w:pPr>
      <w:r>
        <w:t>Identity Exercise</w:t>
      </w:r>
      <w:r>
        <w:br/>
        <w:t>Mission &amp; Identity Subgroup, UPC</w:t>
      </w:r>
    </w:p>
    <w:p w:rsidR="00921460" w:rsidRDefault="00921460" w:rsidP="00921460">
      <w:pPr>
        <w:rPr>
          <w:sz w:val="21"/>
          <w:szCs w:val="21"/>
        </w:rPr>
      </w:pPr>
    </w:p>
    <w:p w:rsidR="00921460" w:rsidRDefault="00921460" w:rsidP="00921460">
      <w:pPr>
        <w:rPr>
          <w:sz w:val="21"/>
          <w:szCs w:val="21"/>
        </w:rPr>
      </w:pPr>
      <w:r w:rsidRPr="00986E79">
        <w:rPr>
          <w:sz w:val="21"/>
          <w:szCs w:val="21"/>
        </w:rPr>
        <w:t>Notes:</w:t>
      </w:r>
    </w:p>
    <w:p w:rsidR="00921460" w:rsidRPr="00804A6C" w:rsidRDefault="00921460" w:rsidP="00921460">
      <w:pPr>
        <w:rPr>
          <w:rFonts w:ascii="Times New Roman" w:eastAsia="Calibri" w:hAnsi="Times New Roman" w:cs="Times New Roman"/>
        </w:rPr>
      </w:pPr>
      <w:r w:rsidRPr="00804A6C">
        <w:rPr>
          <w:rFonts w:ascii="Times New Roman" w:eastAsia="Calibri" w:hAnsi="Times New Roman" w:cs="Times New Roman"/>
        </w:rPr>
        <w:t>The Maureen and Mike Mansfield Library facilitates the intellectual and creative pursuits of all members of the University of Montana (UM) community and supports their informational, educational, and cultural development as global citizens. The library serves as a place of study, research, and exploration and enables the discovery, creation and expansion of knowledge through services, instruction, collections, and programming.</w:t>
      </w:r>
    </w:p>
    <w:p w:rsidR="00921460" w:rsidRPr="00804A6C" w:rsidRDefault="00921460" w:rsidP="00921460">
      <w:pPr>
        <w:rPr>
          <w:rFonts w:ascii="Times New Roman" w:eastAsia="Calibri" w:hAnsi="Times New Roman" w:cs="Times New Roman"/>
        </w:rPr>
      </w:pPr>
      <w:r w:rsidRPr="00804A6C">
        <w:rPr>
          <w:rFonts w:ascii="Times New Roman" w:eastAsia="Calibri" w:hAnsi="Times New Roman" w:cs="Times New Roman"/>
        </w:rPr>
        <w:lastRenderedPageBreak/>
        <w:t>The Mansfield Library’s operations involve direct instruction, research support, and interactions with students and community members. The library acquires, organizes, preserves and facilitates access to materials, provides instruction and outreach to students and the campus community, and creates and maintains the technological infrastructure necessary for the website and digital collections.</w:t>
      </w:r>
    </w:p>
    <w:p w:rsidR="00921460" w:rsidRPr="00804A6C" w:rsidRDefault="00921460" w:rsidP="00921460">
      <w:pPr>
        <w:rPr>
          <w:rFonts w:ascii="Times New Roman" w:eastAsia="Calibri" w:hAnsi="Times New Roman" w:cs="Times New Roman"/>
        </w:rPr>
      </w:pPr>
      <w:r w:rsidRPr="00804A6C">
        <w:rPr>
          <w:rFonts w:ascii="Times New Roman" w:eastAsia="Calibri" w:hAnsi="Times New Roman" w:cs="Times New Roman"/>
        </w:rPr>
        <w:t xml:space="preserve">Library resources include: physical collections (books and media); a network of research databases, </w:t>
      </w:r>
      <w:proofErr w:type="spellStart"/>
      <w:r w:rsidRPr="00804A6C">
        <w:rPr>
          <w:rFonts w:ascii="Times New Roman" w:eastAsia="Calibri" w:hAnsi="Times New Roman" w:cs="Times New Roman"/>
        </w:rPr>
        <w:t>ebooks</w:t>
      </w:r>
      <w:proofErr w:type="spellEnd"/>
      <w:r w:rsidRPr="00804A6C">
        <w:rPr>
          <w:rFonts w:ascii="Times New Roman" w:eastAsia="Calibri" w:hAnsi="Times New Roman" w:cs="Times New Roman"/>
        </w:rPr>
        <w:t xml:space="preserve">, </w:t>
      </w:r>
      <w:proofErr w:type="spellStart"/>
      <w:r w:rsidRPr="00804A6C">
        <w:rPr>
          <w:rFonts w:ascii="Times New Roman" w:eastAsia="Calibri" w:hAnsi="Times New Roman" w:cs="Times New Roman"/>
        </w:rPr>
        <w:t>ejournal</w:t>
      </w:r>
      <w:proofErr w:type="spellEnd"/>
      <w:r w:rsidRPr="00804A6C">
        <w:rPr>
          <w:rFonts w:ascii="Times New Roman" w:eastAsia="Calibri" w:hAnsi="Times New Roman" w:cs="Times New Roman"/>
        </w:rPr>
        <w:t xml:space="preserve"> packages and electronic journal subscriptions; and a web-scale discovery platform. Additionally, the library includes the Archives &amp; Special Collections, is part of the Federal Depository Library Program, and provides one of the largest collections of music, sound, and video recordings in the state and region. The library also administers </w:t>
      </w:r>
      <w:proofErr w:type="spellStart"/>
      <w:r w:rsidRPr="00804A6C">
        <w:rPr>
          <w:rFonts w:ascii="Times New Roman" w:eastAsia="Calibri" w:hAnsi="Times New Roman" w:cs="Times New Roman"/>
        </w:rPr>
        <w:t>ScholarWorks</w:t>
      </w:r>
      <w:proofErr w:type="spellEnd"/>
      <w:r w:rsidRPr="00804A6C">
        <w:rPr>
          <w:rFonts w:ascii="Times New Roman" w:eastAsia="Calibri" w:hAnsi="Times New Roman" w:cs="Times New Roman"/>
        </w:rPr>
        <w:t xml:space="preserve"> to centralize, curate, preserve and make freely available online the research and creative scholarship produced by UM faculty and students. The library’s physical and electronic collections are supplemented by an active interlibrary loan service through which the resources of other libraries are made available free of charge to UM students and employees.</w:t>
      </w:r>
    </w:p>
    <w:p w:rsidR="00921460" w:rsidRPr="00804A6C" w:rsidRDefault="00921460" w:rsidP="00D92840">
      <w:pPr>
        <w:numPr>
          <w:ilvl w:val="0"/>
          <w:numId w:val="2"/>
        </w:numPr>
        <w:ind w:left="360"/>
        <w:contextualSpacing/>
        <w:rPr>
          <w:rFonts w:ascii="Times New Roman" w:eastAsia="Calibri" w:hAnsi="Times New Roman" w:cs="Times New Roman"/>
        </w:rPr>
      </w:pPr>
      <w:r w:rsidRPr="00804A6C">
        <w:rPr>
          <w:rFonts w:ascii="Times New Roman" w:eastAsia="DengXian" w:hAnsi="Times New Roman" w:cs="Times New Roman"/>
        </w:rPr>
        <w:t xml:space="preserve">The Mansfield Library’s </w:t>
      </w:r>
      <w:r w:rsidRPr="00804A6C">
        <w:rPr>
          <w:rFonts w:ascii="Times New Roman" w:eastAsia="Calibri" w:hAnsi="Times New Roman" w:cs="Times New Roman"/>
        </w:rPr>
        <w:t>strong information literacy program reaches out to over 10,000 UM students each year. Led by the library faculty, a state-wide information literacy alliance was established in 2015 to share common programs among the school, public, and academic libraries in Montana.</w:t>
      </w:r>
    </w:p>
    <w:p w:rsidR="00921460" w:rsidRPr="00804A6C" w:rsidRDefault="00921460" w:rsidP="00D92840">
      <w:pPr>
        <w:numPr>
          <w:ilvl w:val="0"/>
          <w:numId w:val="2"/>
        </w:numPr>
        <w:ind w:left="360"/>
        <w:contextualSpacing/>
        <w:rPr>
          <w:rFonts w:ascii="Times New Roman" w:eastAsia="Calibri" w:hAnsi="Times New Roman" w:cs="Times New Roman"/>
        </w:rPr>
      </w:pPr>
      <w:r w:rsidRPr="00804A6C">
        <w:rPr>
          <w:rFonts w:ascii="Times New Roman" w:eastAsia="Calibri" w:hAnsi="Times New Roman" w:cs="Times New Roman"/>
        </w:rPr>
        <w:t xml:space="preserve">In FY2017 over 1 million items, were checked out (books and media) from the library or accessed online (electronic journal articles, </w:t>
      </w:r>
      <w:proofErr w:type="spellStart"/>
      <w:r w:rsidRPr="00804A6C">
        <w:rPr>
          <w:rFonts w:ascii="Times New Roman" w:eastAsia="Calibri" w:hAnsi="Times New Roman" w:cs="Times New Roman"/>
        </w:rPr>
        <w:t>ebooks</w:t>
      </w:r>
      <w:proofErr w:type="spellEnd"/>
      <w:r w:rsidRPr="00804A6C">
        <w:rPr>
          <w:rFonts w:ascii="Times New Roman" w:eastAsia="Calibri" w:hAnsi="Times New Roman" w:cs="Times New Roman"/>
        </w:rPr>
        <w:t xml:space="preserve">, theses, </w:t>
      </w:r>
      <w:proofErr w:type="spellStart"/>
      <w:r w:rsidRPr="00804A6C">
        <w:rPr>
          <w:rFonts w:ascii="Times New Roman" w:eastAsia="Calibri" w:hAnsi="Times New Roman" w:cs="Times New Roman"/>
        </w:rPr>
        <w:t>etc</w:t>
      </w:r>
      <w:proofErr w:type="spellEnd"/>
      <w:r w:rsidRPr="00804A6C">
        <w:rPr>
          <w:rFonts w:ascii="Times New Roman" w:eastAsia="Calibri" w:hAnsi="Times New Roman" w:cs="Times New Roman"/>
        </w:rPr>
        <w:t xml:space="preserve">) via the library website. </w:t>
      </w:r>
    </w:p>
    <w:p w:rsidR="00921460" w:rsidRPr="00804A6C" w:rsidRDefault="00921460" w:rsidP="00D92840">
      <w:pPr>
        <w:numPr>
          <w:ilvl w:val="0"/>
          <w:numId w:val="2"/>
        </w:numPr>
        <w:ind w:left="360"/>
        <w:contextualSpacing/>
        <w:rPr>
          <w:rFonts w:ascii="Times New Roman" w:eastAsia="Calibri" w:hAnsi="Times New Roman" w:cs="Times New Roman"/>
        </w:rPr>
      </w:pPr>
      <w:r w:rsidRPr="00804A6C">
        <w:rPr>
          <w:rFonts w:ascii="Times New Roman" w:eastAsia="Calibri" w:hAnsi="Times New Roman" w:cs="Times New Roman"/>
        </w:rPr>
        <w:t xml:space="preserve">In FY2017 the library was voted the “Best Study Spot” in a UM student poll. The library is open more hours than any other building on campus, and it houses the largest student study space on campus and hosts about 10,000 visits by students, faculty, staff, and the public each week during the semester. </w:t>
      </w:r>
    </w:p>
    <w:p w:rsidR="00921460" w:rsidRPr="00804A6C" w:rsidRDefault="00921460" w:rsidP="00D92840">
      <w:pPr>
        <w:numPr>
          <w:ilvl w:val="0"/>
          <w:numId w:val="2"/>
        </w:numPr>
        <w:ind w:left="360"/>
        <w:contextualSpacing/>
        <w:rPr>
          <w:rFonts w:ascii="Times New Roman" w:eastAsia="Calibri" w:hAnsi="Times New Roman" w:cs="Times New Roman"/>
        </w:rPr>
      </w:pPr>
      <w:r w:rsidRPr="00804A6C">
        <w:rPr>
          <w:rFonts w:ascii="Times New Roman" w:eastAsia="Calibri" w:hAnsi="Times New Roman" w:cs="Times New Roman"/>
        </w:rPr>
        <w:t xml:space="preserve">In FY17, library employees provided assistance with over 20,000 research and reference questions. The librarians provide research and reference assistance at the Mountain and River campuses in one-on-one consultations and by chat, e-mail, and telephone. </w:t>
      </w:r>
    </w:p>
    <w:p w:rsidR="00921460" w:rsidRPr="00804A6C" w:rsidRDefault="00921460" w:rsidP="00D92840">
      <w:pPr>
        <w:numPr>
          <w:ilvl w:val="0"/>
          <w:numId w:val="2"/>
        </w:numPr>
        <w:ind w:left="360"/>
        <w:contextualSpacing/>
        <w:rPr>
          <w:rFonts w:ascii="Times New Roman" w:eastAsia="Calibri" w:hAnsi="Times New Roman" w:cs="Times New Roman"/>
        </w:rPr>
      </w:pPr>
      <w:r w:rsidRPr="00804A6C">
        <w:rPr>
          <w:rFonts w:ascii="Times New Roman" w:eastAsia="DengXian" w:hAnsi="Times New Roman" w:cs="Times New Roman"/>
        </w:rPr>
        <w:t xml:space="preserve">In 2017, the Mansfield Library’s interlibrary loan department borrowed materials for UM users from 501 libraries n U.S. and around the world. </w:t>
      </w:r>
    </w:p>
    <w:p w:rsidR="00921460" w:rsidRDefault="00921460" w:rsidP="00921460">
      <w:pPr>
        <w:rPr>
          <w:rFonts w:ascii="Times New Roman" w:eastAsia="DengXian" w:hAnsi="Times New Roman" w:cs="Times New Roman"/>
          <w:lang w:eastAsia="zh-CN"/>
        </w:rPr>
      </w:pPr>
    </w:p>
    <w:p w:rsidR="00D9284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The</w:t>
      </w:r>
      <w:r w:rsidRPr="00804A6C">
        <w:rPr>
          <w:rFonts w:ascii="Times New Roman" w:eastAsia="DengXian" w:hAnsi="Times New Roman" w:cs="Times New Roman"/>
          <w:lang w:eastAsia="zh-CN"/>
        </w:rPr>
        <w:t xml:space="preserve"> Mansfield Library is an interdisciplinary, agile, nimble, and flexible organization that will continue to provide the foundation for UM’s teaching, learning, and research endeavors. It has positioned to serve all academic units, disciplines, and all levels. The library faculty and staff have the necessary knowledge to build robust collections, provide instructional programs, design attractive learning spaces, and offer cutting-edge technologies to serve each of these areas of excellence. The library’s unique archives and special collections enable the UM faculty and students for advanced research with primary sources.  The Mansfield Library is also uniquely prepared to provide resources and instruction for the development of a shared core </w:t>
      </w:r>
      <w:r w:rsidR="00D92840">
        <w:rPr>
          <w:rFonts w:ascii="Times New Roman" w:eastAsia="DengXian" w:hAnsi="Times New Roman" w:cs="Times New Roman"/>
          <w:lang w:eastAsia="zh-CN"/>
        </w:rPr>
        <w:br/>
      </w:r>
      <w:r w:rsidR="00D92840" w:rsidRPr="00804A6C">
        <w:rPr>
          <w:rFonts w:ascii="Times New Roman" w:eastAsia="DengXian" w:hAnsi="Times New Roman" w:cs="Times New Roman"/>
          <w:lang w:eastAsia="zh-CN"/>
        </w:rPr>
        <w:t xml:space="preserve">curriculum (or general education framework) in order to prepare information literate students with the deep and ethical ability to apply critical thinking skills in a dynamic and global world. </w:t>
      </w:r>
    </w:p>
    <w:p w:rsidR="00921460" w:rsidRPr="00804A6C" w:rsidRDefault="00921460" w:rsidP="00921460">
      <w:pPr>
        <w:rPr>
          <w:rFonts w:ascii="Times New Roman" w:eastAsia="DengXian" w:hAnsi="Times New Roman" w:cs="Times New Roman"/>
          <w:lang w:eastAsia="zh-CN"/>
        </w:rPr>
      </w:pPr>
    </w:p>
    <w:tbl>
      <w:tblPr>
        <w:tblStyle w:val="TableGrid"/>
        <w:tblpPr w:leftFromText="180" w:rightFromText="180" w:vertAnchor="text" w:horzAnchor="margin" w:tblpY="1319"/>
        <w:tblW w:w="0" w:type="auto"/>
        <w:tblLook w:val="04A0" w:firstRow="1" w:lastRow="0" w:firstColumn="1" w:lastColumn="0" w:noHBand="0" w:noVBand="1"/>
      </w:tblPr>
      <w:tblGrid>
        <w:gridCol w:w="2088"/>
        <w:gridCol w:w="2469"/>
        <w:gridCol w:w="4911"/>
      </w:tblGrid>
      <w:tr w:rsidR="00921460" w:rsidRPr="00986E79" w:rsidTr="00D92840">
        <w:tc>
          <w:tcPr>
            <w:tcW w:w="2088" w:type="dxa"/>
          </w:tcPr>
          <w:p w:rsidR="00921460" w:rsidRPr="00986E79" w:rsidRDefault="00921460" w:rsidP="00D92840">
            <w:pPr>
              <w:rPr>
                <w:sz w:val="21"/>
                <w:szCs w:val="21"/>
              </w:rPr>
            </w:pPr>
            <w:r w:rsidRPr="00986E79">
              <w:rPr>
                <w:sz w:val="21"/>
                <w:szCs w:val="21"/>
              </w:rPr>
              <w:t xml:space="preserve">Communities </w:t>
            </w:r>
          </w:p>
          <w:p w:rsidR="00921460" w:rsidRPr="00986E79" w:rsidRDefault="00921460" w:rsidP="00D92840">
            <w:pPr>
              <w:rPr>
                <w:sz w:val="21"/>
                <w:szCs w:val="21"/>
              </w:rPr>
            </w:pPr>
            <w:r w:rsidRPr="00986E79">
              <w:rPr>
                <w:sz w:val="21"/>
                <w:szCs w:val="21"/>
              </w:rPr>
              <w:t>as of 2 27 18</w:t>
            </w:r>
          </w:p>
        </w:tc>
        <w:tc>
          <w:tcPr>
            <w:tcW w:w="2469" w:type="dxa"/>
          </w:tcPr>
          <w:p w:rsidR="00921460" w:rsidRPr="00986E79" w:rsidRDefault="00921460" w:rsidP="00D92840">
            <w:pPr>
              <w:rPr>
                <w:sz w:val="21"/>
                <w:szCs w:val="21"/>
                <w:vertAlign w:val="superscript"/>
              </w:rPr>
            </w:pPr>
            <w:r w:rsidRPr="00986E79">
              <w:rPr>
                <w:sz w:val="21"/>
                <w:szCs w:val="21"/>
              </w:rPr>
              <w:t>Fit within your College</w:t>
            </w:r>
            <w:r w:rsidRPr="00986E79">
              <w:rPr>
                <w:sz w:val="21"/>
                <w:szCs w:val="21"/>
                <w:vertAlign w:val="superscript"/>
              </w:rPr>
              <w:t>2</w:t>
            </w:r>
          </w:p>
        </w:tc>
        <w:tc>
          <w:tcPr>
            <w:tcW w:w="4911" w:type="dxa"/>
          </w:tcPr>
          <w:p w:rsidR="00921460" w:rsidRPr="00986E79" w:rsidRDefault="00921460" w:rsidP="00D92840">
            <w:pPr>
              <w:rPr>
                <w:sz w:val="21"/>
                <w:szCs w:val="21"/>
              </w:rPr>
            </w:pPr>
            <w:r w:rsidRPr="00986E79">
              <w:rPr>
                <w:sz w:val="21"/>
                <w:szCs w:val="21"/>
              </w:rPr>
              <w:t>Supporting rationale</w:t>
            </w:r>
          </w:p>
        </w:tc>
      </w:tr>
      <w:tr w:rsidR="00921460" w:rsidRPr="00986E79" w:rsidTr="00D92840">
        <w:tc>
          <w:tcPr>
            <w:tcW w:w="2088" w:type="dxa"/>
          </w:tcPr>
          <w:p w:rsidR="00921460" w:rsidRPr="00986E79" w:rsidRDefault="00921460" w:rsidP="00D92840">
            <w:pPr>
              <w:rPr>
                <w:sz w:val="21"/>
                <w:szCs w:val="21"/>
              </w:rPr>
            </w:pPr>
            <w:r w:rsidRPr="00986E79">
              <w:rPr>
                <w:sz w:val="21"/>
                <w:szCs w:val="21"/>
              </w:rPr>
              <w:t xml:space="preserve">Law, Policy &amp; </w:t>
            </w:r>
            <w:r w:rsidRPr="00986E79">
              <w:rPr>
                <w:sz w:val="21"/>
                <w:szCs w:val="21"/>
              </w:rPr>
              <w:lastRenderedPageBreak/>
              <w:t>Business</w:t>
            </w:r>
          </w:p>
        </w:tc>
        <w:tc>
          <w:tcPr>
            <w:tcW w:w="2469" w:type="dxa"/>
          </w:tcPr>
          <w:p w:rsidR="00921460" w:rsidRPr="00986E79" w:rsidRDefault="00921460" w:rsidP="00D92840">
            <w:pPr>
              <w:rPr>
                <w:sz w:val="21"/>
                <w:szCs w:val="21"/>
              </w:rPr>
            </w:pPr>
            <w:r>
              <w:rPr>
                <w:sz w:val="21"/>
                <w:szCs w:val="21"/>
              </w:rPr>
              <w:lastRenderedPageBreak/>
              <w:t>See NOTES above</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 Additionally:</w:t>
            </w:r>
          </w:p>
          <w:p w:rsidR="00921460" w:rsidRPr="009B1C53" w:rsidRDefault="00921460" w:rsidP="00D92840">
            <w:pPr>
              <w:pStyle w:val="ListParagraph"/>
              <w:numPr>
                <w:ilvl w:val="0"/>
                <w:numId w:val="4"/>
              </w:numPr>
              <w:spacing w:after="200" w:line="276" w:lineRule="auto"/>
              <w:rPr>
                <w:rFonts w:ascii="Times New Roman" w:eastAsia="Calibri" w:hAnsi="Times New Roman" w:cs="Times New Roman"/>
              </w:rPr>
            </w:pPr>
            <w:r w:rsidRPr="009B1C53">
              <w:rPr>
                <w:rFonts w:ascii="Times New Roman" w:eastAsia="Calibri" w:hAnsi="Times New Roman" w:cs="Times New Roman"/>
              </w:rPr>
              <w:lastRenderedPageBreak/>
              <w:t>The Mansfield Library houses the archival collections of many of Montana’s Representatives and Senators, including former Senate Majority Leader Mike Mansfield.</w:t>
            </w:r>
          </w:p>
          <w:p w:rsidR="00921460" w:rsidRPr="009B1C53" w:rsidRDefault="00921460" w:rsidP="00D92840">
            <w:pPr>
              <w:pStyle w:val="ListParagraph"/>
              <w:numPr>
                <w:ilvl w:val="0"/>
                <w:numId w:val="4"/>
              </w:numPr>
              <w:spacing w:after="200" w:line="276" w:lineRule="auto"/>
              <w:rPr>
                <w:rFonts w:ascii="Times New Roman" w:eastAsia="Calibri" w:hAnsi="Times New Roman" w:cs="Times New Roman"/>
              </w:rPr>
            </w:pPr>
            <w:r w:rsidRPr="009B1C53">
              <w:rPr>
                <w:rFonts w:ascii="Times New Roman" w:eastAsia="Calibri" w:hAnsi="Times New Roman" w:cs="Times New Roman"/>
              </w:rPr>
              <w:t xml:space="preserve">Regional Federal Depository Library </w:t>
            </w:r>
          </w:p>
          <w:p w:rsidR="00921460" w:rsidRPr="009B1C53" w:rsidRDefault="00921460" w:rsidP="00D92840">
            <w:pPr>
              <w:ind w:left="360"/>
              <w:rPr>
                <w:rFonts w:ascii="Times New Roman" w:eastAsia="DengXian" w:hAnsi="Times New Roman" w:cs="Times New Roman"/>
                <w:lang w:eastAsia="zh-CN"/>
              </w:rPr>
            </w:pPr>
          </w:p>
          <w:p w:rsidR="00921460" w:rsidRPr="00986E79" w:rsidRDefault="00921460" w:rsidP="00D92840">
            <w:pPr>
              <w:rPr>
                <w:sz w:val="21"/>
                <w:szCs w:val="21"/>
              </w:rPr>
            </w:pPr>
          </w:p>
        </w:tc>
      </w:tr>
      <w:tr w:rsidR="00921460" w:rsidRPr="00986E79" w:rsidTr="00D92840">
        <w:tc>
          <w:tcPr>
            <w:tcW w:w="2088" w:type="dxa"/>
          </w:tcPr>
          <w:p w:rsidR="00921460" w:rsidRPr="00986E79" w:rsidRDefault="00921460" w:rsidP="00D92840">
            <w:pPr>
              <w:rPr>
                <w:sz w:val="21"/>
                <w:szCs w:val="21"/>
              </w:rPr>
            </w:pPr>
            <w:r w:rsidRPr="00986E79">
              <w:rPr>
                <w:sz w:val="21"/>
                <w:szCs w:val="21"/>
              </w:rPr>
              <w:lastRenderedPageBreak/>
              <w:t>Environment, Ecology and Sustainability</w:t>
            </w:r>
          </w:p>
        </w:tc>
        <w:tc>
          <w:tcPr>
            <w:tcW w:w="2469" w:type="dxa"/>
          </w:tcPr>
          <w:p w:rsidR="00921460" w:rsidRPr="00986E79" w:rsidRDefault="00921460" w:rsidP="00D92840">
            <w:pPr>
              <w:rPr>
                <w:sz w:val="21"/>
                <w:szCs w:val="21"/>
              </w:rPr>
            </w:pPr>
            <w:r>
              <w:rPr>
                <w:sz w:val="21"/>
                <w:szCs w:val="21"/>
              </w:rPr>
              <w:t>See NOTES above</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w:t>
            </w:r>
          </w:p>
          <w:p w:rsidR="00921460" w:rsidRPr="00986E79" w:rsidRDefault="00921460" w:rsidP="00D92840">
            <w:pPr>
              <w:rPr>
                <w:sz w:val="21"/>
                <w:szCs w:val="21"/>
              </w:rPr>
            </w:pPr>
          </w:p>
        </w:tc>
      </w:tr>
      <w:tr w:rsidR="00921460" w:rsidRPr="00986E79" w:rsidTr="00D92840">
        <w:trPr>
          <w:trHeight w:val="566"/>
        </w:trPr>
        <w:tc>
          <w:tcPr>
            <w:tcW w:w="2088" w:type="dxa"/>
          </w:tcPr>
          <w:p w:rsidR="00921460" w:rsidRPr="00986E79" w:rsidRDefault="00921460" w:rsidP="00D92840">
            <w:pPr>
              <w:rPr>
                <w:sz w:val="21"/>
                <w:szCs w:val="21"/>
              </w:rPr>
            </w:pPr>
            <w:r w:rsidRPr="00986E79">
              <w:rPr>
                <w:sz w:val="21"/>
                <w:szCs w:val="21"/>
              </w:rPr>
              <w:t>Human Expression, Design &amp; Arts</w:t>
            </w:r>
          </w:p>
        </w:tc>
        <w:tc>
          <w:tcPr>
            <w:tcW w:w="2469" w:type="dxa"/>
          </w:tcPr>
          <w:p w:rsidR="00921460" w:rsidRPr="00986E79" w:rsidRDefault="00921460" w:rsidP="00D92840">
            <w:pPr>
              <w:rPr>
                <w:sz w:val="21"/>
                <w:szCs w:val="21"/>
              </w:rPr>
            </w:pPr>
            <w:r>
              <w:rPr>
                <w:sz w:val="21"/>
                <w:szCs w:val="21"/>
              </w:rPr>
              <w:t>See NOTES above</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 Additionally:</w:t>
            </w:r>
          </w:p>
          <w:p w:rsidR="00921460" w:rsidRPr="009B1201" w:rsidRDefault="00921460" w:rsidP="00D92840">
            <w:pPr>
              <w:pStyle w:val="ListParagraph"/>
              <w:numPr>
                <w:ilvl w:val="0"/>
                <w:numId w:val="5"/>
              </w:numPr>
              <w:spacing w:after="200" w:line="276" w:lineRule="auto"/>
              <w:rPr>
                <w:rFonts w:ascii="Times New Roman" w:eastAsia="DengXian" w:hAnsi="Times New Roman" w:cs="Times New Roman"/>
              </w:rPr>
            </w:pPr>
            <w:r w:rsidRPr="009B1201">
              <w:rPr>
                <w:rFonts w:ascii="Times New Roman" w:eastAsia="DengXian" w:hAnsi="Times New Roman" w:cs="Times New Roman"/>
              </w:rPr>
              <w:t xml:space="preserve">The Mansfield Library houses the largest music score and music sound recording collections in the state.  </w:t>
            </w:r>
          </w:p>
          <w:p w:rsidR="00921460" w:rsidRPr="00804A6C" w:rsidRDefault="00921460" w:rsidP="00D92840">
            <w:pPr>
              <w:rPr>
                <w:rFonts w:ascii="Times New Roman" w:eastAsia="DengXian" w:hAnsi="Times New Roman" w:cs="Times New Roman"/>
                <w:lang w:eastAsia="zh-CN"/>
              </w:rPr>
            </w:pPr>
          </w:p>
          <w:p w:rsidR="00921460" w:rsidRPr="00986E79" w:rsidRDefault="00921460" w:rsidP="00D92840">
            <w:pPr>
              <w:rPr>
                <w:sz w:val="21"/>
                <w:szCs w:val="21"/>
              </w:rPr>
            </w:pPr>
          </w:p>
        </w:tc>
      </w:tr>
      <w:tr w:rsidR="00921460" w:rsidRPr="00986E79" w:rsidTr="00D92840">
        <w:tc>
          <w:tcPr>
            <w:tcW w:w="2088" w:type="dxa"/>
          </w:tcPr>
          <w:p w:rsidR="00921460" w:rsidRPr="00986E79" w:rsidRDefault="00921460" w:rsidP="00D92840">
            <w:pPr>
              <w:rPr>
                <w:sz w:val="21"/>
                <w:szCs w:val="21"/>
              </w:rPr>
            </w:pPr>
            <w:r w:rsidRPr="00986E79">
              <w:rPr>
                <w:sz w:val="21"/>
                <w:szCs w:val="21"/>
              </w:rPr>
              <w:t>Health, Medicine, Education &amp; Human Potential</w:t>
            </w:r>
          </w:p>
        </w:tc>
        <w:tc>
          <w:tcPr>
            <w:tcW w:w="2469" w:type="dxa"/>
          </w:tcPr>
          <w:p w:rsidR="00921460" w:rsidRPr="00986E79" w:rsidRDefault="00921460" w:rsidP="00D92840">
            <w:pPr>
              <w:rPr>
                <w:sz w:val="21"/>
                <w:szCs w:val="21"/>
              </w:rPr>
            </w:pPr>
            <w:r>
              <w:rPr>
                <w:sz w:val="21"/>
                <w:szCs w:val="21"/>
              </w:rPr>
              <w:t>See NOTES above</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w:t>
            </w:r>
          </w:p>
          <w:p w:rsidR="00921460" w:rsidRPr="00986E79" w:rsidRDefault="00921460" w:rsidP="00D92840">
            <w:pPr>
              <w:rPr>
                <w:sz w:val="21"/>
                <w:szCs w:val="21"/>
              </w:rPr>
            </w:pPr>
          </w:p>
        </w:tc>
      </w:tr>
      <w:tr w:rsidR="00921460" w:rsidRPr="00986E79" w:rsidTr="00D92840">
        <w:tc>
          <w:tcPr>
            <w:tcW w:w="2088" w:type="dxa"/>
          </w:tcPr>
          <w:p w:rsidR="00921460" w:rsidRPr="00986E79" w:rsidRDefault="00921460" w:rsidP="00D92840">
            <w:pPr>
              <w:rPr>
                <w:sz w:val="21"/>
                <w:szCs w:val="21"/>
              </w:rPr>
            </w:pPr>
            <w:r w:rsidRPr="00986E79">
              <w:rPr>
                <w:sz w:val="21"/>
                <w:szCs w:val="21"/>
              </w:rPr>
              <w:t>Communication, Information Transfer and Knowledge Systems</w:t>
            </w:r>
          </w:p>
        </w:tc>
        <w:tc>
          <w:tcPr>
            <w:tcW w:w="2469" w:type="dxa"/>
          </w:tcPr>
          <w:p w:rsidR="00921460" w:rsidRPr="00986E79" w:rsidRDefault="00921460" w:rsidP="00D92840">
            <w:pPr>
              <w:rPr>
                <w:sz w:val="21"/>
                <w:szCs w:val="21"/>
              </w:rPr>
            </w:pPr>
            <w:r>
              <w:rPr>
                <w:rFonts w:ascii="Times New Roman" w:eastAsia="DengXian" w:hAnsi="Times New Roman" w:cs="Times New Roman"/>
                <w:lang w:eastAsia="zh-CN"/>
              </w:rPr>
              <w:t xml:space="preserve">The </w:t>
            </w:r>
            <w:r w:rsidRPr="00804A6C">
              <w:rPr>
                <w:rFonts w:ascii="Times New Roman" w:eastAsia="DengXian" w:hAnsi="Times New Roman" w:cs="Times New Roman"/>
                <w:lang w:eastAsia="zh-CN"/>
              </w:rPr>
              <w:t>Mansfield Library faculty are well-positioned to contribute their subject expertise in the areas of informatics, information literacy, data managemen</w:t>
            </w:r>
            <w:r>
              <w:rPr>
                <w:rFonts w:ascii="Times New Roman" w:eastAsia="DengXian" w:hAnsi="Times New Roman" w:cs="Times New Roman"/>
                <w:lang w:eastAsia="zh-CN"/>
              </w:rPr>
              <w:t xml:space="preserve">t and governance, and knowledge/information </w:t>
            </w:r>
            <w:r w:rsidRPr="00804A6C">
              <w:rPr>
                <w:rFonts w:ascii="Times New Roman" w:eastAsia="DengXian" w:hAnsi="Times New Roman" w:cs="Times New Roman"/>
                <w:lang w:eastAsia="zh-CN"/>
              </w:rPr>
              <w:t>production and access</w:t>
            </w:r>
            <w:r>
              <w:rPr>
                <w:rFonts w:ascii="Times New Roman" w:eastAsia="DengXian" w:hAnsi="Times New Roman" w:cs="Times New Roman"/>
                <w:lang w:eastAsia="zh-CN"/>
              </w:rPr>
              <w:t>.</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 Additionally:</w:t>
            </w:r>
          </w:p>
          <w:p w:rsidR="00921460" w:rsidRPr="009B1C53" w:rsidRDefault="00921460" w:rsidP="00D92840">
            <w:pPr>
              <w:pStyle w:val="ListParagraph"/>
              <w:numPr>
                <w:ilvl w:val="0"/>
                <w:numId w:val="3"/>
              </w:numPr>
              <w:spacing w:after="200" w:line="276" w:lineRule="auto"/>
              <w:rPr>
                <w:rFonts w:ascii="Times New Roman" w:eastAsia="Calibri" w:hAnsi="Times New Roman" w:cs="Times New Roman"/>
              </w:rPr>
            </w:pPr>
            <w:r w:rsidRPr="009B1C53">
              <w:rPr>
                <w:rFonts w:ascii="Times New Roman" w:eastAsia="Calibri" w:hAnsi="Times New Roman" w:cs="Times New Roman"/>
              </w:rPr>
              <w:t xml:space="preserve">The UM’s institutional repository, </w:t>
            </w:r>
            <w:proofErr w:type="spellStart"/>
            <w:r w:rsidRPr="009B1C53">
              <w:rPr>
                <w:rFonts w:ascii="Times New Roman" w:eastAsia="Calibri" w:hAnsi="Times New Roman" w:cs="Times New Roman"/>
              </w:rPr>
              <w:t>ScholarWorks</w:t>
            </w:r>
            <w:proofErr w:type="spellEnd"/>
            <w:r w:rsidRPr="009B1C53">
              <w:rPr>
                <w:rFonts w:ascii="Times New Roman" w:eastAsia="Calibri" w:hAnsi="Times New Roman" w:cs="Times New Roman"/>
              </w:rPr>
              <w:t xml:space="preserve"> managed by the Mansfield Library, showcases UM’s research publications by faculty, graduate students, and undergraduate students. These research publications received 1.3 million downloads by worldwide audience by January 2018. </w:t>
            </w:r>
          </w:p>
          <w:p w:rsidR="00921460" w:rsidRPr="00804A6C" w:rsidRDefault="00921460" w:rsidP="00D92840">
            <w:pPr>
              <w:widowControl w:val="0"/>
              <w:numPr>
                <w:ilvl w:val="0"/>
                <w:numId w:val="3"/>
              </w:numPr>
              <w:autoSpaceDE w:val="0"/>
              <w:autoSpaceDN w:val="0"/>
              <w:adjustRightInd w:val="0"/>
              <w:spacing w:after="200" w:line="276" w:lineRule="auto"/>
              <w:contextualSpacing/>
              <w:rPr>
                <w:rFonts w:ascii="Times New Roman" w:eastAsia="SimSun" w:hAnsi="Times New Roman" w:cs="Times New Roman"/>
                <w:iCs/>
              </w:rPr>
            </w:pPr>
            <w:r w:rsidRPr="00804A6C">
              <w:rPr>
                <w:rFonts w:ascii="Times New Roman" w:eastAsia="Calibri" w:hAnsi="Times New Roman" w:cs="Times New Roman"/>
              </w:rPr>
              <w:t>The Mansfield Library</w:t>
            </w:r>
            <w:r w:rsidRPr="00804A6C">
              <w:rPr>
                <w:rFonts w:ascii="Times New Roman" w:eastAsia="SimSun" w:hAnsi="Times New Roman" w:cs="Times New Roman"/>
                <w:iCs/>
              </w:rPr>
              <w:t xml:space="preserve"> led the state-wide technology implementation to a cloud –computing library system in Montana, with 18 academic libraries. The UM faculty and students are able to access library holdings at these Montana institutions. </w:t>
            </w:r>
          </w:p>
          <w:p w:rsidR="00921460" w:rsidRPr="00804A6C" w:rsidRDefault="00921460" w:rsidP="00D92840">
            <w:pPr>
              <w:spacing w:after="200" w:line="276" w:lineRule="auto"/>
              <w:contextualSpacing/>
              <w:rPr>
                <w:rFonts w:ascii="Times New Roman" w:eastAsia="Calibri" w:hAnsi="Times New Roman" w:cs="Times New Roman"/>
              </w:rPr>
            </w:pPr>
          </w:p>
          <w:p w:rsidR="00921460" w:rsidRPr="00986E79" w:rsidRDefault="00921460" w:rsidP="00D92840">
            <w:pPr>
              <w:rPr>
                <w:sz w:val="21"/>
                <w:szCs w:val="21"/>
              </w:rPr>
            </w:pPr>
          </w:p>
        </w:tc>
      </w:tr>
      <w:tr w:rsidR="00921460" w:rsidRPr="00986E79" w:rsidTr="00D92840">
        <w:tc>
          <w:tcPr>
            <w:tcW w:w="2088" w:type="dxa"/>
          </w:tcPr>
          <w:p w:rsidR="00921460" w:rsidRPr="00986E79" w:rsidRDefault="00921460" w:rsidP="00D92840">
            <w:pPr>
              <w:rPr>
                <w:sz w:val="21"/>
                <w:szCs w:val="21"/>
              </w:rPr>
            </w:pPr>
            <w:r w:rsidRPr="00986E79">
              <w:rPr>
                <w:sz w:val="21"/>
                <w:szCs w:val="21"/>
              </w:rPr>
              <w:t>Scientific Innovation &amp; Discovery</w:t>
            </w:r>
          </w:p>
        </w:tc>
        <w:tc>
          <w:tcPr>
            <w:tcW w:w="2469" w:type="dxa"/>
          </w:tcPr>
          <w:p w:rsidR="00921460" w:rsidRPr="00986E79" w:rsidRDefault="00921460" w:rsidP="00D92840">
            <w:pPr>
              <w:rPr>
                <w:sz w:val="21"/>
                <w:szCs w:val="21"/>
              </w:rPr>
            </w:pPr>
            <w:r>
              <w:rPr>
                <w:sz w:val="21"/>
                <w:szCs w:val="21"/>
              </w:rPr>
              <w:t>See NOTES above</w:t>
            </w:r>
          </w:p>
        </w:tc>
        <w:tc>
          <w:tcPr>
            <w:tcW w:w="4911" w:type="dxa"/>
          </w:tcPr>
          <w:p w:rsidR="00921460" w:rsidRPr="00804A6C" w:rsidRDefault="00921460" w:rsidP="00D92840">
            <w:pPr>
              <w:rPr>
                <w:rFonts w:ascii="Times New Roman" w:eastAsia="DengXian" w:hAnsi="Times New Roman" w:cs="Times New Roman"/>
                <w:lang w:eastAsia="zh-CN"/>
              </w:rPr>
            </w:pPr>
            <w:r>
              <w:rPr>
                <w:rFonts w:ascii="Times New Roman" w:eastAsia="DengXian" w:hAnsi="Times New Roman" w:cs="Times New Roman"/>
                <w:lang w:eastAsia="zh-CN"/>
              </w:rPr>
              <w:t>See NOTES above. Additionally:</w:t>
            </w:r>
          </w:p>
          <w:p w:rsidR="00921460" w:rsidRPr="00804A6C" w:rsidRDefault="00921460" w:rsidP="00D92840">
            <w:pPr>
              <w:numPr>
                <w:ilvl w:val="0"/>
                <w:numId w:val="3"/>
              </w:numPr>
              <w:spacing w:after="200" w:line="276" w:lineRule="auto"/>
              <w:contextualSpacing/>
              <w:rPr>
                <w:rFonts w:ascii="Times New Roman" w:eastAsia="Calibri" w:hAnsi="Times New Roman" w:cs="Times New Roman"/>
              </w:rPr>
            </w:pPr>
            <w:r w:rsidRPr="00804A6C">
              <w:rPr>
                <w:rFonts w:ascii="Times New Roman" w:eastAsia="SimSun" w:hAnsi="Times New Roman" w:cs="Times New Roman"/>
                <w:iCs/>
              </w:rPr>
              <w:t xml:space="preserve">This semester, the library is launching </w:t>
            </w:r>
            <w:proofErr w:type="spellStart"/>
            <w:r w:rsidRPr="00804A6C">
              <w:rPr>
                <w:rFonts w:ascii="Times New Roman" w:eastAsia="SimSun" w:hAnsi="Times New Roman" w:cs="Times New Roman"/>
                <w:iCs/>
              </w:rPr>
              <w:t>Lightboard</w:t>
            </w:r>
            <w:proofErr w:type="spellEnd"/>
            <w:r w:rsidRPr="00804A6C">
              <w:rPr>
                <w:rFonts w:ascii="Times New Roman" w:eastAsia="SimSun" w:hAnsi="Times New Roman" w:cs="Times New Roman"/>
                <w:iCs/>
              </w:rPr>
              <w:t xml:space="preserve"> Studio to support UM faculty for their creation of online courses. It is a collaborative endeavor with several campus units, Math Department, Central IT, Mansfield Center, SELL, etc. </w:t>
            </w:r>
            <w:r w:rsidRPr="00804A6C">
              <w:rPr>
                <w:rFonts w:ascii="Times New Roman" w:eastAsia="DengXian" w:hAnsi="Times New Roman" w:cs="Times New Roman"/>
              </w:rPr>
              <w:t xml:space="preserve">The Mansfield Library </w:t>
            </w:r>
            <w:r w:rsidRPr="00804A6C">
              <w:rPr>
                <w:rFonts w:ascii="Times New Roman" w:eastAsia="Calibri" w:hAnsi="Times New Roman" w:cs="Times New Roman"/>
              </w:rPr>
              <w:t xml:space="preserve">launched the first One Button Studio </w:t>
            </w:r>
            <w:r w:rsidRPr="00804A6C">
              <w:rPr>
                <w:rFonts w:ascii="Times New Roman" w:eastAsia="Calibri" w:hAnsi="Times New Roman" w:cs="Times New Roman"/>
              </w:rPr>
              <w:lastRenderedPageBreak/>
              <w:t xml:space="preserve">in the region in fall 2015 for UM faculty and students to produce quality video in an automatic environment. </w:t>
            </w:r>
          </w:p>
          <w:p w:rsidR="00921460" w:rsidRPr="009B1C53" w:rsidRDefault="00921460" w:rsidP="00D92840">
            <w:pPr>
              <w:numPr>
                <w:ilvl w:val="0"/>
                <w:numId w:val="3"/>
              </w:numPr>
              <w:spacing w:after="200" w:line="276" w:lineRule="auto"/>
              <w:contextualSpacing/>
              <w:rPr>
                <w:rFonts w:ascii="Times New Roman" w:eastAsia="Calibri" w:hAnsi="Times New Roman" w:cs="Times New Roman"/>
              </w:rPr>
            </w:pPr>
            <w:r w:rsidRPr="00804A6C">
              <w:rPr>
                <w:rFonts w:ascii="Times New Roman" w:eastAsia="Calibri" w:hAnsi="Times New Roman" w:cs="Times New Roman"/>
              </w:rPr>
              <w:t>The Mansfield Library offered a Virtual Reality Room for UM students since fall 2017. It enables students with new learning experience.</w:t>
            </w:r>
          </w:p>
          <w:p w:rsidR="00921460" w:rsidRPr="00804A6C" w:rsidRDefault="00921460" w:rsidP="00D92840">
            <w:pPr>
              <w:rPr>
                <w:rFonts w:ascii="Times New Roman" w:eastAsia="DengXian" w:hAnsi="Times New Roman" w:cs="Times New Roman"/>
                <w:lang w:eastAsia="zh-CN"/>
              </w:rPr>
            </w:pPr>
          </w:p>
          <w:p w:rsidR="00921460" w:rsidRPr="00986E79" w:rsidRDefault="00921460" w:rsidP="00D92840">
            <w:pPr>
              <w:rPr>
                <w:sz w:val="21"/>
                <w:szCs w:val="21"/>
              </w:rPr>
            </w:pPr>
          </w:p>
        </w:tc>
      </w:tr>
    </w:tbl>
    <w:p w:rsidR="00921460" w:rsidRPr="00804A6C" w:rsidRDefault="00921460" w:rsidP="00921460">
      <w:pPr>
        <w:rPr>
          <w:rFonts w:ascii="Times New Roman" w:eastAsia="DengXian" w:hAnsi="Times New Roman" w:cs="Times New Roman"/>
          <w:lang w:eastAsia="zh-CN"/>
        </w:rPr>
      </w:pPr>
      <w:r w:rsidRPr="00804A6C">
        <w:rPr>
          <w:rFonts w:ascii="Times New Roman" w:eastAsia="DengXian" w:hAnsi="Times New Roman" w:cs="Times New Roman"/>
          <w:lang w:eastAsia="zh-CN"/>
        </w:rPr>
        <w:lastRenderedPageBreak/>
        <w:t xml:space="preserve">curriculum (or general education framework) in order to prepare information literate students with the deep </w:t>
      </w:r>
    </w:p>
    <w:p w:rsidR="00921460" w:rsidRPr="00804A6C" w:rsidRDefault="00921460" w:rsidP="00921460">
      <w:pPr>
        <w:rPr>
          <w:rFonts w:ascii="Times New Roman" w:eastAsia="DengXian" w:hAnsi="Times New Roman" w:cs="Times New Roman"/>
          <w:lang w:eastAsia="zh-CN"/>
        </w:rPr>
      </w:pPr>
      <w:proofErr w:type="gramStart"/>
      <w:r w:rsidRPr="00804A6C">
        <w:rPr>
          <w:rFonts w:ascii="Times New Roman" w:eastAsia="DengXian" w:hAnsi="Times New Roman" w:cs="Times New Roman"/>
          <w:lang w:eastAsia="zh-CN"/>
        </w:rPr>
        <w:t>and</w:t>
      </w:r>
      <w:proofErr w:type="gramEnd"/>
      <w:r w:rsidRPr="00804A6C">
        <w:rPr>
          <w:rFonts w:ascii="Times New Roman" w:eastAsia="DengXian" w:hAnsi="Times New Roman" w:cs="Times New Roman"/>
          <w:lang w:eastAsia="zh-CN"/>
        </w:rPr>
        <w:t xml:space="preserve"> ethical ability to apply critical thinking skills in a dynamic and global world. </w:t>
      </w:r>
    </w:p>
    <w:p w:rsidR="00921460" w:rsidRPr="00E825AA" w:rsidRDefault="00921460" w:rsidP="00261F3C">
      <w:pPr>
        <w:rPr>
          <w:rFonts w:cstheme="minorHAnsi"/>
          <w:sz w:val="24"/>
          <w:szCs w:val="24"/>
        </w:rPr>
      </w:pPr>
    </w:p>
    <w:sectPr w:rsidR="00921460" w:rsidRPr="00E825AA" w:rsidSect="00BC5985">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8"/>
    <w:family w:val="auto"/>
    <w:pitch w:val="variable"/>
    <w:sig w:usb0="A00002BF" w:usb1="38CF7CFA" w:usb2="00000016" w:usb3="00000000" w:csb0="001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28E"/>
    <w:multiLevelType w:val="hybridMultilevel"/>
    <w:tmpl w:val="8F4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5603"/>
    <w:multiLevelType w:val="hybridMultilevel"/>
    <w:tmpl w:val="011C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147E6"/>
    <w:multiLevelType w:val="hybridMultilevel"/>
    <w:tmpl w:val="AD1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3F3E"/>
    <w:multiLevelType w:val="hybridMultilevel"/>
    <w:tmpl w:val="ECF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C4E7C"/>
    <w:multiLevelType w:val="hybridMultilevel"/>
    <w:tmpl w:val="00EE2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284B"/>
    <w:multiLevelType w:val="hybridMultilevel"/>
    <w:tmpl w:val="C664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202DC"/>
    <w:rsid w:val="00022271"/>
    <w:rsid w:val="00050042"/>
    <w:rsid w:val="000619B3"/>
    <w:rsid w:val="00087F1C"/>
    <w:rsid w:val="000902C4"/>
    <w:rsid w:val="00114134"/>
    <w:rsid w:val="00124446"/>
    <w:rsid w:val="00127261"/>
    <w:rsid w:val="00146311"/>
    <w:rsid w:val="00163B4F"/>
    <w:rsid w:val="00164C9A"/>
    <w:rsid w:val="001A224D"/>
    <w:rsid w:val="001A465B"/>
    <w:rsid w:val="001C00C6"/>
    <w:rsid w:val="001E6F76"/>
    <w:rsid w:val="00224C6C"/>
    <w:rsid w:val="0022721F"/>
    <w:rsid w:val="00243DF9"/>
    <w:rsid w:val="00261F3C"/>
    <w:rsid w:val="00265C6B"/>
    <w:rsid w:val="0028621E"/>
    <w:rsid w:val="00290861"/>
    <w:rsid w:val="00295DAB"/>
    <w:rsid w:val="002A1310"/>
    <w:rsid w:val="002D3543"/>
    <w:rsid w:val="002F314E"/>
    <w:rsid w:val="00337699"/>
    <w:rsid w:val="00361484"/>
    <w:rsid w:val="003A5CB6"/>
    <w:rsid w:val="003B5B93"/>
    <w:rsid w:val="003F162E"/>
    <w:rsid w:val="004332FA"/>
    <w:rsid w:val="004455FA"/>
    <w:rsid w:val="00446B3B"/>
    <w:rsid w:val="0045519B"/>
    <w:rsid w:val="00457D93"/>
    <w:rsid w:val="004860C8"/>
    <w:rsid w:val="00492F91"/>
    <w:rsid w:val="00495FCD"/>
    <w:rsid w:val="004B21AD"/>
    <w:rsid w:val="00512A16"/>
    <w:rsid w:val="005247D1"/>
    <w:rsid w:val="00525312"/>
    <w:rsid w:val="005407AB"/>
    <w:rsid w:val="00543C7D"/>
    <w:rsid w:val="0056164B"/>
    <w:rsid w:val="00561E69"/>
    <w:rsid w:val="0056455A"/>
    <w:rsid w:val="005D6632"/>
    <w:rsid w:val="005E3C42"/>
    <w:rsid w:val="00604CC7"/>
    <w:rsid w:val="0061042D"/>
    <w:rsid w:val="00620764"/>
    <w:rsid w:val="006212C8"/>
    <w:rsid w:val="00622ADD"/>
    <w:rsid w:val="00627AA0"/>
    <w:rsid w:val="00643D7C"/>
    <w:rsid w:val="00644BFE"/>
    <w:rsid w:val="0065105F"/>
    <w:rsid w:val="00670F19"/>
    <w:rsid w:val="00684409"/>
    <w:rsid w:val="006D1D71"/>
    <w:rsid w:val="006E7B6D"/>
    <w:rsid w:val="006F3FE2"/>
    <w:rsid w:val="00717E7D"/>
    <w:rsid w:val="00726C12"/>
    <w:rsid w:val="00737BD5"/>
    <w:rsid w:val="007431B0"/>
    <w:rsid w:val="00760DA3"/>
    <w:rsid w:val="00766F76"/>
    <w:rsid w:val="007B0700"/>
    <w:rsid w:val="007C130B"/>
    <w:rsid w:val="007C1863"/>
    <w:rsid w:val="007E1D0E"/>
    <w:rsid w:val="00803EDB"/>
    <w:rsid w:val="00834D4B"/>
    <w:rsid w:val="00865BC5"/>
    <w:rsid w:val="008732A4"/>
    <w:rsid w:val="00892CE5"/>
    <w:rsid w:val="0089351C"/>
    <w:rsid w:val="008A3842"/>
    <w:rsid w:val="008C4E5D"/>
    <w:rsid w:val="008D2D13"/>
    <w:rsid w:val="008E358E"/>
    <w:rsid w:val="008F6C44"/>
    <w:rsid w:val="00907B46"/>
    <w:rsid w:val="00913031"/>
    <w:rsid w:val="00915AF3"/>
    <w:rsid w:val="0091661D"/>
    <w:rsid w:val="00921460"/>
    <w:rsid w:val="00926AEC"/>
    <w:rsid w:val="00941656"/>
    <w:rsid w:val="00986C3E"/>
    <w:rsid w:val="00992284"/>
    <w:rsid w:val="009B2D3E"/>
    <w:rsid w:val="009F4FF4"/>
    <w:rsid w:val="00A1658B"/>
    <w:rsid w:val="00A52520"/>
    <w:rsid w:val="00A76684"/>
    <w:rsid w:val="00AA7DA4"/>
    <w:rsid w:val="00AB44E2"/>
    <w:rsid w:val="00AB75CA"/>
    <w:rsid w:val="00AC15BA"/>
    <w:rsid w:val="00AF3B28"/>
    <w:rsid w:val="00B03F99"/>
    <w:rsid w:val="00B35CBF"/>
    <w:rsid w:val="00B5142B"/>
    <w:rsid w:val="00B80F8F"/>
    <w:rsid w:val="00B912BE"/>
    <w:rsid w:val="00B9355D"/>
    <w:rsid w:val="00BA2B1A"/>
    <w:rsid w:val="00BB41F9"/>
    <w:rsid w:val="00BC5985"/>
    <w:rsid w:val="00BF0D5F"/>
    <w:rsid w:val="00C21BF8"/>
    <w:rsid w:val="00C423B6"/>
    <w:rsid w:val="00C55F96"/>
    <w:rsid w:val="00CA05B1"/>
    <w:rsid w:val="00CD34F7"/>
    <w:rsid w:val="00D01DA9"/>
    <w:rsid w:val="00D301A3"/>
    <w:rsid w:val="00D35ACD"/>
    <w:rsid w:val="00D6699B"/>
    <w:rsid w:val="00D67FC8"/>
    <w:rsid w:val="00D71274"/>
    <w:rsid w:val="00D74322"/>
    <w:rsid w:val="00D92840"/>
    <w:rsid w:val="00DA4EF9"/>
    <w:rsid w:val="00DC717D"/>
    <w:rsid w:val="00DD085F"/>
    <w:rsid w:val="00DD4AF6"/>
    <w:rsid w:val="00DE29E2"/>
    <w:rsid w:val="00E006FD"/>
    <w:rsid w:val="00E24767"/>
    <w:rsid w:val="00E520C1"/>
    <w:rsid w:val="00E67D69"/>
    <w:rsid w:val="00E825AA"/>
    <w:rsid w:val="00E93C3F"/>
    <w:rsid w:val="00E97F2A"/>
    <w:rsid w:val="00ED44EE"/>
    <w:rsid w:val="00ED68CC"/>
    <w:rsid w:val="00EE5528"/>
    <w:rsid w:val="00F027D8"/>
    <w:rsid w:val="00F1341E"/>
    <w:rsid w:val="00F1722E"/>
    <w:rsid w:val="00F30506"/>
    <w:rsid w:val="00F3104C"/>
    <w:rsid w:val="00F31267"/>
    <w:rsid w:val="00F40DB7"/>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61"/>
  <w15:docId w15:val="{BCD0F5A7-FFB7-4425-B56F-D56CD871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 w:type="paragraph" w:customStyle="1" w:styleId="Default">
    <w:name w:val="Default"/>
    <w:rsid w:val="00D35ACD"/>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table" w:styleId="TableGrid">
    <w:name w:val="Table Grid"/>
    <w:basedOn w:val="TableNormal"/>
    <w:uiPriority w:val="39"/>
    <w:rsid w:val="00921460"/>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03322884">
      <w:bodyDiv w:val="1"/>
      <w:marLeft w:val="0"/>
      <w:marRight w:val="0"/>
      <w:marTop w:val="0"/>
      <w:marBottom w:val="0"/>
      <w:divBdr>
        <w:top w:val="none" w:sz="0" w:space="0" w:color="auto"/>
        <w:left w:val="none" w:sz="0" w:space="0" w:color="auto"/>
        <w:bottom w:val="none" w:sz="0" w:space="0" w:color="auto"/>
        <w:right w:val="none" w:sz="0" w:space="0" w:color="auto"/>
      </w:divBdr>
    </w:div>
    <w:div w:id="639968829">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960114985">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365709468">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691881485">
      <w:bodyDiv w:val="1"/>
      <w:marLeft w:val="0"/>
      <w:marRight w:val="0"/>
      <w:marTop w:val="0"/>
      <w:marBottom w:val="0"/>
      <w:divBdr>
        <w:top w:val="none" w:sz="0" w:space="0" w:color="auto"/>
        <w:left w:val="none" w:sz="0" w:space="0" w:color="auto"/>
        <w:bottom w:val="none" w:sz="0" w:space="0" w:color="auto"/>
        <w:right w:val="none" w:sz="0" w:space="0" w:color="auto"/>
      </w:divBdr>
    </w:div>
    <w:div w:id="1784031784">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 w:id="19779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DA42-2688-42E4-A07A-7B7F9036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4</cp:revision>
  <cp:lastPrinted>2017-03-13T21:48:00Z</cp:lastPrinted>
  <dcterms:created xsi:type="dcterms:W3CDTF">2018-03-14T18:01:00Z</dcterms:created>
  <dcterms:modified xsi:type="dcterms:W3CDTF">2018-03-19T21:06:00Z</dcterms:modified>
</cp:coreProperties>
</file>