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bookmarkStart w:id="0" w:name="_GoBack"/>
      <w:bookmarkEnd w:id="0"/>
      <w:r>
        <w:t xml:space="preserve">General Education Committee Minutes, </w:t>
      </w:r>
      <w:r w:rsidR="007C1B4A">
        <w:t>1</w:t>
      </w:r>
      <w:r w:rsidR="001E6F26">
        <w:t>1</w:t>
      </w:r>
      <w:r>
        <w:t>/</w:t>
      </w:r>
      <w:r w:rsidR="001E6F26">
        <w:t>15</w:t>
      </w:r>
      <w:r>
        <w:t>/1</w:t>
      </w:r>
      <w:r w:rsidR="004E3634">
        <w:t>7</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646E47">
        <w:rPr>
          <w:rFonts w:cs="Calibri"/>
          <w:sz w:val="24"/>
          <w:szCs w:val="24"/>
        </w:rPr>
        <w:t xml:space="preserve">L. Ametsbichler, </w:t>
      </w:r>
      <w:r w:rsidR="001E6F26">
        <w:rPr>
          <w:rFonts w:cs="Calibri"/>
          <w:sz w:val="24"/>
          <w:szCs w:val="24"/>
        </w:rPr>
        <w:t xml:space="preserve">P. Muench, </w:t>
      </w:r>
      <w:r w:rsidR="00FA165A">
        <w:rPr>
          <w:rFonts w:cs="Calibri"/>
          <w:sz w:val="24"/>
          <w:szCs w:val="24"/>
        </w:rPr>
        <w:t>G. Peters</w:t>
      </w:r>
      <w:r w:rsidR="001E6F26">
        <w:rPr>
          <w:rFonts w:cs="Calibri"/>
          <w:sz w:val="24"/>
          <w:szCs w:val="24"/>
        </w:rPr>
        <w:t>,</w:t>
      </w:r>
      <w:r w:rsidR="00FA165A">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FA165A">
        <w:rPr>
          <w:rFonts w:cs="Calibri"/>
          <w:sz w:val="24"/>
          <w:szCs w:val="24"/>
        </w:rPr>
        <w:t xml:space="preserve">D. Ward, </w:t>
      </w:r>
      <w:r w:rsidR="00FA067D">
        <w:rPr>
          <w:rFonts w:cs="Calibri"/>
          <w:sz w:val="24"/>
          <w:szCs w:val="24"/>
        </w:rPr>
        <w:t>T.</w:t>
      </w:r>
      <w:r w:rsidR="00560E2B">
        <w:rPr>
          <w:rFonts w:cs="Calibri"/>
          <w:sz w:val="24"/>
          <w:szCs w:val="24"/>
        </w:rPr>
        <w:t xml:space="preserve"> </w:t>
      </w:r>
      <w:r w:rsidR="00FA067D">
        <w:rPr>
          <w:rFonts w:cs="Calibri"/>
          <w:sz w:val="24"/>
          <w:szCs w:val="24"/>
        </w:rPr>
        <w:t>Wheeler</w:t>
      </w:r>
      <w:r w:rsidR="003D0096">
        <w:rPr>
          <w:rFonts w:cs="Calibri"/>
          <w:sz w:val="24"/>
          <w:szCs w:val="24"/>
        </w:rPr>
        <w:t>, J. Wilkinson</w:t>
      </w:r>
    </w:p>
    <w:p w:rsidR="002F460D" w:rsidRDefault="002F460D" w:rsidP="001E6F26">
      <w:pPr>
        <w:spacing w:after="12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1E6F26">
        <w:rPr>
          <w:rFonts w:cs="Calibri"/>
          <w:sz w:val="24"/>
          <w:szCs w:val="24"/>
        </w:rPr>
        <w:t xml:space="preserve">B. Bach, </w:t>
      </w:r>
      <w:r w:rsidR="00646E47">
        <w:rPr>
          <w:rFonts w:cs="Calibri"/>
          <w:sz w:val="24"/>
          <w:szCs w:val="24"/>
        </w:rPr>
        <w:t xml:space="preserve">B. Clough, </w:t>
      </w:r>
      <w:r w:rsidR="001E6F26">
        <w:rPr>
          <w:rFonts w:cs="Calibri"/>
          <w:sz w:val="24"/>
          <w:szCs w:val="24"/>
        </w:rPr>
        <w:t xml:space="preserve">B. Durnell, </w:t>
      </w:r>
      <w:r w:rsidR="00646E47">
        <w:rPr>
          <w:rFonts w:cs="Calibri"/>
          <w:sz w:val="24"/>
          <w:szCs w:val="24"/>
        </w:rPr>
        <w:t xml:space="preserve">B. French, </w:t>
      </w:r>
      <w:r w:rsidR="000A1FCA">
        <w:rPr>
          <w:rFonts w:cs="Calibri"/>
          <w:sz w:val="24"/>
          <w:szCs w:val="24"/>
        </w:rPr>
        <w:t xml:space="preserve">N. Lindsay </w:t>
      </w:r>
      <w:r w:rsidR="001E6F26">
        <w:rPr>
          <w:rFonts w:cs="Calibri"/>
          <w:sz w:val="24"/>
          <w:szCs w:val="24"/>
        </w:rPr>
        <w:t>A. Sala,</w:t>
      </w:r>
      <w:r w:rsidR="001E6F26" w:rsidRPr="001E6F26">
        <w:rPr>
          <w:rFonts w:cs="Calibri"/>
          <w:sz w:val="24"/>
          <w:szCs w:val="24"/>
        </w:rPr>
        <w:t xml:space="preserve"> </w:t>
      </w:r>
      <w:r w:rsidR="001E6F26">
        <w:rPr>
          <w:rFonts w:cs="Calibri"/>
          <w:sz w:val="24"/>
          <w:szCs w:val="24"/>
        </w:rPr>
        <w:t>A. Schafer, A. Wadell</w:t>
      </w:r>
    </w:p>
    <w:p w:rsidR="001E6F26" w:rsidRDefault="001E6F26" w:rsidP="00CD5D5C">
      <w:pPr>
        <w:pStyle w:val="Heading2"/>
      </w:pPr>
    </w:p>
    <w:p w:rsidR="005C059A" w:rsidRDefault="006E083D" w:rsidP="00CD5D5C">
      <w:pPr>
        <w:pStyle w:val="Heading2"/>
      </w:pPr>
      <w:r>
        <w:t>Business Items</w:t>
      </w:r>
      <w:r w:rsidR="00CD5D5C">
        <w:br/>
      </w:r>
    </w:p>
    <w:p w:rsidR="00D90124" w:rsidRDefault="001E6F26" w:rsidP="0001544C">
      <w:pPr>
        <w:pStyle w:val="ListParagraph"/>
        <w:numPr>
          <w:ilvl w:val="0"/>
          <w:numId w:val="27"/>
        </w:numPr>
      </w:pPr>
      <w:r>
        <w:t xml:space="preserve">The following general education designations </w:t>
      </w:r>
      <w:r w:rsidR="00D90124">
        <w:t xml:space="preserve">from Group 3 and  2 were approved. </w:t>
      </w:r>
      <w:r>
        <w:t xml:space="preserve"> </w:t>
      </w:r>
      <w:r w:rsidR="00D90124">
        <w:br/>
      </w:r>
      <w:r w:rsidR="00D90124">
        <w:br/>
      </w:r>
      <w:r w:rsidR="001A11B2" w:rsidRPr="001A11B2">
        <w:rPr>
          <w:rStyle w:val="Heading3Char"/>
        </w:rPr>
        <w:t>Group 3</w:t>
      </w:r>
    </w:p>
    <w:tbl>
      <w:tblPr>
        <w:tblW w:w="0" w:type="auto"/>
        <w:tblInd w:w="1080" w:type="dxa"/>
        <w:tblCellMar>
          <w:left w:w="0" w:type="dxa"/>
          <w:right w:w="0" w:type="dxa"/>
        </w:tblCellMar>
        <w:tblLook w:val="04A0" w:firstRow="1" w:lastRow="0" w:firstColumn="1" w:lastColumn="0" w:noHBand="0" w:noVBand="1"/>
      </w:tblPr>
      <w:tblGrid>
        <w:gridCol w:w="1278"/>
        <w:gridCol w:w="3600"/>
        <w:gridCol w:w="2970"/>
      </w:tblGrid>
      <w:tr w:rsidR="001A11B2" w:rsidRPr="00554717" w:rsidTr="001A11B2">
        <w:trPr>
          <w:trHeight w:val="395"/>
        </w:trPr>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C23B4E">
            <w:pPr>
              <w:spacing w:after="0" w:line="240" w:lineRule="auto"/>
            </w:pPr>
            <w:r>
              <w:t>Course Number</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C23B4E">
            <w:pPr>
              <w:spacing w:after="0" w:line="240" w:lineRule="auto"/>
            </w:pPr>
            <w:r>
              <w:t>Title</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A11B2" w:rsidRPr="00554717" w:rsidRDefault="001A11B2" w:rsidP="001A11B2">
            <w:pPr>
              <w:spacing w:after="0" w:line="240" w:lineRule="auto"/>
            </w:pPr>
            <w:r>
              <w:t>Group</w:t>
            </w:r>
          </w:p>
        </w:tc>
      </w:tr>
      <w:tr w:rsidR="00D90124" w:rsidRPr="00554717" w:rsidTr="001A11B2">
        <w:tc>
          <w:tcPr>
            <w:tcW w:w="12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90124" w:rsidRPr="00554717" w:rsidRDefault="00D90124" w:rsidP="00C23B4E">
            <w:pPr>
              <w:spacing w:after="0" w:line="240" w:lineRule="auto"/>
            </w:pPr>
            <w:r w:rsidRPr="00554717">
              <w:t>THTR 106</w:t>
            </w:r>
          </w:p>
        </w:tc>
        <w:tc>
          <w:tcPr>
            <w:tcW w:w="3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90124" w:rsidRPr="00554717" w:rsidRDefault="00D90124" w:rsidP="00C23B4E">
            <w:pPr>
              <w:spacing w:after="0" w:line="240" w:lineRule="auto"/>
            </w:pPr>
            <w:r w:rsidRPr="00554717">
              <w:t>Theatre Production I Run Crew</w:t>
            </w:r>
          </w:p>
        </w:tc>
        <w:tc>
          <w:tcPr>
            <w:tcW w:w="29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90124" w:rsidRPr="00554717" w:rsidRDefault="00D90124" w:rsidP="001A11B2">
            <w:pPr>
              <w:spacing w:after="0" w:line="240" w:lineRule="auto"/>
            </w:pPr>
            <w:r w:rsidRPr="00554717">
              <w:t>Expressive Arts</w:t>
            </w:r>
            <w:r w:rsidR="001A11B2">
              <w:t xml:space="preserve"> </w:t>
            </w:r>
            <w:r>
              <w:t>(remove)</w:t>
            </w:r>
          </w:p>
        </w:tc>
      </w:tr>
      <w:tr w:rsidR="00D90124" w:rsidRPr="00554717" w:rsidTr="001A11B2">
        <w:tc>
          <w:tcPr>
            <w:tcW w:w="1278"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Physics</w:t>
            </w:r>
          </w:p>
        </w:tc>
        <w:tc>
          <w:tcPr>
            <w:tcW w:w="360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Language exemption</w:t>
            </w:r>
          </w:p>
        </w:tc>
        <w:tc>
          <w:tcPr>
            <w:tcW w:w="297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 Exempt</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MC BAS degree</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Language exemption request</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 Exempt</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291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Philosophy of Art</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Literary and Artistic</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101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Introduction to Philosophy</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Literary and Artistic</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102</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Introduction to Existentialism</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Literary and Artistic</w:t>
            </w:r>
          </w:p>
        </w:tc>
      </w:tr>
      <w:tr w:rsidR="00D90124" w:rsidRPr="00554717" w:rsidTr="001A11B2">
        <w:tc>
          <w:tcPr>
            <w:tcW w:w="12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90124" w:rsidRPr="00554717" w:rsidRDefault="001A11B2" w:rsidP="00C23B4E">
            <w:pPr>
              <w:spacing w:after="0" w:line="240" w:lineRule="auto"/>
            </w:pPr>
            <w:r>
              <w:t>GH 191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0124" w:rsidRPr="00554717" w:rsidRDefault="001A11B2" w:rsidP="00C23B4E">
            <w:pPr>
              <w:spacing w:after="0" w:line="240" w:lineRule="auto"/>
            </w:pPr>
            <w:r>
              <w:t>Elementary Hindi</w:t>
            </w:r>
          </w:p>
        </w:tc>
        <w:tc>
          <w:tcPr>
            <w:tcW w:w="2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0124" w:rsidRPr="00554717" w:rsidRDefault="00D90124" w:rsidP="00C23B4E">
            <w:pPr>
              <w:spacing w:after="0" w:line="240" w:lineRule="auto"/>
            </w:pPr>
            <w:r>
              <w:t>Language</w:t>
            </w:r>
          </w:p>
        </w:tc>
      </w:tr>
    </w:tbl>
    <w:p w:rsidR="00251E7A" w:rsidRDefault="00251E7A" w:rsidP="00251E7A">
      <w:pPr>
        <w:pStyle w:val="ListParagraph"/>
      </w:pPr>
    </w:p>
    <w:p w:rsidR="001A11B2" w:rsidRDefault="001A11B2" w:rsidP="001A11B2">
      <w:pPr>
        <w:pStyle w:val="Heading3"/>
        <w:ind w:firstLine="720"/>
      </w:pPr>
      <w:r>
        <w:t>Group 2</w:t>
      </w:r>
    </w:p>
    <w:tbl>
      <w:tblPr>
        <w:tblW w:w="78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00"/>
        <w:gridCol w:w="2970"/>
      </w:tblGrid>
      <w:tr w:rsidR="001A11B2" w:rsidRPr="00554717" w:rsidTr="001A11B2">
        <w:trPr>
          <w:trHeight w:val="300"/>
        </w:trPr>
        <w:tc>
          <w:tcPr>
            <w:tcW w:w="1260" w:type="dxa"/>
            <w:shd w:val="clear" w:color="auto" w:fill="auto"/>
            <w:noWrap/>
          </w:tcPr>
          <w:p w:rsidR="001A11B2" w:rsidRPr="00554717" w:rsidRDefault="001A11B2" w:rsidP="00C23B4E">
            <w:pPr>
              <w:spacing w:after="0" w:line="240" w:lineRule="auto"/>
            </w:pPr>
            <w:r>
              <w:t>Course Number</w:t>
            </w:r>
          </w:p>
        </w:tc>
        <w:tc>
          <w:tcPr>
            <w:tcW w:w="3600" w:type="dxa"/>
            <w:shd w:val="clear" w:color="auto" w:fill="auto"/>
            <w:noWrap/>
          </w:tcPr>
          <w:p w:rsidR="001A11B2" w:rsidRPr="00554717" w:rsidRDefault="001A11B2" w:rsidP="00C23B4E">
            <w:pPr>
              <w:spacing w:after="0" w:line="240" w:lineRule="auto"/>
            </w:pPr>
            <w:r>
              <w:t>Title</w:t>
            </w:r>
          </w:p>
        </w:tc>
        <w:tc>
          <w:tcPr>
            <w:tcW w:w="2970" w:type="dxa"/>
            <w:shd w:val="clear" w:color="auto" w:fill="auto"/>
            <w:noWrap/>
          </w:tcPr>
          <w:p w:rsidR="001A11B2" w:rsidRPr="00554717" w:rsidRDefault="001A11B2" w:rsidP="00C23B4E">
            <w:pPr>
              <w:spacing w:after="0" w:line="240" w:lineRule="auto"/>
            </w:pPr>
            <w:r>
              <w:t>Group</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MLIB 291</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Research Skills for an informed Citizenry</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Democracy &amp; Citizenship</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317</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Law and Morality</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Democracy &amp; Citizenship</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ANTY 191</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International Human Rights</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Ethics</w:t>
            </w:r>
          </w:p>
        </w:tc>
      </w:tr>
      <w:tr w:rsidR="00D90124" w:rsidRPr="00554717" w:rsidTr="001A11B2">
        <w:trPr>
          <w:trHeight w:val="300"/>
        </w:trPr>
        <w:tc>
          <w:tcPr>
            <w:tcW w:w="126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PHL 317</w:t>
            </w:r>
          </w:p>
        </w:tc>
        <w:tc>
          <w:tcPr>
            <w:tcW w:w="360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Law and Morality</w:t>
            </w:r>
          </w:p>
        </w:tc>
        <w:tc>
          <w:tcPr>
            <w:tcW w:w="2970" w:type="dxa"/>
            <w:shd w:val="clear" w:color="auto" w:fill="auto"/>
            <w:noWrap/>
            <w:vAlign w:val="bottom"/>
            <w:hideMark/>
          </w:tcPr>
          <w:p w:rsidR="00D90124" w:rsidRPr="00554717" w:rsidRDefault="00D90124" w:rsidP="00C23B4E">
            <w:pPr>
              <w:spacing w:after="0" w:line="240" w:lineRule="auto"/>
              <w:rPr>
                <w:rFonts w:ascii="Calibri" w:eastAsia="Times New Roman" w:hAnsi="Calibri" w:cs="Calibri"/>
                <w:color w:val="000000"/>
              </w:rPr>
            </w:pPr>
            <w:r w:rsidRPr="00554717">
              <w:rPr>
                <w:rFonts w:ascii="Calibri" w:eastAsia="Times New Roman" w:hAnsi="Calibri" w:cs="Calibri"/>
                <w:color w:val="000000"/>
              </w:rPr>
              <w:t>Ethics</w:t>
            </w:r>
          </w:p>
        </w:tc>
      </w:tr>
    </w:tbl>
    <w:p w:rsidR="00D90124" w:rsidRDefault="00D90124" w:rsidP="00251E7A">
      <w:pPr>
        <w:pStyle w:val="ListParagraph"/>
      </w:pPr>
    </w:p>
    <w:p w:rsidR="001E6F26" w:rsidRDefault="00251E7A" w:rsidP="001E6F26">
      <w:pPr>
        <w:ind w:left="720"/>
      </w:pPr>
      <w:r>
        <w:lastRenderedPageBreak/>
        <w:t>Workgroup</w:t>
      </w:r>
      <w:r w:rsidR="001E6F26">
        <w:t xml:space="preserve"> 1 has not yet met to discuss the forms.  Camie will follow-up with Professor </w:t>
      </w:r>
      <w:r w:rsidR="005954D4">
        <w:t>Clough.</w:t>
      </w:r>
      <w:r w:rsidR="001E6F26">
        <w:t xml:space="preserve">  The group should agree on the consent agenda and send it electronically so it can be presented to ASCRC on </w:t>
      </w:r>
      <w:r w:rsidR="005954D4">
        <w:t>11/28</w:t>
      </w:r>
      <w:r w:rsidR="001E6F26">
        <w:t xml:space="preserve"> in order to make the December Faculty Senate meeting. </w:t>
      </w:r>
    </w:p>
    <w:p w:rsidR="001E6F26" w:rsidRDefault="005954D4" w:rsidP="001E6F26">
      <w:pPr>
        <w:pStyle w:val="ListParagraph"/>
        <w:numPr>
          <w:ilvl w:val="0"/>
          <w:numId w:val="27"/>
        </w:numPr>
        <w:shd w:val="clear" w:color="auto" w:fill="FFFFFF"/>
        <w:spacing w:after="0" w:line="240" w:lineRule="auto"/>
        <w:rPr>
          <w:rFonts w:ascii="Arial" w:eastAsia="Times New Roman" w:hAnsi="Arial" w:cs="Arial"/>
          <w:sz w:val="21"/>
          <w:szCs w:val="21"/>
        </w:rPr>
      </w:pPr>
      <w:r>
        <w:t xml:space="preserve">Last year the proposal to change the rolling review cycle and include assessment was approved.  In the annual report it was noted that </w:t>
      </w:r>
      <w:r w:rsidR="001E6F26">
        <w:t xml:space="preserve">Procedure </w:t>
      </w:r>
      <w:r w:rsidR="001E6F26" w:rsidRPr="001E6F26">
        <w:rPr>
          <w:rFonts w:ascii="Arial" w:eastAsia="Times New Roman" w:hAnsi="Arial" w:cs="Arial"/>
          <w:sz w:val="21"/>
          <w:szCs w:val="21"/>
        </w:rPr>
        <w:t>202.40</w:t>
      </w:r>
      <w:r>
        <w:rPr>
          <w:rFonts w:ascii="Arial" w:eastAsia="Times New Roman" w:hAnsi="Arial" w:cs="Arial"/>
          <w:sz w:val="21"/>
          <w:szCs w:val="21"/>
        </w:rPr>
        <w:t xml:space="preserve"> should be revised with the language in the proposal.  The updated procedure (appended) was approved. </w:t>
      </w:r>
      <w:r w:rsidR="001E6F26" w:rsidRPr="001E6F26">
        <w:rPr>
          <w:rFonts w:ascii="Arial" w:eastAsia="Times New Roman" w:hAnsi="Arial" w:cs="Arial"/>
          <w:sz w:val="21"/>
          <w:szCs w:val="21"/>
        </w:rPr>
        <w:t xml:space="preserve">   </w:t>
      </w:r>
      <w:r>
        <w:rPr>
          <w:rFonts w:ascii="Arial" w:eastAsia="Times New Roman" w:hAnsi="Arial" w:cs="Arial"/>
          <w:sz w:val="21"/>
          <w:szCs w:val="21"/>
        </w:rPr>
        <w:br/>
      </w:r>
    </w:p>
    <w:p w:rsidR="001E6F26" w:rsidRDefault="005954D4" w:rsidP="001E6F26">
      <w:pPr>
        <w:pStyle w:val="ListParagraph"/>
        <w:numPr>
          <w:ilvl w:val="0"/>
          <w:numId w:val="27"/>
        </w:num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P</w:t>
      </w:r>
      <w:r w:rsidRPr="005954D4">
        <w:rPr>
          <w:rFonts w:ascii="Arial" w:eastAsia="Times New Roman" w:hAnsi="Arial" w:cs="Arial"/>
          <w:sz w:val="21"/>
          <w:szCs w:val="21"/>
        </w:rPr>
        <w:t xml:space="preserve">rocedure </w:t>
      </w:r>
      <w:r w:rsidR="001E6F26" w:rsidRPr="001E6F26">
        <w:rPr>
          <w:rFonts w:ascii="Arial" w:eastAsia="Times New Roman" w:hAnsi="Arial" w:cs="Arial"/>
          <w:sz w:val="21"/>
          <w:szCs w:val="21"/>
        </w:rPr>
        <w:t>202.10 General Education Framework</w:t>
      </w:r>
      <w:r>
        <w:rPr>
          <w:rFonts w:ascii="Arial" w:eastAsia="Times New Roman" w:hAnsi="Arial" w:cs="Arial"/>
          <w:sz w:val="21"/>
          <w:szCs w:val="21"/>
        </w:rPr>
        <w:t xml:space="preserve"> was updated and revised (appended).</w:t>
      </w:r>
      <w:r w:rsidR="00D90124">
        <w:rPr>
          <w:rFonts w:ascii="Arial" w:eastAsia="Times New Roman" w:hAnsi="Arial" w:cs="Arial"/>
          <w:sz w:val="21"/>
          <w:szCs w:val="21"/>
        </w:rPr>
        <w:br/>
      </w:r>
    </w:p>
    <w:p w:rsidR="00D90124" w:rsidRPr="001E6F26" w:rsidRDefault="001A11B2" w:rsidP="001E6F26">
      <w:pPr>
        <w:pStyle w:val="ListParagraph"/>
        <w:numPr>
          <w:ilvl w:val="0"/>
          <w:numId w:val="27"/>
        </w:num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xml:space="preserve">The committee discussed the ongoing appeals.  ASCRC Chair reached out the Chair Randall regarding the two appeals to ensure the proper procedure was followed.   The year grace period has been extended for these two courses as the instructors were given additional opportunities for revision.  Unfortunately, it is too late.  The courses will need to resubmit during the normal review cycle.  Chair Randall will draft language (below) that will be circulated to members for approval. The message will then be sent to ASCRC. .  </w:t>
      </w:r>
    </w:p>
    <w:p w:rsidR="001A11B2" w:rsidRDefault="001A11B2" w:rsidP="001A11B2">
      <w:pPr>
        <w:ind w:left="2160"/>
      </w:pPr>
    </w:p>
    <w:p w:rsidR="001A11B2" w:rsidRDefault="001A11B2" w:rsidP="001A11B2">
      <w:pPr>
        <w:spacing w:line="240" w:lineRule="atLeast"/>
        <w:ind w:left="1440"/>
        <w:rPr>
          <w:rFonts w:ascii="Tahoma" w:hAnsi="Tahoma" w:cs="Tahoma"/>
          <w:color w:val="000000"/>
          <w:sz w:val="20"/>
          <w:szCs w:val="20"/>
        </w:rPr>
      </w:pPr>
      <w:r>
        <w:rPr>
          <w:rFonts w:ascii="Tahoma" w:hAnsi="Tahoma" w:cs="Tahoma"/>
          <w:color w:val="000000"/>
          <w:sz w:val="20"/>
          <w:szCs w:val="20"/>
        </w:rPr>
        <w:t>"Memorandum to ASCRC regarding Appeal of ANTY 326 and HSTR 272</w:t>
      </w:r>
    </w:p>
    <w:p w:rsidR="001A11B2" w:rsidRDefault="001A11B2" w:rsidP="001A11B2">
      <w:pPr>
        <w:spacing w:line="240" w:lineRule="atLeast"/>
        <w:ind w:left="1440"/>
        <w:rPr>
          <w:rFonts w:ascii="Tahoma" w:hAnsi="Tahoma" w:cs="Tahoma"/>
          <w:color w:val="000000"/>
          <w:sz w:val="20"/>
          <w:szCs w:val="20"/>
        </w:rPr>
      </w:pPr>
      <w:r>
        <w:rPr>
          <w:rFonts w:ascii="Tahoma" w:hAnsi="Tahoma" w:cs="Tahoma"/>
          <w:color w:val="000000"/>
          <w:sz w:val="20"/>
          <w:szCs w:val="20"/>
        </w:rPr>
        <w:t>The General Education Committee affirms its earlier decisions to deny ANTY 326 and HSTR 272 an Ethics designation based on the evidence provided at that time. Both courses were granted a one-year grace period during which there was ample opportunity to revise the application and provide evidence for the E designation. We recognize that there have been recent revisions to these courses which signal progress in the right direction, but the time has passed procedurally for us to continue to review revisions. We encourage the professors of both courses to reapply for an Ethics designation in Fall of 2018."</w:t>
      </w:r>
    </w:p>
    <w:p w:rsidR="001A11B2" w:rsidRDefault="001A11B2" w:rsidP="001A11B2">
      <w:pPr>
        <w:spacing w:line="240" w:lineRule="atLeast"/>
        <w:ind w:left="1440"/>
        <w:rPr>
          <w:rFonts w:ascii="Tahoma" w:hAnsi="Tahoma" w:cs="Tahoma"/>
          <w:color w:val="000000"/>
          <w:sz w:val="20"/>
          <w:szCs w:val="20"/>
        </w:rPr>
      </w:pPr>
      <w:r>
        <w:rPr>
          <w:rFonts w:ascii="Tahoma" w:hAnsi="Tahoma" w:cs="Tahoma"/>
          <w:color w:val="000000"/>
          <w:sz w:val="20"/>
          <w:szCs w:val="20"/>
        </w:rPr>
        <w:t xml:space="preserve">In our discussion, it also became apparent that the appeals process should be more clearly articulated in policy and procedure. The committee has prioritized a review of this process and will propose </w:t>
      </w:r>
      <w:r>
        <w:rPr>
          <w:rFonts w:ascii="Tahoma" w:hAnsi="Tahoma" w:cs="Tahoma"/>
          <w:color w:val="000000"/>
          <w:sz w:val="20"/>
          <w:szCs w:val="20"/>
        </w:rPr>
        <w:lastRenderedPageBreak/>
        <w:t>revisions to the current policy. We look forward to working with ASCRC in this regard.  </w:t>
      </w:r>
    </w:p>
    <w:p w:rsidR="001A11B2" w:rsidRDefault="001A11B2" w:rsidP="001A11B2">
      <w:pPr>
        <w:spacing w:line="240" w:lineRule="atLeast"/>
        <w:rPr>
          <w:rFonts w:ascii="Tahoma" w:hAnsi="Tahoma" w:cs="Tahoma"/>
          <w:color w:val="000000"/>
          <w:sz w:val="20"/>
          <w:szCs w:val="20"/>
        </w:rPr>
      </w:pPr>
    </w:p>
    <w:p w:rsidR="001A11B2" w:rsidRDefault="001A11B2" w:rsidP="001A11B2">
      <w:pPr>
        <w:pStyle w:val="ListParagraph"/>
        <w:numPr>
          <w:ilvl w:val="0"/>
          <w:numId w:val="47"/>
        </w:numPr>
      </w:pPr>
      <w:r>
        <w:t xml:space="preserve">The Preamble Workgroup met and drafted a revised preamble.  It will be circulated electronically for discussion at the next meeting. </w:t>
      </w:r>
    </w:p>
    <w:p w:rsidR="00DA1B1B" w:rsidRDefault="00DA1B1B" w:rsidP="0001544C">
      <w:pPr>
        <w:pStyle w:val="Heading2"/>
      </w:pPr>
      <w:r>
        <w:t>Adjournment</w:t>
      </w:r>
    </w:p>
    <w:p w:rsidR="009A66E6" w:rsidRDefault="006E083D" w:rsidP="00191A14">
      <w:pPr>
        <w:rPr>
          <w:rFonts w:eastAsia="Times New Roman"/>
        </w:rPr>
      </w:pPr>
      <w:r>
        <w:t xml:space="preserve">The meeting was adjourned at </w:t>
      </w:r>
      <w:r w:rsidR="001E6F26">
        <w:t>5</w:t>
      </w:r>
      <w:r w:rsidR="00F17942">
        <w:t>:</w:t>
      </w:r>
      <w:r w:rsidR="001E6F26">
        <w:t>2</w:t>
      </w:r>
      <w:r w:rsidR="00954F9B">
        <w:t>5</w:t>
      </w:r>
      <w:r>
        <w:t xml:space="preserve"> p.m.</w:t>
      </w:r>
      <w:r w:rsidR="00426D2A">
        <w:br/>
      </w:r>
    </w:p>
    <w:p w:rsidR="00D90124" w:rsidRDefault="00D90124" w:rsidP="00D90124">
      <w:pPr>
        <w:pStyle w:val="Heading1"/>
        <w:rPr>
          <w:noProof/>
        </w:rPr>
      </w:pPr>
      <w:r>
        <w:rPr>
          <w:noProof/>
        </w:rPr>
        <w:t>Procedure</w:t>
      </w:r>
      <w:r>
        <w:rPr>
          <w:rFonts w:cs="Arial"/>
          <w:noProof/>
        </w:rPr>
        <w:t xml:space="preserve"> </w:t>
      </w:r>
      <w:r>
        <w:rPr>
          <w:rFonts w:cs="Arial"/>
          <w:noProof/>
        </w:rPr>
        <w:tab/>
      </w:r>
      <w:r>
        <w:rPr>
          <w:rFonts w:cs="Arial"/>
          <w:noProof/>
        </w:rPr>
        <w:tab/>
      </w:r>
      <w:r>
        <w:rPr>
          <w:rFonts w:cs="Arial"/>
          <w:strike/>
          <w:noProof/>
        </w:rPr>
        <w:t>Guidelines for</w:t>
      </w:r>
      <w:r>
        <w:rPr>
          <w:rFonts w:cs="Arial"/>
          <w:noProof/>
        </w:rPr>
        <w:t xml:space="preserve"> Review </w:t>
      </w:r>
      <w:r>
        <w:rPr>
          <w:rFonts w:cs="Arial"/>
          <w:noProof/>
          <w:u w:val="single"/>
        </w:rPr>
        <w:t>and Assessment</w:t>
      </w:r>
      <w:r>
        <w:rPr>
          <w:rFonts w:cs="Arial"/>
          <w:noProof/>
        </w:rPr>
        <w:t xml:space="preserve"> of General Educaiton Courses</w:t>
      </w:r>
    </w:p>
    <w:p w:rsidR="00D90124" w:rsidRDefault="00D90124" w:rsidP="00D90124">
      <w:pPr>
        <w:rPr>
          <w:rFonts w:cs="Arial"/>
          <w:noProof/>
        </w:rPr>
      </w:pPr>
      <w:r>
        <w:rPr>
          <w:rStyle w:val="SubtleReference"/>
        </w:rPr>
        <w:t>Procedure Number:</w:t>
      </w:r>
      <w:r>
        <w:rPr>
          <w:rFonts w:cs="Arial"/>
          <w:noProof/>
        </w:rPr>
        <w:tab/>
        <w:t>202.40</w:t>
      </w:r>
      <w:r>
        <w:rPr>
          <w:rFonts w:cs="Arial"/>
          <w:noProof/>
        </w:rPr>
        <w:br/>
      </w:r>
      <w:r>
        <w:rPr>
          <w:rStyle w:val="SubtleReference"/>
        </w:rPr>
        <w:t>Date Adopted:</w:t>
      </w:r>
      <w:r>
        <w:rPr>
          <w:rStyle w:val="SubtleReference"/>
        </w:rPr>
        <w:tab/>
      </w:r>
      <w:r>
        <w:rPr>
          <w:rStyle w:val="Heading2Char"/>
          <w:rFonts w:eastAsiaTheme="minorHAnsi"/>
        </w:rPr>
        <w:tab/>
      </w:r>
      <w:r>
        <w:rPr>
          <w:rFonts w:cs="Arial"/>
          <w:noProof/>
        </w:rPr>
        <w:t xml:space="preserve">1984  </w:t>
      </w:r>
      <w:r>
        <w:rPr>
          <w:rFonts w:cs="Arial"/>
          <w:noProof/>
        </w:rPr>
        <w:br/>
      </w:r>
      <w:r>
        <w:rPr>
          <w:rStyle w:val="SubtleReference"/>
        </w:rPr>
        <w:t>Last Revision:</w:t>
      </w:r>
      <w:r>
        <w:rPr>
          <w:rStyle w:val="SubtleReference"/>
        </w:rPr>
        <w:tab/>
      </w:r>
      <w:r>
        <w:rPr>
          <w:rFonts w:cs="Arial"/>
          <w:noProof/>
        </w:rPr>
        <w:tab/>
      </w:r>
      <w:r>
        <w:rPr>
          <w:rFonts w:cs="Arial"/>
          <w:strike/>
          <w:noProof/>
        </w:rPr>
        <w:t>11/24/09</w:t>
      </w:r>
      <w:r>
        <w:rPr>
          <w:rFonts w:cs="Arial"/>
          <w:noProof/>
        </w:rPr>
        <w:t xml:space="preserve"> </w:t>
      </w:r>
      <w:r>
        <w:rPr>
          <w:rFonts w:cs="Arial"/>
          <w:noProof/>
          <w:u w:val="single"/>
        </w:rPr>
        <w:t>05/04/17</w:t>
      </w:r>
    </w:p>
    <w:p w:rsidR="00D90124" w:rsidRDefault="00D90124" w:rsidP="00D90124">
      <w:pPr>
        <w:rPr>
          <w:rFonts w:cs="Arial"/>
          <w:noProof/>
        </w:rPr>
      </w:pPr>
      <w:r>
        <w:rPr>
          <w:rStyle w:val="Heading2Char"/>
          <w:rFonts w:eastAsiaTheme="minorHAnsi"/>
        </w:rPr>
        <w:tab/>
      </w:r>
      <w:r>
        <w:rPr>
          <w:rStyle w:val="Heading2Char"/>
          <w:rFonts w:eastAsiaTheme="minorHAnsi"/>
        </w:rPr>
        <w:tab/>
      </w:r>
    </w:p>
    <w:p w:rsidR="00D90124" w:rsidRDefault="00D90124" w:rsidP="00D90124">
      <w:pPr>
        <w:rPr>
          <w:rFonts w:cs="Arial"/>
          <w:noProof/>
        </w:rPr>
      </w:pPr>
      <w:r>
        <w:rPr>
          <w:rStyle w:val="SubtleReference"/>
        </w:rPr>
        <w:t>Approved by:</w:t>
      </w:r>
      <w:r>
        <w:rPr>
          <w:rStyle w:val="Heading2Char"/>
          <w:rFonts w:eastAsiaTheme="minorHAnsi"/>
        </w:rPr>
        <w:t xml:space="preserve"> </w:t>
      </w:r>
      <w:r>
        <w:rPr>
          <w:rStyle w:val="Heading2Char"/>
          <w:rFonts w:eastAsiaTheme="minorHAnsi"/>
        </w:rPr>
        <w:tab/>
      </w:r>
      <w:r>
        <w:rPr>
          <w:rFonts w:cs="Arial"/>
          <w:noProof/>
        </w:rPr>
        <w:tab/>
        <w:t>General Education Committee and ASCRC</w:t>
      </w:r>
    </w:p>
    <w:p w:rsidR="00D90124" w:rsidRDefault="00D90124" w:rsidP="00D90124">
      <w:pPr>
        <w:rPr>
          <w:rFonts w:cs="Arial"/>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-47625</wp:posOffset>
                </wp:positionH>
                <wp:positionV relativeFrom="paragraph">
                  <wp:posOffset>137795</wp:posOffset>
                </wp:positionV>
                <wp:extent cx="5991225" cy="0"/>
                <wp:effectExtent l="0" t="0" r="9525" b="19050"/>
                <wp:wrapNone/>
                <wp:docPr id="2" name="Straight Connector 2"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0C2380" id="Straight Connector 2" o:spid="_x0000_s1026" alt="Title: Seperation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" o:allowincell="f" strokecolor="#6c324c" strokeweight="1.5pt"/>
            </w:pict>
          </mc:Fallback>
        </mc:AlternateContent>
      </w:r>
    </w:p>
    <w:p w:rsidR="00D90124" w:rsidRDefault="00D90124" w:rsidP="00D90124">
      <w:pPr>
        <w:spacing w:before="100" w:beforeAutospacing="1" w:after="100" w:afterAutospacing="1"/>
        <w:rPr>
          <w:rFonts w:eastAsia="Times New Roman" w:cs="Arial"/>
          <w:color w:val="313131"/>
          <w:u w:val="single"/>
        </w:rPr>
      </w:pPr>
      <w:r>
        <w:rPr>
          <w:rFonts w:cstheme="minorHAnsi"/>
          <w:noProof/>
        </w:rPr>
        <w:br/>
      </w:r>
      <w:r>
        <w:rPr>
          <w:rFonts w:eastAsia="Times New Roman" w:cs="Arial"/>
          <w:color w:val="313131"/>
        </w:rPr>
        <w:t xml:space="preserve">The General Education Committee is charged with </w:t>
      </w:r>
      <w:r>
        <w:rPr>
          <w:rFonts w:eastAsia="Times New Roman" w:cs="Arial"/>
          <w:strike/>
          <w:color w:val="313131"/>
        </w:rPr>
        <w:t>the following responsibilities</w:t>
      </w:r>
      <w:r>
        <w:rPr>
          <w:rFonts w:eastAsia="Times New Roman" w:cs="Arial"/>
          <w:color w:val="313131"/>
        </w:rPr>
        <w:t xml:space="preserve"> </w:t>
      </w:r>
      <w:r>
        <w:rPr>
          <w:rFonts w:eastAsia="Times New Roman" w:cs="Arial"/>
          <w:color w:val="313131"/>
          <w:u w:val="single"/>
        </w:rPr>
        <w:t xml:space="preserve">implementing General Education Review and Assessment as follows: </w:t>
      </w:r>
    </w:p>
    <w:p w:rsidR="00D90124" w:rsidRDefault="00D90124" w:rsidP="00D90124">
      <w:pPr>
        <w:pStyle w:val="ListParagraph"/>
        <w:numPr>
          <w:ilvl w:val="0"/>
          <w:numId w:val="43"/>
        </w:numPr>
        <w:spacing w:after="120" w:line="254" w:lineRule="auto"/>
        <w:rPr>
          <w:rFonts w:eastAsiaTheme="minorEastAsia"/>
          <w:color w:val="000000" w:themeColor="text1"/>
          <w:u w:val="single"/>
        </w:rPr>
      </w:pPr>
      <w:r>
        <w:rPr>
          <w:u w:val="single"/>
        </w:rPr>
        <w:t>The General Education Committee will implement a rolling review cycle that reviews courses every seven years to assure their continued alignment with the</w:t>
      </w:r>
      <w:r>
        <w:rPr>
          <w:color w:val="000000" w:themeColor="text1"/>
          <w:u w:val="single"/>
        </w:rPr>
        <w:t xml:space="preserve"> criteria and learning goals of the General Education Program.  </w:t>
      </w:r>
    </w:p>
    <w:p w:rsidR="00D90124" w:rsidRDefault="00D90124" w:rsidP="00D90124">
      <w:pPr>
        <w:pStyle w:val="ListParagraph"/>
        <w:numPr>
          <w:ilvl w:val="0"/>
          <w:numId w:val="43"/>
        </w:numPr>
        <w:spacing w:after="120" w:line="254" w:lineRule="auto"/>
        <w:rPr>
          <w:rFonts w:eastAsia="Times New Roman" w:cs="Arial"/>
          <w:color w:val="000000" w:themeColor="text1"/>
          <w:u w:val="single"/>
        </w:rPr>
      </w:pPr>
      <w:r>
        <w:rPr>
          <w:color w:val="000000" w:themeColor="text1"/>
          <w:u w:val="single"/>
        </w:rPr>
        <w:lastRenderedPageBreak/>
        <w:t>T</w:t>
      </w:r>
      <w:r>
        <w:rPr>
          <w:rFonts w:eastAsia="Times New Roman" w:cs="Arial"/>
          <w:color w:val="000000" w:themeColor="text1"/>
          <w:u w:val="single"/>
        </w:rPr>
        <w:t xml:space="preserve">wo GE groups will be reviewed each year for five years. The sixth and seventh years will be set aside for </w:t>
      </w:r>
      <w:r>
        <w:rPr>
          <w:color w:val="000000" w:themeColor="text1"/>
          <w:u w:val="single"/>
        </w:rPr>
        <w:t>evaluation and reporting to advance program improvement and accreditation.</w:t>
      </w:r>
    </w:p>
    <w:p w:rsidR="00D90124" w:rsidRDefault="00D90124" w:rsidP="00D90124">
      <w:pPr>
        <w:numPr>
          <w:ilvl w:val="0"/>
          <w:numId w:val="43"/>
        </w:numPr>
        <w:spacing w:before="100" w:beforeAutospacing="1" w:after="120" w:line="240" w:lineRule="auto"/>
        <w:rPr>
          <w:rFonts w:eastAsia="Times New Roman" w:cs="Arial"/>
          <w:color w:val="000000" w:themeColor="text1"/>
          <w:u w:val="single"/>
        </w:rPr>
      </w:pPr>
      <w:r>
        <w:rPr>
          <w:rFonts w:eastAsia="Times New Roman" w:cs="Arial"/>
          <w:color w:val="000000" w:themeColor="text1"/>
          <w:u w:val="single"/>
        </w:rPr>
        <w:t xml:space="preserve">The General Education Committee will provide notice of the procedures and timelines for review and assessment by communicating this to all instructors in May and September of each year.  </w:t>
      </w:r>
    </w:p>
    <w:p w:rsidR="00D90124" w:rsidRDefault="00D90124" w:rsidP="00D90124">
      <w:pPr>
        <w:pStyle w:val="ListParagraph"/>
        <w:numPr>
          <w:ilvl w:val="0"/>
          <w:numId w:val="43"/>
        </w:numPr>
        <w:spacing w:after="120" w:line="254" w:lineRule="auto"/>
        <w:rPr>
          <w:rFonts w:eastAsia="Times New Roman" w:cs="Arial"/>
          <w:color w:val="000000" w:themeColor="text1"/>
          <w:u w:val="single"/>
        </w:rPr>
      </w:pPr>
      <w:r>
        <w:rPr>
          <w:color w:val="000000" w:themeColor="text1"/>
          <w:u w:val="single"/>
        </w:rPr>
        <w:t>Instructors seeking to renew GE designations will submit (1) a course syllabus, (2) a completed General Education Form, (3) samples of course activities that document how the GE Learning Goals are attained, and (4) an assessment report that includes an</w:t>
      </w:r>
      <w:r>
        <w:rPr>
          <w:color w:val="FF0000"/>
          <w:u w:val="single"/>
        </w:rPr>
        <w:t xml:space="preserve"> </w:t>
      </w:r>
      <w:r>
        <w:rPr>
          <w:color w:val="000000" w:themeColor="text1"/>
          <w:u w:val="single"/>
        </w:rPr>
        <w:t xml:space="preserve">analysis of student outcomes with respect to the GE Learning Goals.  </w:t>
      </w:r>
    </w:p>
    <w:p w:rsidR="00D90124" w:rsidRDefault="00D90124" w:rsidP="00D90124">
      <w:pPr>
        <w:pStyle w:val="ListParagraph"/>
        <w:numPr>
          <w:ilvl w:val="0"/>
          <w:numId w:val="43"/>
        </w:numPr>
        <w:spacing w:after="120" w:line="254" w:lineRule="auto"/>
        <w:rPr>
          <w:rFonts w:eastAsia="Times New Roman" w:cs="Arial"/>
          <w:color w:val="000000" w:themeColor="text1"/>
          <w:u w:val="single"/>
        </w:rPr>
      </w:pPr>
      <w:r>
        <w:rPr>
          <w:color w:val="000000" w:themeColor="text1"/>
          <w:u w:val="single"/>
        </w:rPr>
        <w:t xml:space="preserve">The General Education Committee will work with Academic Affairs to coordinate and host collegial workshops that are timed appropriately to assist faculty members with their submissions and GE assessment strategies. </w:t>
      </w:r>
    </w:p>
    <w:p w:rsidR="00D90124" w:rsidRDefault="00D90124" w:rsidP="00D90124">
      <w:pPr>
        <w:numPr>
          <w:ilvl w:val="0"/>
          <w:numId w:val="43"/>
        </w:numPr>
        <w:spacing w:before="100" w:beforeAutospacing="1" w:after="120" w:line="240" w:lineRule="auto"/>
        <w:rPr>
          <w:rFonts w:eastAsia="Times New Roman" w:cs="Arial"/>
          <w:color w:val="313131"/>
          <w:u w:val="single"/>
        </w:rPr>
      </w:pPr>
      <w:r>
        <w:rPr>
          <w:u w:val="single"/>
        </w:rPr>
        <w:t xml:space="preserve">GE review subcommittees will be made up of faculty who teach within that GE group and members of the General Education Committee.  Participation will be voluntary, but all faculty members who submit or teach courses within the GE Group will be invited to participate. </w:t>
      </w:r>
    </w:p>
    <w:p w:rsidR="00D90124" w:rsidRDefault="00D90124" w:rsidP="00D90124">
      <w:pPr>
        <w:pStyle w:val="ListParagraph"/>
        <w:numPr>
          <w:ilvl w:val="0"/>
          <w:numId w:val="43"/>
        </w:numPr>
        <w:spacing w:after="120" w:line="254" w:lineRule="auto"/>
        <w:rPr>
          <w:u w:val="single"/>
        </w:rPr>
      </w:pPr>
      <w:r>
        <w:rPr>
          <w:u w:val="single"/>
        </w:rPr>
        <w:t xml:space="preserve">Subcommittee chairs will be responsible for coordinating subcommittee activities and communicating their findings and recommendations to the General Education Committee.  Review subcommittees will (a) check that each submission is complete, (b) examine syllabi and course materials to verify that each course meets the current GE criteria, and (c) request more information from faculty if needed.  </w:t>
      </w:r>
    </w:p>
    <w:p w:rsidR="00D90124" w:rsidRDefault="00D90124" w:rsidP="00D90124">
      <w:pPr>
        <w:pStyle w:val="ListParagraph"/>
        <w:numPr>
          <w:ilvl w:val="0"/>
          <w:numId w:val="43"/>
        </w:numPr>
        <w:spacing w:after="120" w:line="254" w:lineRule="auto"/>
        <w:rPr>
          <w:rFonts w:eastAsiaTheme="minorEastAsia"/>
          <w:u w:val="single"/>
        </w:rPr>
      </w:pPr>
      <w:r>
        <w:rPr>
          <w:u w:val="single"/>
        </w:rPr>
        <w:t xml:space="preserve">Courses that meet the current GE criteria will be recommended for renewal of their GE designations.   In the event that a course does not appear to meet </w:t>
      </w:r>
      <w:r>
        <w:rPr>
          <w:rFonts w:eastAsia="Times New Roman" w:cs="Arial"/>
          <w:color w:val="313131"/>
          <w:u w:val="single"/>
        </w:rPr>
        <w:t xml:space="preserve">the GE Group criteria, this will be communicated promptly to the instructor and to the Chair of the General Education Committee to </w:t>
      </w:r>
      <w:r>
        <w:rPr>
          <w:rFonts w:eastAsia="Times New Roman" w:cs="Arial"/>
          <w:color w:val="313131"/>
          <w:highlight w:val="yellow"/>
          <w:u w:val="single"/>
        </w:rPr>
        <w:t>facilitate revision or appeal.</w:t>
      </w:r>
      <w:r>
        <w:rPr>
          <w:rFonts w:eastAsia="Times New Roman" w:cs="Arial"/>
          <w:color w:val="313131"/>
          <w:u w:val="single"/>
        </w:rPr>
        <w:t xml:space="preserve">  </w:t>
      </w:r>
    </w:p>
    <w:p w:rsidR="00D90124" w:rsidRDefault="00D90124" w:rsidP="00D90124">
      <w:pPr>
        <w:pStyle w:val="ListParagraph"/>
        <w:numPr>
          <w:ilvl w:val="0"/>
          <w:numId w:val="43"/>
        </w:numPr>
        <w:spacing w:after="120" w:line="254" w:lineRule="auto"/>
        <w:rPr>
          <w:u w:val="single"/>
        </w:rPr>
      </w:pPr>
      <w:r>
        <w:rPr>
          <w:u w:val="single"/>
        </w:rPr>
        <w:t xml:space="preserve">Rolling Review results will be reported to Faculty Senate annually.  At the end of each seven year cycle, the General Education Committee will collaborate with Academic Affairs to produce a more comprehensive analysis and report that includes recommendations for improving the General Education Program and these procedures.   </w:t>
      </w:r>
    </w:p>
    <w:p w:rsidR="00D90124" w:rsidRDefault="00D90124" w:rsidP="00D90124">
      <w:pPr>
        <w:pStyle w:val="ListParagraph"/>
        <w:numPr>
          <w:ilvl w:val="0"/>
          <w:numId w:val="43"/>
        </w:numPr>
        <w:spacing w:after="120" w:line="254" w:lineRule="auto"/>
        <w:rPr>
          <w:u w:val="single"/>
        </w:rPr>
      </w:pPr>
      <w:r>
        <w:rPr>
          <w:u w:val="single"/>
        </w:rPr>
        <w:lastRenderedPageBreak/>
        <w:t xml:space="preserve">At the end of each rolling review cycle, and/or from time to time during the cycle, a conference or additional workshops should be organized to invite broader discussion of the General Education Program, including its purpose and effectiveness, to generate additional ideas for improvement, and to revitalize this essential component of our curriculum and learning community.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Review all general education courses every four years to determine if they still meet and conform to the criteria and learning goals (three groups per year). Each course should be considered as if it were being proposed for the first time.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At the beginning of the year the General Education Committee (GEC) will determine which groups to be reviewed and establish the appropriate subcommittees and timelines.</w:t>
      </w:r>
      <w:r>
        <w:rPr>
          <w:rFonts w:eastAsia="Times New Roman" w:cs="Arial"/>
          <w:strike/>
          <w:color w:val="313131"/>
        </w:rPr>
        <w:br/>
        <w:t xml:space="preserve">Normally subcommittees shall be chaired by a member of the GEC with members from the appropriate disciplines. Subcommittees shall consist of 3-5 members.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GEC Chair will provide each unit the list of courses to be reviewed in that unit.   Each unit is responsible for retaining or withdrawing the general education status of its course(s) by the stated deadline.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Registrar will provide a list of dormant courses.  Any course not offered within the last three years may be stricken from the list in consultation with the Registrar's Office and the offering department. Ordinarily, a course for general education ought to be offered at least twice in four years.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Most courses can be reviewed adequately from the general education form and syllabus, but in some cases, a subcommittee may wish to ask for additional materials.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subcommittee should note any inconsistencies between the course and the criteria/learning goals. The subcommittee will communicate any necessary adjustments to the instructor. The instructor and/or chair have the options of requesting reconsideration by the GEC or of modifying the course to fit the current criteria/learning goals.  </w:t>
      </w:r>
    </w:p>
    <w:p w:rsidR="00D90124" w:rsidRDefault="00D90124" w:rsidP="00D90124">
      <w:pPr>
        <w:numPr>
          <w:ilvl w:val="0"/>
          <w:numId w:val="44"/>
        </w:numPr>
        <w:spacing w:before="100" w:beforeAutospacing="1" w:after="100" w:afterAutospacing="1" w:line="240" w:lineRule="auto"/>
        <w:rPr>
          <w:rFonts w:eastAsia="Times New Roman" w:cs="Arial"/>
          <w:strike/>
          <w:color w:val="313131"/>
        </w:rPr>
      </w:pPr>
      <w:r>
        <w:rPr>
          <w:rFonts w:eastAsia="Times New Roman" w:cs="Arial"/>
          <w:strike/>
          <w:color w:val="313131"/>
        </w:rPr>
        <w:t xml:space="preserve">The subcommittee should determine whether the criteria/learning goals themselves may require review and communicate any recommendations to the GEC. </w:t>
      </w:r>
    </w:p>
    <w:p w:rsidR="00D90124" w:rsidRDefault="00D90124" w:rsidP="00191A14">
      <w:pPr>
        <w:rPr>
          <w:rFonts w:eastAsia="Times New Roman"/>
        </w:rPr>
      </w:pPr>
    </w:p>
    <w:p w:rsidR="00D90124" w:rsidRDefault="00D90124" w:rsidP="00191A14">
      <w:pPr>
        <w:rPr>
          <w:rFonts w:eastAsia="Times New Roman"/>
        </w:rPr>
      </w:pPr>
    </w:p>
    <w:p w:rsidR="00D90124" w:rsidRDefault="00D90124" w:rsidP="00191A14">
      <w:pPr>
        <w:rPr>
          <w:rFonts w:eastAsia="Times New Roman"/>
        </w:rPr>
      </w:pPr>
    </w:p>
    <w:p w:rsidR="00D90124" w:rsidRDefault="00D90124" w:rsidP="00D90124">
      <w:pPr>
        <w:pStyle w:val="Heading1"/>
        <w:rPr>
          <w:noProof/>
        </w:rPr>
      </w:pPr>
      <w:r>
        <w:rPr>
          <w:noProof/>
        </w:rPr>
        <w:t>Procedure</w:t>
      </w:r>
      <w:r w:rsidRPr="0092488E">
        <w:rPr>
          <w:rFonts w:cs="Arial"/>
          <w:noProof/>
        </w:rPr>
        <w:t xml:space="preserve"> </w:t>
      </w:r>
      <w:r>
        <w:rPr>
          <w:rFonts w:cs="Arial"/>
          <w:noProof/>
        </w:rPr>
        <w:tab/>
      </w:r>
      <w:r>
        <w:rPr>
          <w:rFonts w:cs="Arial"/>
          <w:noProof/>
        </w:rPr>
        <w:tab/>
        <w:t>General Education Framework</w:t>
      </w:r>
    </w:p>
    <w:p w:rsidR="00D90124" w:rsidRPr="002071FD" w:rsidRDefault="00D90124" w:rsidP="00D90124">
      <w:pPr>
        <w:rPr>
          <w:rFonts w:cs="Arial"/>
          <w:noProof/>
        </w:rPr>
      </w:pPr>
      <w:r w:rsidRPr="00073E2B">
        <w:rPr>
          <w:rStyle w:val="SubtleReference"/>
        </w:rPr>
        <w:t xml:space="preserve">Procedure </w:t>
      </w:r>
      <w:r w:rsidRPr="002071FD">
        <w:rPr>
          <w:rStyle w:val="SubtleReference"/>
        </w:rPr>
        <w:t>Number:</w:t>
      </w:r>
      <w:r w:rsidRPr="002071FD">
        <w:rPr>
          <w:rFonts w:cs="Arial"/>
          <w:noProof/>
        </w:rPr>
        <w:tab/>
        <w:t>20</w:t>
      </w:r>
      <w:r>
        <w:rPr>
          <w:rFonts w:cs="Arial"/>
          <w:noProof/>
        </w:rPr>
        <w:t>2.10</w:t>
      </w:r>
      <w:r w:rsidRPr="002071FD">
        <w:rPr>
          <w:rFonts w:cs="Arial"/>
          <w:noProof/>
        </w:rPr>
        <w:br/>
      </w:r>
      <w:r w:rsidRPr="002071FD">
        <w:rPr>
          <w:rStyle w:val="SubtleReference"/>
        </w:rPr>
        <w:t>Date Adopted:</w:t>
      </w:r>
      <w:r w:rsidRPr="002071FD">
        <w:rPr>
          <w:rStyle w:val="SubtleReference"/>
        </w:rPr>
        <w:tab/>
      </w:r>
      <w:r w:rsidRPr="002071FD">
        <w:rPr>
          <w:rStyle w:val="Heading2Char"/>
          <w:rFonts w:eastAsiaTheme="minorHAnsi"/>
        </w:rPr>
        <w:tab/>
      </w:r>
      <w:r>
        <w:rPr>
          <w:rFonts w:cs="Arial"/>
          <w:noProof/>
        </w:rPr>
        <w:t>10/11/07</w:t>
      </w:r>
      <w:r w:rsidRPr="002071FD">
        <w:rPr>
          <w:rFonts w:cs="Arial"/>
          <w:noProof/>
        </w:rPr>
        <w:t xml:space="preserve">  </w:t>
      </w:r>
      <w:r w:rsidRPr="002071FD">
        <w:rPr>
          <w:rFonts w:cs="Arial"/>
          <w:noProof/>
        </w:rPr>
        <w:br/>
      </w:r>
      <w:r w:rsidRPr="002071FD">
        <w:rPr>
          <w:rStyle w:val="SubtleReference"/>
        </w:rPr>
        <w:t>Last Revision:</w:t>
      </w:r>
      <w:r w:rsidRPr="002071FD">
        <w:rPr>
          <w:rStyle w:val="SubtleReference"/>
        </w:rPr>
        <w:tab/>
      </w:r>
      <w:r w:rsidRPr="002071FD">
        <w:rPr>
          <w:rFonts w:cs="Arial"/>
          <w:noProof/>
        </w:rPr>
        <w:tab/>
      </w:r>
      <w:r w:rsidRPr="007B5932">
        <w:rPr>
          <w:rFonts w:cs="Arial"/>
          <w:strike/>
          <w:noProof/>
        </w:rPr>
        <w:t>3/8/12</w:t>
      </w:r>
      <w:r>
        <w:rPr>
          <w:rFonts w:cs="Arial"/>
          <w:strike/>
          <w:noProof/>
        </w:rPr>
        <w:t xml:space="preserve"> </w:t>
      </w:r>
      <w:r w:rsidRPr="00B61468">
        <w:rPr>
          <w:rFonts w:cs="Arial"/>
          <w:noProof/>
          <w:u w:val="single"/>
        </w:rPr>
        <w:t>XX/XX/ 17</w:t>
      </w:r>
      <w:r>
        <w:rPr>
          <w:rFonts w:cs="Arial"/>
          <w:noProof/>
          <w:u w:val="single"/>
        </w:rPr>
        <w:br/>
      </w:r>
      <w:r w:rsidRPr="002071FD">
        <w:rPr>
          <w:rStyle w:val="SubtleReference"/>
        </w:rPr>
        <w:t>Approved by:</w:t>
      </w:r>
      <w:r w:rsidRPr="002071FD">
        <w:rPr>
          <w:rStyle w:val="Heading2Char"/>
          <w:rFonts w:eastAsiaTheme="minorHAnsi"/>
        </w:rPr>
        <w:t xml:space="preserve"> </w:t>
      </w:r>
      <w:r w:rsidRPr="002071FD">
        <w:rPr>
          <w:rStyle w:val="Heading2Char"/>
          <w:rFonts w:eastAsiaTheme="minorHAnsi"/>
        </w:rPr>
        <w:tab/>
      </w:r>
      <w:r w:rsidRPr="002071FD">
        <w:rPr>
          <w:rFonts w:cs="Arial"/>
          <w:noProof/>
        </w:rPr>
        <w:tab/>
      </w:r>
      <w:r>
        <w:rPr>
          <w:rFonts w:cs="Arial"/>
          <w:noProof/>
        </w:rPr>
        <w:t>Faculty Senate</w:t>
      </w:r>
    </w:p>
    <w:p w:rsidR="00D90124" w:rsidRDefault="00D90124" w:rsidP="00D90124">
      <w:pPr>
        <w:rPr>
          <w:rFonts w:cs="Arial"/>
          <w:sz w:val="24"/>
          <w:szCs w:val="24"/>
        </w:rPr>
      </w:pPr>
      <w:r w:rsidRPr="00E67679">
        <w:rPr>
          <w:rStyle w:val="Heading2Char"/>
          <w:rFonts w:eastAsiaTheme="minorHAnsi"/>
          <w:noProof/>
        </w:rPr>
        <mc:AlternateContent>
          <mc:Choice Requires="wps">
            <w:drawing>
              <wp:anchor distT="0" distB="0" distL="114300" distR="114300" simplePos="0" relativeHeight="251662336" behindDoc="0" locked="0" layoutInCell="0" allowOverlap="1" wp14:anchorId="29FDE472" wp14:editId="0C31BF83">
                <wp:simplePos x="0" y="0"/>
                <wp:positionH relativeFrom="column">
                  <wp:posOffset>-47625</wp:posOffset>
                </wp:positionH>
                <wp:positionV relativeFrom="paragraph">
                  <wp:posOffset>137795</wp:posOffset>
                </wp:positionV>
                <wp:extent cx="5991225" cy="0"/>
                <wp:effectExtent l="0" t="0" r="9525" b="19050"/>
                <wp:wrapNone/>
                <wp:docPr id="3"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C8CFB" id="Line 6" o:spid="_x0000_s1026" alt="Title: Seperation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BAlDH3GwIAAHoEAAAOAAAAAAAAAAAAAAAAAC4CAABkcnMvZTJvRG9jLnhtbFBLAQItABQA&#10;BgAIAAAAIQAPkD3a3AAAAAgBAAAPAAAAAAAAAAAAAAAAAHUEAABkcnMvZG93bnJldi54bWxQSwUG&#10;AAAAAAQABADzAAAAfgUAAAAA&#10;" o:allowincell="f" strokecolor="#6c324c"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1440"/>
      </w:tblGrid>
      <w:tr w:rsidR="00D90124" w:rsidTr="00C23B4E">
        <w:trPr>
          <w:trHeight w:val="548"/>
          <w:tblHeader/>
        </w:trPr>
        <w:tc>
          <w:tcPr>
            <w:tcW w:w="7732" w:type="dxa"/>
          </w:tcPr>
          <w:p w:rsidR="00D90124" w:rsidRDefault="00D90124" w:rsidP="00D90124">
            <w:pPr>
              <w:pStyle w:val="Heading2"/>
              <w:spacing w:before="0"/>
            </w:pPr>
            <w:r>
              <w:t>Group</w:t>
            </w:r>
          </w:p>
        </w:tc>
        <w:tc>
          <w:tcPr>
            <w:tcW w:w="1440" w:type="dxa"/>
          </w:tcPr>
          <w:p w:rsidR="00D90124" w:rsidRPr="00A435C1" w:rsidRDefault="00D90124" w:rsidP="00D90124">
            <w:pPr>
              <w:jc w:val="center"/>
              <w:rPr>
                <w:rStyle w:val="Heading2Char"/>
                <w:rFonts w:eastAsiaTheme="minorHAnsi"/>
              </w:rPr>
            </w:pPr>
            <w:r w:rsidRPr="00A435C1">
              <w:rPr>
                <w:rStyle w:val="Heading2Char"/>
                <w:rFonts w:eastAsiaTheme="minorHAnsi"/>
              </w:rPr>
              <w:t>Credits</w:t>
            </w:r>
          </w:p>
        </w:tc>
      </w:tr>
      <w:tr w:rsidR="00D90124" w:rsidTr="00C23B4E">
        <w:tc>
          <w:tcPr>
            <w:tcW w:w="7732" w:type="dxa"/>
          </w:tcPr>
          <w:p w:rsidR="00D90124" w:rsidRDefault="00D90124" w:rsidP="00D90124">
            <w:pPr>
              <w:pStyle w:val="Heading2"/>
              <w:spacing w:before="0"/>
              <w:rPr>
                <w:rFonts w:cstheme="minorBidi"/>
              </w:rPr>
            </w:pPr>
            <w:r>
              <w:t>I:  English Writing Skills</w:t>
            </w:r>
          </w:p>
          <w:p w:rsidR="00D90124" w:rsidRDefault="00D90124" w:rsidP="00D90124">
            <w:pPr>
              <w:numPr>
                <w:ilvl w:val="0"/>
                <w:numId w:val="45"/>
              </w:numPr>
              <w:spacing w:after="0" w:line="240" w:lineRule="auto"/>
            </w:pPr>
            <w:r>
              <w:t>Introductory College Writing (WRIT 101)</w:t>
            </w:r>
            <w:r>
              <w:tab/>
            </w:r>
            <w:r>
              <w:tab/>
              <w:t xml:space="preserve">    </w:t>
            </w:r>
            <w:r>
              <w:tab/>
              <w:t xml:space="preserve"> </w:t>
            </w:r>
          </w:p>
          <w:p w:rsidR="00D90124" w:rsidRPr="00450B52" w:rsidRDefault="00D90124" w:rsidP="00D90124">
            <w:pPr>
              <w:numPr>
                <w:ilvl w:val="0"/>
                <w:numId w:val="45"/>
              </w:numPr>
              <w:spacing w:after="0" w:line="240" w:lineRule="auto"/>
              <w:rPr>
                <w:strike/>
              </w:rPr>
            </w:pPr>
            <w:r>
              <w:t xml:space="preserve">One </w:t>
            </w:r>
            <w:r w:rsidRPr="00450B52">
              <w:rPr>
                <w:strike/>
              </w:rPr>
              <w:t>designated</w:t>
            </w:r>
            <w:r>
              <w:t xml:space="preserve"> </w:t>
            </w:r>
            <w:r w:rsidRPr="00450B52">
              <w:rPr>
                <w:u w:val="single"/>
              </w:rPr>
              <w:t xml:space="preserve">Intermediate </w:t>
            </w:r>
            <w:r>
              <w:t>Writing Course (</w:t>
            </w:r>
            <w:r w:rsidRPr="00450B52">
              <w:rPr>
                <w:strike/>
              </w:rPr>
              <w:t>either lower division or upper division)</w:t>
            </w:r>
            <w:r w:rsidRPr="00450B52">
              <w:rPr>
                <w:strike/>
              </w:rPr>
              <w:tab/>
              <w:t xml:space="preserve">    </w:t>
            </w:r>
          </w:p>
          <w:p w:rsidR="00D90124" w:rsidRPr="00450B52" w:rsidRDefault="00D90124" w:rsidP="00D90124">
            <w:pPr>
              <w:numPr>
                <w:ilvl w:val="0"/>
                <w:numId w:val="45"/>
              </w:numPr>
              <w:spacing w:after="0" w:line="240" w:lineRule="auto"/>
              <w:rPr>
                <w:strike/>
                <w:color w:val="FF0000"/>
              </w:rPr>
            </w:pPr>
            <w:r w:rsidRPr="00450B52">
              <w:rPr>
                <w:strike/>
              </w:rPr>
              <w:t>Take and pass the Writing Proficiency Assessment (WPA)</w:t>
            </w:r>
            <w:r w:rsidRPr="00450B52">
              <w:rPr>
                <w:strike/>
              </w:rPr>
              <w:tab/>
            </w:r>
            <w:r w:rsidRPr="00450B52">
              <w:rPr>
                <w:strike/>
              </w:rPr>
              <w:tab/>
              <w:t xml:space="preserve">  </w:t>
            </w:r>
          </w:p>
          <w:p w:rsidR="00D90124" w:rsidRDefault="00D90124" w:rsidP="00D90124">
            <w:pPr>
              <w:numPr>
                <w:ilvl w:val="0"/>
                <w:numId w:val="45"/>
              </w:numPr>
              <w:spacing w:after="0" w:line="240" w:lineRule="auto"/>
            </w:pPr>
            <w:r w:rsidRPr="00450B52">
              <w:rPr>
                <w:strike/>
              </w:rPr>
              <w:t>Upper-Division</w:t>
            </w:r>
            <w:r>
              <w:t xml:space="preserve"> </w:t>
            </w:r>
            <w:r w:rsidRPr="00450B52">
              <w:rPr>
                <w:u w:val="single"/>
              </w:rPr>
              <w:t>Advanced</w:t>
            </w:r>
            <w:r>
              <w:t xml:space="preserve"> Writing Requirement (as specified by major department) </w:t>
            </w:r>
          </w:p>
        </w:tc>
        <w:tc>
          <w:tcPr>
            <w:tcW w:w="1440" w:type="dxa"/>
            <w:hideMark/>
          </w:tcPr>
          <w:p w:rsidR="00D90124" w:rsidRDefault="00D90124" w:rsidP="00D90124">
            <w:pPr>
              <w:jc w:val="center"/>
            </w:pPr>
            <w:r>
              <w:br/>
              <w:t>3</w:t>
            </w:r>
            <w:r>
              <w:br/>
              <w:t>3</w:t>
            </w:r>
            <w:r>
              <w:br/>
            </w:r>
            <w:r w:rsidRPr="00450B52">
              <w:rPr>
                <w:strike/>
              </w:rPr>
              <w:t xml:space="preserve">0 </w:t>
            </w:r>
            <w:r>
              <w:br/>
            </w:r>
            <w:r w:rsidRPr="00450B52">
              <w:rPr>
                <w:strike/>
              </w:rPr>
              <w:t>1-</w:t>
            </w:r>
            <w:r>
              <w:t>3</w:t>
            </w:r>
          </w:p>
        </w:tc>
      </w:tr>
      <w:tr w:rsidR="00D90124" w:rsidTr="00C23B4E">
        <w:trPr>
          <w:trHeight w:val="260"/>
        </w:trPr>
        <w:tc>
          <w:tcPr>
            <w:tcW w:w="7732" w:type="dxa"/>
            <w:hideMark/>
          </w:tcPr>
          <w:p w:rsidR="00D90124" w:rsidRDefault="00D90124" w:rsidP="00D90124">
            <w:pPr>
              <w:pStyle w:val="Heading2"/>
              <w:spacing w:before="0"/>
              <w:rPr>
                <w:sz w:val="22"/>
                <w:szCs w:val="22"/>
              </w:rPr>
            </w:pPr>
            <w:r>
              <w:t>II:  Mathematics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r w:rsidRPr="00A435C1">
              <w:rPr>
                <w:rStyle w:val="Heading2Char"/>
                <w:rFonts w:eastAsiaTheme="minorHAnsi"/>
              </w:rPr>
              <w:t xml:space="preserve">Group III: Modern and Classical Languages </w:t>
            </w:r>
            <w:r w:rsidRPr="003C34CB">
              <w:rPr>
                <w:rStyle w:val="Heading2Char"/>
                <w:rFonts w:eastAsiaTheme="minorHAnsi"/>
                <w:strike/>
              </w:rPr>
              <w:t>or Symbolic Systems</w:t>
            </w:r>
            <w:r>
              <w:br/>
            </w:r>
            <w:r w:rsidRPr="00D90124">
              <w:rPr>
                <w:strike/>
              </w:rPr>
              <w:t>A two semester language sequence is the default option (test out provisions apply).</w:t>
            </w:r>
            <w:r>
              <w:t xml:space="preserve"> </w:t>
            </w:r>
            <w:r>
              <w:br/>
            </w:r>
            <w:r w:rsidRPr="00D90124">
              <w:rPr>
                <w:rFonts w:cstheme="minorHAnsi"/>
                <w:color w:val="555555"/>
                <w:u w:val="single"/>
              </w:rPr>
              <w:t>Students must complete the first-year sequence of a language or demonstrate comparable proficiency</w:t>
            </w:r>
            <w:r>
              <w:rPr>
                <w:rFonts w:cstheme="minorHAnsi"/>
                <w:color w:val="555555"/>
                <w:u w:val="single"/>
              </w:rPr>
              <w:br/>
            </w:r>
            <w:r w:rsidRPr="00450B52">
              <w:rPr>
                <w:strike/>
              </w:rPr>
              <w:t>Students may substitute a symbolic system sequence required by their major and approved by the General Education Committee.</w:t>
            </w:r>
            <w:r>
              <w:rPr>
                <w:strike/>
              </w:rPr>
              <w:br/>
            </w:r>
            <w:r w:rsidRPr="00B61468">
              <w:rPr>
                <w:u w:val="single"/>
              </w:rPr>
              <w:t>Some credit heavy majors are exempted from this requirement</w:t>
            </w:r>
            <w:r w:rsidRPr="00D90124">
              <w:rPr>
                <w:u w:val="single"/>
              </w:rPr>
              <w:t>.</w:t>
            </w:r>
            <w:r w:rsidRPr="00D90124">
              <w:t xml:space="preserve"> See list in the </w:t>
            </w:r>
            <w:hyperlink r:id="rId5" w:history="1">
              <w:r w:rsidRPr="001A11B2">
                <w:rPr>
                  <w:rStyle w:val="Hyperlink"/>
                </w:rPr>
                <w:t>catalog</w:t>
              </w:r>
            </w:hyperlink>
            <w:r w:rsidRPr="00D90124">
              <w:t>.</w:t>
            </w:r>
          </w:p>
        </w:tc>
        <w:tc>
          <w:tcPr>
            <w:tcW w:w="1440" w:type="dxa"/>
            <w:hideMark/>
          </w:tcPr>
          <w:p w:rsidR="00D90124" w:rsidRDefault="00D90124" w:rsidP="00D90124">
            <w:pPr>
              <w:jc w:val="center"/>
            </w:pPr>
            <w:r>
              <w:t xml:space="preserve">0-10 </w:t>
            </w:r>
            <w:r w:rsidRPr="00450B52">
              <w:rPr>
                <w:strike/>
              </w:rPr>
              <w:t>or 3-6</w:t>
            </w:r>
          </w:p>
        </w:tc>
      </w:tr>
      <w:tr w:rsidR="00D90124" w:rsidTr="00C23B4E">
        <w:tc>
          <w:tcPr>
            <w:tcW w:w="7732" w:type="dxa"/>
            <w:hideMark/>
          </w:tcPr>
          <w:p w:rsidR="00D90124" w:rsidRDefault="00D90124" w:rsidP="00D90124">
            <w:pPr>
              <w:pStyle w:val="Heading2"/>
              <w:spacing w:before="0"/>
              <w:rPr>
                <w:sz w:val="22"/>
                <w:szCs w:val="22"/>
              </w:rPr>
            </w:pPr>
            <w:r>
              <w:t>IV:  Expressive Arts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V: Literary and Artistic Studies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 xml:space="preserve">VI: Historical </w:t>
            </w:r>
            <w:r w:rsidRPr="001A11B2">
              <w:rPr>
                <w:strike/>
              </w:rPr>
              <w:t>and Cultural</w:t>
            </w:r>
            <w:r>
              <w:t xml:space="preserve"> Studies</w:t>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VII:  Social Sciences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VIII:  Ethics and Human Values</w:t>
            </w:r>
            <w:r>
              <w:tab/>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t xml:space="preserve">IX: </w:t>
            </w:r>
            <w:r w:rsidRPr="00D90124">
              <w:rPr>
                <w:strike/>
              </w:rPr>
              <w:t>American and European Perspectives</w:t>
            </w:r>
            <w:r>
              <w:rPr>
                <w:strike/>
              </w:rPr>
              <w:t xml:space="preserve"> </w:t>
            </w:r>
            <w:r w:rsidRPr="00554717">
              <w:rPr>
                <w:rFonts w:ascii="Calibri" w:hAnsi="Calibri" w:cs="Calibri"/>
                <w:color w:val="000000"/>
              </w:rPr>
              <w:t>Democracy &amp; Citizenship</w:t>
            </w:r>
          </w:p>
        </w:tc>
        <w:tc>
          <w:tcPr>
            <w:tcW w:w="1440" w:type="dxa"/>
            <w:hideMark/>
          </w:tcPr>
          <w:p w:rsidR="00D90124" w:rsidRDefault="00D90124" w:rsidP="00D90124">
            <w:pPr>
              <w:jc w:val="center"/>
            </w:pPr>
            <w:r>
              <w:t>3</w:t>
            </w:r>
          </w:p>
        </w:tc>
      </w:tr>
      <w:tr w:rsidR="00D90124" w:rsidTr="00C23B4E">
        <w:tc>
          <w:tcPr>
            <w:tcW w:w="7732" w:type="dxa"/>
            <w:hideMark/>
          </w:tcPr>
          <w:p w:rsidR="00D90124" w:rsidRDefault="00D90124" w:rsidP="00D90124">
            <w:pPr>
              <w:pStyle w:val="Heading2"/>
              <w:spacing w:before="0"/>
              <w:rPr>
                <w:sz w:val="22"/>
                <w:szCs w:val="22"/>
              </w:rPr>
            </w:pPr>
            <w:r>
              <w:lastRenderedPageBreak/>
              <w:t xml:space="preserve">X: </w:t>
            </w:r>
            <w:r w:rsidRPr="00D90124">
              <w:rPr>
                <w:strike/>
              </w:rPr>
              <w:t>Indigenous and Global Perspectives</w:t>
            </w:r>
            <w:r w:rsidR="001A11B2">
              <w:rPr>
                <w:strike/>
              </w:rPr>
              <w:t xml:space="preserve"> </w:t>
            </w:r>
            <w:r w:rsidR="001A11B2" w:rsidRPr="001A11B2">
              <w:t>Cultural &amp; International Diversity</w:t>
            </w:r>
            <w:r w:rsidRPr="001A11B2">
              <w:tab/>
            </w:r>
          </w:p>
        </w:tc>
        <w:tc>
          <w:tcPr>
            <w:tcW w:w="1440" w:type="dxa"/>
            <w:hideMark/>
          </w:tcPr>
          <w:p w:rsidR="00D90124" w:rsidRDefault="00D90124" w:rsidP="00D90124">
            <w:pPr>
              <w:jc w:val="center"/>
            </w:pPr>
            <w:r>
              <w:t>3</w:t>
            </w:r>
          </w:p>
        </w:tc>
      </w:tr>
      <w:tr w:rsidR="00D90124" w:rsidTr="00C23B4E">
        <w:trPr>
          <w:trHeight w:val="557"/>
        </w:trPr>
        <w:tc>
          <w:tcPr>
            <w:tcW w:w="7732" w:type="dxa"/>
            <w:hideMark/>
          </w:tcPr>
          <w:p w:rsidR="00D90124" w:rsidRDefault="00D90124" w:rsidP="001A11B2">
            <w:r w:rsidRPr="00A435C1">
              <w:rPr>
                <w:rStyle w:val="Heading2Char"/>
                <w:rFonts w:eastAsiaTheme="minorHAnsi"/>
              </w:rPr>
              <w:t>XI:  Natural Sciences</w:t>
            </w:r>
            <w:r>
              <w:br/>
              <w:t xml:space="preserve">One course must include a laboratory experience.                                                                                                                                              </w:t>
            </w:r>
            <w:r>
              <w:br/>
              <w:t xml:space="preserve">                                                                                                                                     </w:t>
            </w:r>
            <w:r w:rsidRPr="00D90124">
              <w:rPr>
                <w:strike/>
              </w:rPr>
              <w:t xml:space="preserve"> Total</w:t>
            </w:r>
          </w:p>
        </w:tc>
        <w:tc>
          <w:tcPr>
            <w:tcW w:w="1440" w:type="dxa"/>
            <w:hideMark/>
          </w:tcPr>
          <w:p w:rsidR="00D90124" w:rsidRDefault="00D90124" w:rsidP="001A11B2">
            <w:pPr>
              <w:jc w:val="center"/>
            </w:pPr>
            <w:r>
              <w:t>6</w:t>
            </w:r>
            <w:r>
              <w:br/>
            </w:r>
            <w:r>
              <w:br/>
            </w:r>
            <w:r w:rsidRPr="00D90124">
              <w:rPr>
                <w:strike/>
              </w:rPr>
              <w:t>28-49</w:t>
            </w:r>
          </w:p>
        </w:tc>
      </w:tr>
    </w:tbl>
    <w:p w:rsidR="00D90124" w:rsidRDefault="00D90124" w:rsidP="00D90124"/>
    <w:p w:rsidR="00D90124" w:rsidRPr="00D90124" w:rsidRDefault="00D90124" w:rsidP="00D90124">
      <w:pPr>
        <w:rPr>
          <w:strike/>
        </w:rPr>
      </w:pPr>
      <w:r>
        <w:rPr>
          <w:rStyle w:val="Heading2Char"/>
          <w:rFonts w:eastAsiaTheme="minorHAnsi"/>
        </w:rPr>
        <w:t>Conditions</w:t>
      </w:r>
      <w:r w:rsidRPr="00205B1A">
        <w:rPr>
          <w:rStyle w:val="Heading2Char"/>
          <w:rFonts w:eastAsiaTheme="minorHAnsi"/>
        </w:rPr>
        <w:t xml:space="preserve"> </w:t>
      </w:r>
      <w:r>
        <w:br/>
        <w:t xml:space="preserve">All General Education courses must be at least 3 credits, must be introductory and foundational, and have no more than one pre-requisite.  </w:t>
      </w:r>
      <w:r w:rsidRPr="00450B52">
        <w:rPr>
          <w:u w:val="single"/>
        </w:rPr>
        <w:t>Normally, general education courses are numbered in the 100-300 levels.</w:t>
      </w:r>
      <w:r>
        <w:t xml:space="preserve"> The General Education Committee may allow exceptions for </w:t>
      </w:r>
      <w:r w:rsidRPr="00450B52">
        <w:rPr>
          <w:u w:val="single"/>
        </w:rPr>
        <w:t>400-level</w:t>
      </w:r>
      <w:r>
        <w:t xml:space="preserve">  </w:t>
      </w:r>
      <w:r w:rsidRPr="007B5932">
        <w:rPr>
          <w:strike/>
        </w:rPr>
        <w:t>upper-division</w:t>
      </w:r>
      <w:r>
        <w:t xml:space="preserve"> courses, courses fewer than three credits, and for courses with more than one-prerequisite, if the proposing unit can justify such an exception.</w:t>
      </w:r>
      <w:r w:rsidR="001A11B2">
        <w:t xml:space="preserve"> Some courses may satisfy more than one group (see list in </w:t>
      </w:r>
      <w:hyperlink r:id="rId6" w:history="1">
        <w:r w:rsidR="001A11B2" w:rsidRPr="001A11B2">
          <w:rPr>
            <w:rStyle w:val="Hyperlink"/>
          </w:rPr>
          <w:t>catalog</w:t>
        </w:r>
      </w:hyperlink>
      <w:hyperlink r:id="rId7" w:history="1">
        <w:r w:rsidR="001A11B2" w:rsidRPr="001A11B2">
          <w:rPr>
            <w:rStyle w:val="Hyperlink"/>
          </w:rPr>
          <w:t>http://catalog.umt.edu/academics/general-education-requirements/</w:t>
        </w:r>
      </w:hyperlink>
      <w:r w:rsidR="001A11B2">
        <w:t xml:space="preserve">). </w:t>
      </w:r>
    </w:p>
    <w:p w:rsidR="00D90124" w:rsidRPr="00D90124" w:rsidRDefault="00D90124" w:rsidP="00D90124">
      <w:pPr>
        <w:pStyle w:val="ListParagraph"/>
        <w:numPr>
          <w:ilvl w:val="0"/>
          <w:numId w:val="46"/>
        </w:numPr>
        <w:spacing w:after="0" w:line="240" w:lineRule="auto"/>
        <w:rPr>
          <w:strike/>
        </w:rPr>
      </w:pPr>
      <w:r w:rsidRPr="00D90124">
        <w:rPr>
          <w:strike/>
        </w:rPr>
        <w:t>Some courses may satisfy both the “Writing Course” requirement (I.2) and one of the Groups IV through XI.</w:t>
      </w:r>
    </w:p>
    <w:p w:rsidR="00D90124" w:rsidRPr="00D90124" w:rsidRDefault="00D90124" w:rsidP="00D90124">
      <w:pPr>
        <w:pStyle w:val="ListParagraph"/>
        <w:numPr>
          <w:ilvl w:val="0"/>
          <w:numId w:val="46"/>
        </w:numPr>
        <w:spacing w:after="0" w:line="240" w:lineRule="auto"/>
        <w:rPr>
          <w:strike/>
        </w:rPr>
      </w:pPr>
      <w:r w:rsidRPr="00D90124">
        <w:rPr>
          <w:strike/>
        </w:rPr>
        <w:t>Some courses may satisfy both Group II and Group III Symbolic Systems.</w:t>
      </w:r>
    </w:p>
    <w:p w:rsidR="00D90124" w:rsidRPr="00D90124" w:rsidRDefault="00D90124" w:rsidP="00D90124">
      <w:pPr>
        <w:pStyle w:val="ListParagraph"/>
        <w:numPr>
          <w:ilvl w:val="0"/>
          <w:numId w:val="46"/>
        </w:numPr>
        <w:spacing w:after="0" w:line="240" w:lineRule="auto"/>
        <w:rPr>
          <w:strike/>
        </w:rPr>
      </w:pPr>
      <w:r w:rsidRPr="00D90124">
        <w:rPr>
          <w:strike/>
        </w:rPr>
        <w:t>Some courses may satisfy both Group IX and one of the Groups IV through VIII.</w:t>
      </w:r>
    </w:p>
    <w:p w:rsidR="00D90124" w:rsidRPr="00D90124" w:rsidRDefault="00D90124" w:rsidP="00D90124">
      <w:pPr>
        <w:pStyle w:val="ListParagraph"/>
        <w:numPr>
          <w:ilvl w:val="0"/>
          <w:numId w:val="46"/>
        </w:numPr>
        <w:spacing w:after="0" w:line="240" w:lineRule="auto"/>
        <w:rPr>
          <w:strike/>
        </w:rPr>
      </w:pPr>
      <w:r w:rsidRPr="00D90124">
        <w:rPr>
          <w:strike/>
        </w:rPr>
        <w:t>Some courses may satisfy both Group X and one of the Groups IV through VIII.</w:t>
      </w:r>
    </w:p>
    <w:p w:rsidR="00D90124" w:rsidRPr="00D90124" w:rsidRDefault="00D90124" w:rsidP="00D90124">
      <w:pPr>
        <w:pStyle w:val="ListParagraph"/>
        <w:numPr>
          <w:ilvl w:val="0"/>
          <w:numId w:val="46"/>
        </w:numPr>
        <w:spacing w:after="0" w:line="240" w:lineRule="auto"/>
        <w:rPr>
          <w:strike/>
        </w:rPr>
      </w:pPr>
      <w:r w:rsidRPr="00D90124">
        <w:rPr>
          <w:strike/>
        </w:rPr>
        <w:t>No course may satisfy both Group IX and Group X</w:t>
      </w:r>
    </w:p>
    <w:p w:rsidR="00D90124" w:rsidRDefault="00D90124" w:rsidP="00191A14">
      <w:pPr>
        <w:rPr>
          <w:rFonts w:eastAsia="Times New Roman"/>
        </w:rPr>
      </w:pPr>
    </w:p>
    <w:sectPr w:rsidR="00D9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845"/>
    <w:multiLevelType w:val="hybridMultilevel"/>
    <w:tmpl w:val="F4480CB4"/>
    <w:lvl w:ilvl="0" w:tplc="DA8CAFEE">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F3CEC"/>
    <w:multiLevelType w:val="hybridMultilevel"/>
    <w:tmpl w:val="BCA4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981558"/>
    <w:multiLevelType w:val="hybridMultilevel"/>
    <w:tmpl w:val="0C2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89153A"/>
    <w:multiLevelType w:val="hybridMultilevel"/>
    <w:tmpl w:val="013CAA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B07502"/>
    <w:multiLevelType w:val="hybridMultilevel"/>
    <w:tmpl w:val="38580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253D1"/>
    <w:multiLevelType w:val="hybridMultilevel"/>
    <w:tmpl w:val="8EA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075226"/>
    <w:multiLevelType w:val="hybridMultilevel"/>
    <w:tmpl w:val="7654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8751AA"/>
    <w:multiLevelType w:val="hybridMultilevel"/>
    <w:tmpl w:val="2E14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F06D7"/>
    <w:multiLevelType w:val="hybridMultilevel"/>
    <w:tmpl w:val="2C7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E7511F"/>
    <w:multiLevelType w:val="hybridMultilevel"/>
    <w:tmpl w:val="4B12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3D5B55"/>
    <w:multiLevelType w:val="hybridMultilevel"/>
    <w:tmpl w:val="4B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7F6F49"/>
    <w:multiLevelType w:val="hybridMultilevel"/>
    <w:tmpl w:val="04E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6"/>
  </w:num>
  <w:num w:numId="4">
    <w:abstractNumId w:val="29"/>
  </w:num>
  <w:num w:numId="5">
    <w:abstractNumId w:val="17"/>
  </w:num>
  <w:num w:numId="6">
    <w:abstractNumId w:val="2"/>
  </w:num>
  <w:num w:numId="7">
    <w:abstractNumId w:val="28"/>
  </w:num>
  <w:num w:numId="8">
    <w:abstractNumId w:val="44"/>
  </w:num>
  <w:num w:numId="9">
    <w:abstractNumId w:val="18"/>
  </w:num>
  <w:num w:numId="10">
    <w:abstractNumId w:val="30"/>
  </w:num>
  <w:num w:numId="11">
    <w:abstractNumId w:val="42"/>
  </w:num>
  <w:num w:numId="12">
    <w:abstractNumId w:val="12"/>
  </w:num>
  <w:num w:numId="13">
    <w:abstractNumId w:val="26"/>
  </w:num>
  <w:num w:numId="14">
    <w:abstractNumId w:val="20"/>
  </w:num>
  <w:num w:numId="15">
    <w:abstractNumId w:val="37"/>
  </w:num>
  <w:num w:numId="16">
    <w:abstractNumId w:val="35"/>
  </w:num>
  <w:num w:numId="17">
    <w:abstractNumId w:val="7"/>
  </w:num>
  <w:num w:numId="18">
    <w:abstractNumId w:val="14"/>
  </w:num>
  <w:num w:numId="19">
    <w:abstractNumId w:val="8"/>
  </w:num>
  <w:num w:numId="20">
    <w:abstractNumId w:val="34"/>
  </w:num>
  <w:num w:numId="21">
    <w:abstractNumId w:val="40"/>
  </w:num>
  <w:num w:numId="22">
    <w:abstractNumId w:val="25"/>
  </w:num>
  <w:num w:numId="23">
    <w:abstractNumId w:val="27"/>
  </w:num>
  <w:num w:numId="24">
    <w:abstractNumId w:val="11"/>
  </w:num>
  <w:num w:numId="25">
    <w:abstractNumId w:val="33"/>
  </w:num>
  <w:num w:numId="26">
    <w:abstractNumId w:val="16"/>
  </w:num>
  <w:num w:numId="27">
    <w:abstractNumId w:val="39"/>
  </w:num>
  <w:num w:numId="28">
    <w:abstractNumId w:val="9"/>
  </w:num>
  <w:num w:numId="29">
    <w:abstractNumId w:val="13"/>
  </w:num>
  <w:num w:numId="30">
    <w:abstractNumId w:val="21"/>
  </w:num>
  <w:num w:numId="31">
    <w:abstractNumId w:val="5"/>
  </w:num>
  <w:num w:numId="32">
    <w:abstractNumId w:val="3"/>
  </w:num>
  <w:num w:numId="33">
    <w:abstractNumId w:val="0"/>
  </w:num>
  <w:num w:numId="34">
    <w:abstractNumId w:val="41"/>
  </w:num>
  <w:num w:numId="3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
  </w:num>
  <w:num w:numId="38">
    <w:abstractNumId w:val="38"/>
  </w:num>
  <w:num w:numId="39">
    <w:abstractNumId w:val="43"/>
  </w:num>
  <w:num w:numId="40">
    <w:abstractNumId w:val="22"/>
  </w:num>
  <w:num w:numId="41">
    <w:abstractNumId w:val="31"/>
  </w:num>
  <w:num w:numId="42">
    <w:abstractNumId w:val="45"/>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2DAF"/>
    <w:rsid w:val="0018652B"/>
    <w:rsid w:val="00186DD0"/>
    <w:rsid w:val="00186FB0"/>
    <w:rsid w:val="001904CF"/>
    <w:rsid w:val="001919F9"/>
    <w:rsid w:val="00191A14"/>
    <w:rsid w:val="00192019"/>
    <w:rsid w:val="001952F6"/>
    <w:rsid w:val="00195794"/>
    <w:rsid w:val="001A11B2"/>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6F26"/>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1E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096"/>
    <w:rsid w:val="003D0C8E"/>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717"/>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EA"/>
    <w:rsid w:val="00592492"/>
    <w:rsid w:val="005937B5"/>
    <w:rsid w:val="005954D4"/>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46E47"/>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8F626E"/>
    <w:rsid w:val="00901C82"/>
    <w:rsid w:val="009028AD"/>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6AAE"/>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A751D"/>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124"/>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03F4E-0ED0-43F9-BE8A-88883830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 w:type="character" w:styleId="SubtleReference">
    <w:name w:val="Subtle Reference"/>
    <w:uiPriority w:val="31"/>
    <w:qFormat/>
    <w:rsid w:val="00D90124"/>
    <w:rPr>
      <w:strike w:val="0"/>
      <w:dstrike w:val="0"/>
      <w:color w:val="4F81BD" w:themeColor="accent1"/>
      <w:u w:val="none" w:color="9BBB59" w:themeColor="accent3"/>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75295712">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665863518">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992104098">
      <w:bodyDiv w:val="1"/>
      <w:marLeft w:val="0"/>
      <w:marRight w:val="0"/>
      <w:marTop w:val="0"/>
      <w:marBottom w:val="0"/>
      <w:divBdr>
        <w:top w:val="none" w:sz="0" w:space="0" w:color="auto"/>
        <w:left w:val="none" w:sz="0" w:space="0" w:color="auto"/>
        <w:bottom w:val="none" w:sz="0" w:space="0" w:color="auto"/>
        <w:right w:val="none" w:sz="0" w:space="0" w:color="auto"/>
      </w:divBdr>
      <w:divsChild>
        <w:div w:id="1455325125">
          <w:marLeft w:val="0"/>
          <w:marRight w:val="0"/>
          <w:marTop w:val="0"/>
          <w:marBottom w:val="0"/>
          <w:divBdr>
            <w:top w:val="none" w:sz="0" w:space="0" w:color="auto"/>
            <w:left w:val="none" w:sz="0" w:space="0" w:color="auto"/>
            <w:bottom w:val="none" w:sz="0" w:space="0" w:color="auto"/>
            <w:right w:val="none" w:sz="0" w:space="0" w:color="auto"/>
          </w:divBdr>
        </w:div>
        <w:div w:id="1585844863">
          <w:marLeft w:val="0"/>
          <w:marRight w:val="0"/>
          <w:marTop w:val="0"/>
          <w:marBottom w:val="0"/>
          <w:divBdr>
            <w:top w:val="none" w:sz="0" w:space="0" w:color="auto"/>
            <w:left w:val="none" w:sz="0" w:space="0" w:color="auto"/>
            <w:bottom w:val="none" w:sz="0" w:space="0" w:color="auto"/>
            <w:right w:val="none" w:sz="0" w:space="0" w:color="auto"/>
          </w:divBdr>
        </w:div>
        <w:div w:id="258416341">
          <w:marLeft w:val="0"/>
          <w:marRight w:val="0"/>
          <w:marTop w:val="0"/>
          <w:marBottom w:val="0"/>
          <w:divBdr>
            <w:top w:val="none" w:sz="0" w:space="0" w:color="auto"/>
            <w:left w:val="none" w:sz="0" w:space="0" w:color="auto"/>
            <w:bottom w:val="none" w:sz="0" w:space="0" w:color="auto"/>
            <w:right w:val="none" w:sz="0" w:space="0" w:color="auto"/>
          </w:divBdr>
        </w:div>
        <w:div w:id="1787653407">
          <w:marLeft w:val="0"/>
          <w:marRight w:val="0"/>
          <w:marTop w:val="0"/>
          <w:marBottom w:val="0"/>
          <w:divBdr>
            <w:top w:val="none" w:sz="0" w:space="0" w:color="auto"/>
            <w:left w:val="none" w:sz="0" w:space="0" w:color="auto"/>
            <w:bottom w:val="none" w:sz="0" w:space="0" w:color="auto"/>
            <w:right w:val="none" w:sz="0" w:space="0" w:color="auto"/>
          </w:divBdr>
        </w:div>
        <w:div w:id="1874078291">
          <w:marLeft w:val="0"/>
          <w:marRight w:val="0"/>
          <w:marTop w:val="0"/>
          <w:marBottom w:val="0"/>
          <w:divBdr>
            <w:top w:val="none" w:sz="0" w:space="0" w:color="auto"/>
            <w:left w:val="none" w:sz="0" w:space="0" w:color="auto"/>
            <w:bottom w:val="none" w:sz="0" w:space="0" w:color="auto"/>
            <w:right w:val="none" w:sz="0" w:space="0" w:color="auto"/>
          </w:divBdr>
        </w:div>
        <w:div w:id="1182086408">
          <w:marLeft w:val="0"/>
          <w:marRight w:val="0"/>
          <w:marTop w:val="0"/>
          <w:marBottom w:val="0"/>
          <w:divBdr>
            <w:top w:val="none" w:sz="0" w:space="0" w:color="auto"/>
            <w:left w:val="none" w:sz="0" w:space="0" w:color="auto"/>
            <w:bottom w:val="none" w:sz="0" w:space="0" w:color="auto"/>
            <w:right w:val="none" w:sz="0" w:space="0" w:color="auto"/>
          </w:divBdr>
        </w:div>
        <w:div w:id="129127833">
          <w:marLeft w:val="0"/>
          <w:marRight w:val="0"/>
          <w:marTop w:val="0"/>
          <w:marBottom w:val="0"/>
          <w:divBdr>
            <w:top w:val="none" w:sz="0" w:space="0" w:color="auto"/>
            <w:left w:val="none" w:sz="0" w:space="0" w:color="auto"/>
            <w:bottom w:val="none" w:sz="0" w:space="0" w:color="auto"/>
            <w:right w:val="none" w:sz="0" w:space="0" w:color="auto"/>
          </w:divBdr>
        </w:div>
        <w:div w:id="1681083164">
          <w:marLeft w:val="0"/>
          <w:marRight w:val="0"/>
          <w:marTop w:val="0"/>
          <w:marBottom w:val="0"/>
          <w:divBdr>
            <w:top w:val="none" w:sz="0" w:space="0" w:color="auto"/>
            <w:left w:val="none" w:sz="0" w:space="0" w:color="auto"/>
            <w:bottom w:val="none" w:sz="0" w:space="0" w:color="auto"/>
            <w:right w:val="none" w:sz="0" w:space="0" w:color="auto"/>
          </w:divBdr>
        </w:div>
        <w:div w:id="510031618">
          <w:marLeft w:val="0"/>
          <w:marRight w:val="0"/>
          <w:marTop w:val="0"/>
          <w:marBottom w:val="0"/>
          <w:divBdr>
            <w:top w:val="none" w:sz="0" w:space="0" w:color="auto"/>
            <w:left w:val="none" w:sz="0" w:space="0" w:color="auto"/>
            <w:bottom w:val="none" w:sz="0" w:space="0" w:color="auto"/>
            <w:right w:val="none" w:sz="0" w:space="0" w:color="auto"/>
          </w:divBdr>
        </w:div>
        <w:div w:id="1089542105">
          <w:marLeft w:val="0"/>
          <w:marRight w:val="0"/>
          <w:marTop w:val="0"/>
          <w:marBottom w:val="0"/>
          <w:divBdr>
            <w:top w:val="none" w:sz="0" w:space="0" w:color="auto"/>
            <w:left w:val="none" w:sz="0" w:space="0" w:color="auto"/>
            <w:bottom w:val="none" w:sz="0" w:space="0" w:color="auto"/>
            <w:right w:val="none" w:sz="0" w:space="0" w:color="auto"/>
          </w:divBdr>
        </w:div>
        <w:div w:id="2107579151">
          <w:marLeft w:val="0"/>
          <w:marRight w:val="0"/>
          <w:marTop w:val="0"/>
          <w:marBottom w:val="0"/>
          <w:divBdr>
            <w:top w:val="none" w:sz="0" w:space="0" w:color="auto"/>
            <w:left w:val="none" w:sz="0" w:space="0" w:color="auto"/>
            <w:bottom w:val="none" w:sz="0" w:space="0" w:color="auto"/>
            <w:right w:val="none" w:sz="0" w:space="0" w:color="auto"/>
          </w:divBdr>
        </w:div>
        <w:div w:id="560874160">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0"/>
          <w:marBottom w:val="0"/>
          <w:divBdr>
            <w:top w:val="none" w:sz="0" w:space="0" w:color="auto"/>
            <w:left w:val="none" w:sz="0" w:space="0" w:color="auto"/>
            <w:bottom w:val="none" w:sz="0" w:space="0" w:color="auto"/>
            <w:right w:val="none" w:sz="0" w:space="0" w:color="auto"/>
          </w:divBdr>
        </w:div>
        <w:div w:id="512189500">
          <w:marLeft w:val="0"/>
          <w:marRight w:val="0"/>
          <w:marTop w:val="0"/>
          <w:marBottom w:val="0"/>
          <w:divBdr>
            <w:top w:val="none" w:sz="0" w:space="0" w:color="auto"/>
            <w:left w:val="none" w:sz="0" w:space="0" w:color="auto"/>
            <w:bottom w:val="none" w:sz="0" w:space="0" w:color="auto"/>
            <w:right w:val="none" w:sz="0" w:space="0" w:color="auto"/>
          </w:divBdr>
        </w:div>
        <w:div w:id="2059042286">
          <w:marLeft w:val="0"/>
          <w:marRight w:val="0"/>
          <w:marTop w:val="0"/>
          <w:marBottom w:val="0"/>
          <w:divBdr>
            <w:top w:val="none" w:sz="0" w:space="0" w:color="auto"/>
            <w:left w:val="none" w:sz="0" w:space="0" w:color="auto"/>
            <w:bottom w:val="none" w:sz="0" w:space="0" w:color="auto"/>
            <w:right w:val="none" w:sz="0" w:space="0" w:color="auto"/>
          </w:divBdr>
        </w:div>
        <w:div w:id="1219895051">
          <w:marLeft w:val="0"/>
          <w:marRight w:val="0"/>
          <w:marTop w:val="0"/>
          <w:marBottom w:val="0"/>
          <w:divBdr>
            <w:top w:val="none" w:sz="0" w:space="0" w:color="auto"/>
            <w:left w:val="none" w:sz="0" w:space="0" w:color="auto"/>
            <w:bottom w:val="none" w:sz="0" w:space="0" w:color="auto"/>
            <w:right w:val="none" w:sz="0" w:space="0" w:color="auto"/>
          </w:divBdr>
        </w:div>
        <w:div w:id="2137093939">
          <w:marLeft w:val="0"/>
          <w:marRight w:val="0"/>
          <w:marTop w:val="0"/>
          <w:marBottom w:val="0"/>
          <w:divBdr>
            <w:top w:val="none" w:sz="0" w:space="0" w:color="auto"/>
            <w:left w:val="none" w:sz="0" w:space="0" w:color="auto"/>
            <w:bottom w:val="none" w:sz="0" w:space="0" w:color="auto"/>
            <w:right w:val="none" w:sz="0" w:space="0" w:color="auto"/>
          </w:divBdr>
        </w:div>
        <w:div w:id="325211324">
          <w:marLeft w:val="0"/>
          <w:marRight w:val="0"/>
          <w:marTop w:val="0"/>
          <w:marBottom w:val="0"/>
          <w:divBdr>
            <w:top w:val="none" w:sz="0" w:space="0" w:color="auto"/>
            <w:left w:val="none" w:sz="0" w:space="0" w:color="auto"/>
            <w:bottom w:val="none" w:sz="0" w:space="0" w:color="auto"/>
            <w:right w:val="none" w:sz="0" w:space="0" w:color="auto"/>
          </w:divBdr>
        </w:div>
        <w:div w:id="1402169662">
          <w:marLeft w:val="0"/>
          <w:marRight w:val="0"/>
          <w:marTop w:val="0"/>
          <w:marBottom w:val="0"/>
          <w:divBdr>
            <w:top w:val="none" w:sz="0" w:space="0" w:color="auto"/>
            <w:left w:val="none" w:sz="0" w:space="0" w:color="auto"/>
            <w:bottom w:val="none" w:sz="0" w:space="0" w:color="auto"/>
            <w:right w:val="none" w:sz="0" w:space="0" w:color="auto"/>
          </w:divBdr>
        </w:div>
        <w:div w:id="570893419">
          <w:marLeft w:val="0"/>
          <w:marRight w:val="0"/>
          <w:marTop w:val="0"/>
          <w:marBottom w:val="0"/>
          <w:divBdr>
            <w:top w:val="none" w:sz="0" w:space="0" w:color="auto"/>
            <w:left w:val="none" w:sz="0" w:space="0" w:color="auto"/>
            <w:bottom w:val="none" w:sz="0" w:space="0" w:color="auto"/>
            <w:right w:val="none" w:sz="0" w:space="0" w:color="auto"/>
          </w:divBdr>
        </w:div>
        <w:div w:id="484666211">
          <w:marLeft w:val="0"/>
          <w:marRight w:val="0"/>
          <w:marTop w:val="0"/>
          <w:marBottom w:val="0"/>
          <w:divBdr>
            <w:top w:val="none" w:sz="0" w:space="0" w:color="auto"/>
            <w:left w:val="none" w:sz="0" w:space="0" w:color="auto"/>
            <w:bottom w:val="none" w:sz="0" w:space="0" w:color="auto"/>
            <w:right w:val="none" w:sz="0" w:space="0" w:color="auto"/>
          </w:divBdr>
        </w:div>
        <w:div w:id="1771968080">
          <w:marLeft w:val="0"/>
          <w:marRight w:val="0"/>
          <w:marTop w:val="0"/>
          <w:marBottom w:val="0"/>
          <w:divBdr>
            <w:top w:val="none" w:sz="0" w:space="0" w:color="auto"/>
            <w:left w:val="none" w:sz="0" w:space="0" w:color="auto"/>
            <w:bottom w:val="none" w:sz="0" w:space="0" w:color="auto"/>
            <w:right w:val="none" w:sz="0" w:space="0" w:color="auto"/>
          </w:divBdr>
        </w:div>
        <w:div w:id="2020740587">
          <w:marLeft w:val="0"/>
          <w:marRight w:val="0"/>
          <w:marTop w:val="0"/>
          <w:marBottom w:val="0"/>
          <w:divBdr>
            <w:top w:val="none" w:sz="0" w:space="0" w:color="auto"/>
            <w:left w:val="none" w:sz="0" w:space="0" w:color="auto"/>
            <w:bottom w:val="none" w:sz="0" w:space="0" w:color="auto"/>
            <w:right w:val="none" w:sz="0" w:space="0" w:color="auto"/>
          </w:divBdr>
        </w:div>
        <w:div w:id="2047871587">
          <w:marLeft w:val="0"/>
          <w:marRight w:val="0"/>
          <w:marTop w:val="0"/>
          <w:marBottom w:val="0"/>
          <w:divBdr>
            <w:top w:val="none" w:sz="0" w:space="0" w:color="auto"/>
            <w:left w:val="none" w:sz="0" w:space="0" w:color="auto"/>
            <w:bottom w:val="none" w:sz="0" w:space="0" w:color="auto"/>
            <w:right w:val="none" w:sz="0" w:space="0" w:color="auto"/>
          </w:divBdr>
        </w:div>
        <w:div w:id="1943949460">
          <w:marLeft w:val="0"/>
          <w:marRight w:val="0"/>
          <w:marTop w:val="0"/>
          <w:marBottom w:val="0"/>
          <w:divBdr>
            <w:top w:val="none" w:sz="0" w:space="0" w:color="auto"/>
            <w:left w:val="none" w:sz="0" w:space="0" w:color="auto"/>
            <w:bottom w:val="none" w:sz="0" w:space="0" w:color="auto"/>
            <w:right w:val="none" w:sz="0" w:space="0" w:color="auto"/>
          </w:divBdr>
        </w:div>
        <w:div w:id="1693022291">
          <w:marLeft w:val="0"/>
          <w:marRight w:val="0"/>
          <w:marTop w:val="0"/>
          <w:marBottom w:val="0"/>
          <w:divBdr>
            <w:top w:val="none" w:sz="0" w:space="0" w:color="auto"/>
            <w:left w:val="none" w:sz="0" w:space="0" w:color="auto"/>
            <w:bottom w:val="none" w:sz="0" w:space="0" w:color="auto"/>
            <w:right w:val="none" w:sz="0" w:space="0" w:color="auto"/>
          </w:divBdr>
        </w:div>
        <w:div w:id="946693519">
          <w:marLeft w:val="0"/>
          <w:marRight w:val="0"/>
          <w:marTop w:val="0"/>
          <w:marBottom w:val="0"/>
          <w:divBdr>
            <w:top w:val="none" w:sz="0" w:space="0" w:color="auto"/>
            <w:left w:val="none" w:sz="0" w:space="0" w:color="auto"/>
            <w:bottom w:val="none" w:sz="0" w:space="0" w:color="auto"/>
            <w:right w:val="none" w:sz="0" w:space="0" w:color="auto"/>
          </w:divBdr>
        </w:div>
        <w:div w:id="1442727507">
          <w:marLeft w:val="0"/>
          <w:marRight w:val="0"/>
          <w:marTop w:val="0"/>
          <w:marBottom w:val="0"/>
          <w:divBdr>
            <w:top w:val="none" w:sz="0" w:space="0" w:color="auto"/>
            <w:left w:val="none" w:sz="0" w:space="0" w:color="auto"/>
            <w:bottom w:val="none" w:sz="0" w:space="0" w:color="auto"/>
            <w:right w:val="none" w:sz="0" w:space="0" w:color="auto"/>
          </w:divBdr>
        </w:div>
        <w:div w:id="140774617">
          <w:marLeft w:val="0"/>
          <w:marRight w:val="0"/>
          <w:marTop w:val="0"/>
          <w:marBottom w:val="0"/>
          <w:divBdr>
            <w:top w:val="none" w:sz="0" w:space="0" w:color="auto"/>
            <w:left w:val="none" w:sz="0" w:space="0" w:color="auto"/>
            <w:bottom w:val="none" w:sz="0" w:space="0" w:color="auto"/>
            <w:right w:val="none" w:sz="0" w:space="0" w:color="auto"/>
          </w:divBdr>
        </w:div>
        <w:div w:id="2053992587">
          <w:marLeft w:val="0"/>
          <w:marRight w:val="0"/>
          <w:marTop w:val="0"/>
          <w:marBottom w:val="0"/>
          <w:divBdr>
            <w:top w:val="none" w:sz="0" w:space="0" w:color="auto"/>
            <w:left w:val="none" w:sz="0" w:space="0" w:color="auto"/>
            <w:bottom w:val="none" w:sz="0" w:space="0" w:color="auto"/>
            <w:right w:val="none" w:sz="0" w:space="0" w:color="auto"/>
          </w:divBdr>
        </w:div>
      </w:divsChild>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183517672">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24870377">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mt.edu/academics/general-education-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mt.edu/academics/general-education-requirements/" TargetMode="External"/><Relationship Id="rId5" Type="http://schemas.openxmlformats.org/officeDocument/2006/relationships/hyperlink" Target="http://catalog.umt.edu/academics/general-education-requir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2017-11-27T22:39:00Z</dcterms:created>
  <dcterms:modified xsi:type="dcterms:W3CDTF">2017-11-27T22:39:00Z</dcterms:modified>
</cp:coreProperties>
</file>