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87" w:rsidRPr="00B4515D" w:rsidRDefault="001A3187" w:rsidP="001A3187">
      <w:pPr>
        <w:pStyle w:val="Heading1"/>
        <w:jc w:val="center"/>
      </w:pPr>
      <w:r w:rsidRPr="00B4515D">
        <w:t>Graduate Council Meeting Minutes</w:t>
      </w:r>
    </w:p>
    <w:p w:rsidR="001A3187" w:rsidRPr="00190EB1" w:rsidRDefault="001A3187" w:rsidP="001A3187">
      <w:pPr>
        <w:rPr>
          <w:rFonts w:ascii="Palatino" w:hAnsi="Palatino"/>
        </w:rPr>
      </w:pPr>
      <w:r>
        <w:t xml:space="preserve">                                               </w:t>
      </w:r>
      <w:r w:rsidR="004E06C8">
        <w:t>October 7</w:t>
      </w:r>
      <w:r>
        <w:t xml:space="preserve">, 2015, </w:t>
      </w:r>
      <w:proofErr w:type="spellStart"/>
      <w:r>
        <w:t>GBB</w:t>
      </w:r>
      <w:proofErr w:type="spellEnd"/>
      <w:r>
        <w:t xml:space="preserve"> 225</w:t>
      </w:r>
      <w:r w:rsidRPr="00190EB1">
        <w:t>, 12:10 – 1:00 PM</w:t>
      </w:r>
      <w:r>
        <w:br/>
      </w:r>
    </w:p>
    <w:p w:rsidR="001A3187" w:rsidRDefault="001A3187" w:rsidP="001A3187">
      <w:pPr>
        <w:rPr>
          <w:rFonts w:ascii="Palatino" w:hAnsi="Palatino"/>
          <w:sz w:val="24"/>
          <w:szCs w:val="24"/>
        </w:rPr>
      </w:pPr>
      <w:r>
        <w:rPr>
          <w:rFonts w:cs="Calibri"/>
          <w:i/>
          <w:sz w:val="24"/>
          <w:szCs w:val="24"/>
        </w:rPr>
        <w:t>Members Present:</w:t>
      </w:r>
      <w:r>
        <w:rPr>
          <w:rFonts w:cs="Calibri"/>
          <w:sz w:val="24"/>
          <w:szCs w:val="24"/>
        </w:rPr>
        <w:t xml:space="preserve">  B. Bach, L. Broberg, F. Brown, X. Chu,  C. Dumke, L. Frey, </w:t>
      </w:r>
      <w:r w:rsidR="00E37761">
        <w:rPr>
          <w:rFonts w:cs="Calibri"/>
          <w:sz w:val="24"/>
          <w:szCs w:val="24"/>
        </w:rPr>
        <w:t xml:space="preserve">T. Gupta, </w:t>
      </w:r>
      <w:r>
        <w:rPr>
          <w:rFonts w:cs="Calibri"/>
          <w:sz w:val="24"/>
          <w:szCs w:val="24"/>
        </w:rPr>
        <w:t xml:space="preserve">L. Gray, J. Johnson, A. Kinch, G. Lind, </w:t>
      </w:r>
      <w:r>
        <w:rPr>
          <w:rFonts w:ascii="Calibri" w:hAnsi="Calibri" w:cs="Calibri"/>
          <w:sz w:val="24"/>
          <w:szCs w:val="24"/>
        </w:rPr>
        <w:t>C. Palmer</w:t>
      </w:r>
      <w:r>
        <w:rPr>
          <w:rFonts w:cs="Calibri"/>
          <w:sz w:val="24"/>
          <w:szCs w:val="24"/>
        </w:rPr>
        <w:t>, K. Swift</w:t>
      </w:r>
      <w:r w:rsidR="00E37761">
        <w:rPr>
          <w:rFonts w:cs="Calibri"/>
          <w:sz w:val="24"/>
          <w:szCs w:val="24"/>
        </w:rPr>
        <w:br/>
      </w:r>
      <w:r>
        <w:rPr>
          <w:rFonts w:cs="Calibri"/>
          <w:i/>
          <w:sz w:val="24"/>
          <w:szCs w:val="24"/>
        </w:rPr>
        <w:t>Members Absent/Excused:</w:t>
      </w:r>
      <w:r>
        <w:rPr>
          <w:rFonts w:cs="Calibri"/>
          <w:sz w:val="24"/>
          <w:szCs w:val="24"/>
        </w:rPr>
        <w:t xml:space="preserve"> C. Stanick</w:t>
      </w:r>
      <w:r>
        <w:rPr>
          <w:rFonts w:cs="Calibri"/>
          <w:sz w:val="24"/>
          <w:szCs w:val="24"/>
        </w:rPr>
        <w:br/>
      </w:r>
      <w:r>
        <w:rPr>
          <w:rFonts w:cs="Calibri"/>
          <w:i/>
          <w:sz w:val="24"/>
          <w:szCs w:val="24"/>
        </w:rPr>
        <w:t>Ex Officio Members Present:</w:t>
      </w:r>
      <w:r>
        <w:rPr>
          <w:rFonts w:cs="Calibri"/>
          <w:sz w:val="24"/>
          <w:szCs w:val="24"/>
        </w:rPr>
        <w:t xml:space="preserve"> R. Arouca, N. Lindsay, S. Ross, S. Whittenburg</w:t>
      </w:r>
      <w:r>
        <w:rPr>
          <w:rFonts w:ascii="Times New Roman" w:hAnsi="Times New Roman"/>
          <w:sz w:val="24"/>
          <w:szCs w:val="24"/>
        </w:rPr>
        <w:br/>
      </w:r>
      <w:r w:rsidR="00E37761">
        <w:rPr>
          <w:rFonts w:cs="Calibri"/>
          <w:sz w:val="24"/>
          <w:szCs w:val="24"/>
        </w:rPr>
        <w:t xml:space="preserve">Guests: M. </w:t>
      </w:r>
      <w:proofErr w:type="spellStart"/>
      <w:r w:rsidR="00E37761">
        <w:rPr>
          <w:rFonts w:cs="Calibri"/>
          <w:sz w:val="24"/>
          <w:szCs w:val="24"/>
        </w:rPr>
        <w:t>Keile</w:t>
      </w:r>
      <w:proofErr w:type="spellEnd"/>
      <w:r w:rsidR="00E37761">
        <w:rPr>
          <w:rFonts w:cs="Calibri"/>
          <w:sz w:val="24"/>
          <w:szCs w:val="24"/>
        </w:rPr>
        <w:t xml:space="preserve">, R. Perrot, S. </w:t>
      </w:r>
      <w:proofErr w:type="spellStart"/>
      <w:r w:rsidR="00E37761">
        <w:rPr>
          <w:rFonts w:cs="Calibri"/>
          <w:sz w:val="24"/>
          <w:szCs w:val="24"/>
        </w:rPr>
        <w:t>Studer</w:t>
      </w:r>
      <w:proofErr w:type="spellEnd"/>
      <w:r w:rsidR="00E37761">
        <w:rPr>
          <w:rFonts w:cs="Calibri"/>
          <w:sz w:val="24"/>
          <w:szCs w:val="24"/>
        </w:rPr>
        <w:t xml:space="preserve">, </w:t>
      </w:r>
      <w:r w:rsidR="00E37761">
        <w:t>P. Zagalo-Melo</w:t>
      </w:r>
    </w:p>
    <w:p w:rsidR="001A3187" w:rsidRDefault="001A3187" w:rsidP="001A3187">
      <w:pPr>
        <w:pStyle w:val="Heading2"/>
      </w:pPr>
      <w:r w:rsidRPr="00847BFC">
        <w:t>Call to Order</w:t>
      </w:r>
    </w:p>
    <w:p w:rsidR="001A3187" w:rsidRPr="00B4515D" w:rsidRDefault="001A3187" w:rsidP="001A3187">
      <w:pPr>
        <w:numPr>
          <w:ilvl w:val="0"/>
          <w:numId w:val="1"/>
        </w:numPr>
      </w:pPr>
      <w:r>
        <w:t>The 9/</w:t>
      </w:r>
      <w:r w:rsidR="00E37761">
        <w:t>30</w:t>
      </w:r>
      <w:r>
        <w:t xml:space="preserve">/15 minutes were amended and approved. </w:t>
      </w:r>
    </w:p>
    <w:p w:rsidR="001A3187" w:rsidRDefault="001A3187" w:rsidP="001A3187">
      <w:pPr>
        <w:pStyle w:val="Heading2"/>
      </w:pPr>
      <w:r>
        <w:t>Communications</w:t>
      </w:r>
    </w:p>
    <w:p w:rsidR="00D0068A" w:rsidRDefault="00E37761" w:rsidP="00E37761">
      <w:pPr>
        <w:pStyle w:val="ListParagraph"/>
        <w:numPr>
          <w:ilvl w:val="0"/>
          <w:numId w:val="1"/>
        </w:numPr>
      </w:pPr>
      <w:r>
        <w:t>Associate Provost Zagalo-Melo asked to speak to the Council</w:t>
      </w:r>
      <w:r w:rsidR="0047249D">
        <w:t xml:space="preserve"> regarding current admissions standards</w:t>
      </w:r>
      <w:r w:rsidR="00BA3CE7">
        <w:t xml:space="preserve"> because its requirements for international students is not consistent with </w:t>
      </w:r>
      <w:proofErr w:type="spellStart"/>
      <w:r w:rsidR="00BA3CE7">
        <w:t>UM’s</w:t>
      </w:r>
      <w:proofErr w:type="spellEnd"/>
      <w:r w:rsidR="00BA3CE7">
        <w:t xml:space="preserve"> peers.  The current requirement is a little too high and could prevent international students from submitting applications.  </w:t>
      </w:r>
      <w:r w:rsidR="002C49C5">
        <w:t xml:space="preserve">We are competing with institutions that are not our direct peers.   </w:t>
      </w:r>
      <w:r w:rsidR="00BA3CE7">
        <w:t xml:space="preserve">A </w:t>
      </w:r>
      <w:proofErr w:type="spellStart"/>
      <w:r w:rsidR="00BA3CE7">
        <w:t>TOFL</w:t>
      </w:r>
      <w:proofErr w:type="spellEnd"/>
      <w:r w:rsidR="00BA3CE7">
        <w:t xml:space="preserve"> score of 550 would be more in line with our peer institutions.  A higher score could be required for TAs and by programs. </w:t>
      </w:r>
      <w:r w:rsidR="002C49C5">
        <w:t xml:space="preserve">Nationally 50% of graduate Students are international students. </w:t>
      </w:r>
      <w:r w:rsidR="00BA3CE7">
        <w:br/>
      </w:r>
      <w:r w:rsidR="00BA3CE7">
        <w:br/>
        <w:t xml:space="preserve">Associate Provost Zagalo-Melo clarified the exams represented by abbreviations.  </w:t>
      </w:r>
      <w:r w:rsidR="002C49C5">
        <w:t xml:space="preserve">Most of these were created to offer students a less expensive option.  The cost to take the </w:t>
      </w:r>
      <w:proofErr w:type="spellStart"/>
      <w:r w:rsidR="002C49C5">
        <w:t>TOEFL</w:t>
      </w:r>
      <w:proofErr w:type="spellEnd"/>
      <w:r w:rsidR="002C49C5">
        <w:t xml:space="preserve"> is $220.  </w:t>
      </w:r>
      <w:r w:rsidR="00BA3CE7">
        <w:br/>
      </w:r>
    </w:p>
    <w:p w:rsidR="002C49C5" w:rsidRDefault="00BA3CE7" w:rsidP="00D0068A">
      <w:pPr>
        <w:pStyle w:val="ListParagraph"/>
        <w:ind w:left="1080"/>
      </w:pPr>
      <w:proofErr w:type="spellStart"/>
      <w:r>
        <w:t>TOEFL</w:t>
      </w:r>
      <w:proofErr w:type="spellEnd"/>
      <w:r>
        <w:t xml:space="preserve"> = Test for English as a Foreign Language</w:t>
      </w:r>
      <w:r w:rsidR="002C49C5">
        <w:br/>
      </w:r>
      <w:proofErr w:type="spellStart"/>
      <w:r w:rsidR="002C49C5">
        <w:t>TOEFL</w:t>
      </w:r>
      <w:proofErr w:type="spellEnd"/>
      <w:r w:rsidR="002C49C5">
        <w:t xml:space="preserve"> </w:t>
      </w:r>
      <w:proofErr w:type="spellStart"/>
      <w:r w:rsidR="002C49C5">
        <w:t>PBT</w:t>
      </w:r>
      <w:proofErr w:type="spellEnd"/>
      <w:r w:rsidR="002C49C5">
        <w:t xml:space="preserve"> = Paper Based Test</w:t>
      </w:r>
    </w:p>
    <w:p w:rsidR="002C49C5" w:rsidRDefault="002C49C5" w:rsidP="00D0068A">
      <w:pPr>
        <w:pStyle w:val="ListParagraph"/>
        <w:ind w:left="1080"/>
      </w:pPr>
      <w:proofErr w:type="spellStart"/>
      <w:r>
        <w:t>TOEFL</w:t>
      </w:r>
      <w:proofErr w:type="spellEnd"/>
      <w:r>
        <w:t xml:space="preserve"> CBT= Computer Based Test</w:t>
      </w:r>
      <w:r>
        <w:br/>
      </w:r>
      <w:proofErr w:type="spellStart"/>
      <w:r>
        <w:t>TOEFL</w:t>
      </w:r>
      <w:proofErr w:type="spellEnd"/>
      <w:r>
        <w:t xml:space="preserve"> </w:t>
      </w:r>
      <w:proofErr w:type="spellStart"/>
      <w:r>
        <w:t>iBT</w:t>
      </w:r>
      <w:proofErr w:type="spellEnd"/>
      <w:r>
        <w:t>= Internet Based Test (all are same test, but have different scoring tables)</w:t>
      </w:r>
    </w:p>
    <w:p w:rsidR="00DC36F6" w:rsidRDefault="002C49C5" w:rsidP="00D0068A">
      <w:pPr>
        <w:pStyle w:val="ListParagraph"/>
        <w:ind w:left="1080"/>
      </w:pPr>
      <w:proofErr w:type="spellStart"/>
      <w:r>
        <w:t>IELTS</w:t>
      </w:r>
      <w:proofErr w:type="spellEnd"/>
      <w:r>
        <w:t xml:space="preserve">= </w:t>
      </w:r>
      <w:r w:rsidRPr="002C49C5">
        <w:rPr>
          <w:rFonts w:cs="Century"/>
          <w:color w:val="1D1D1D"/>
        </w:rPr>
        <w:t xml:space="preserve">International Test of English Proficiency (mostly used in Europe, widely accepted) </w:t>
      </w:r>
      <w:r>
        <w:rPr>
          <w:rFonts w:cs="Century"/>
          <w:color w:val="1D1D1D"/>
        </w:rPr>
        <w:br/>
      </w:r>
      <w:proofErr w:type="spellStart"/>
      <w:r>
        <w:rPr>
          <w:rFonts w:cs="Century"/>
          <w:color w:val="1D1D1D"/>
        </w:rPr>
        <w:t>MELAB</w:t>
      </w:r>
      <w:proofErr w:type="spellEnd"/>
      <w:r>
        <w:rPr>
          <w:rFonts w:cs="Century"/>
          <w:color w:val="1D1D1D"/>
        </w:rPr>
        <w:t>= Michigan English Language Battery (mostly used in the west)</w:t>
      </w:r>
      <w:r w:rsidR="00BA3CE7">
        <w:br/>
      </w:r>
    </w:p>
    <w:p w:rsidR="000E4A0E" w:rsidRDefault="000E4A0E" w:rsidP="002C49C5">
      <w:pPr>
        <w:pStyle w:val="ListParagraph"/>
      </w:pPr>
      <w:r>
        <w:t xml:space="preserve">Changing the requirement could help increase the number of applications. </w:t>
      </w:r>
      <w:proofErr w:type="spellStart"/>
      <w:r>
        <w:t>UM’s</w:t>
      </w:r>
      <w:proofErr w:type="spellEnd"/>
      <w:r>
        <w:t xml:space="preserve"> competitors have higher international student enrollment. The national trend is for an increase enrollment of international students. UM has had a decrease. </w:t>
      </w:r>
    </w:p>
    <w:p w:rsidR="000E4A0E" w:rsidRDefault="000E4A0E" w:rsidP="002C49C5">
      <w:pPr>
        <w:pStyle w:val="ListParagraph"/>
      </w:pPr>
      <w:r>
        <w:br/>
        <w:t xml:space="preserve">The visiting international graduate students were asked to provide feedback.  One took the </w:t>
      </w:r>
      <w:proofErr w:type="spellStart"/>
      <w:r>
        <w:t>TOEFL</w:t>
      </w:r>
      <w:proofErr w:type="spellEnd"/>
      <w:r>
        <w:t xml:space="preserve"> </w:t>
      </w:r>
      <w:proofErr w:type="spellStart"/>
      <w:r>
        <w:t>iBT</w:t>
      </w:r>
      <w:proofErr w:type="spellEnd"/>
      <w:r>
        <w:t xml:space="preserve"> and scored a 92.  He wanted to attend a University that had a high standard because of the perceived quality of students and lectures.   TAs </w:t>
      </w:r>
      <w:proofErr w:type="gramStart"/>
      <w:r>
        <w:t>do</w:t>
      </w:r>
      <w:proofErr w:type="gramEnd"/>
      <w:r>
        <w:t xml:space="preserve"> not teach graduate students, so the quality of lectures </w:t>
      </w:r>
      <w:r w:rsidR="00D0068A">
        <w:t xml:space="preserve">is not connected to the </w:t>
      </w:r>
      <w:proofErr w:type="spellStart"/>
      <w:r w:rsidR="00D0068A">
        <w:t>TOEFL</w:t>
      </w:r>
      <w:proofErr w:type="spellEnd"/>
      <w:r w:rsidR="00D0068A">
        <w:t xml:space="preserve"> scores. </w:t>
      </w:r>
      <w:r>
        <w:t xml:space="preserve">  </w:t>
      </w:r>
      <w:proofErr w:type="gramStart"/>
      <w:r>
        <w:t>A</w:t>
      </w:r>
      <w:proofErr w:type="gramEnd"/>
      <w:r>
        <w:t xml:space="preserve"> </w:t>
      </w:r>
      <w:proofErr w:type="spellStart"/>
      <w:r>
        <w:t>TOEFL</w:t>
      </w:r>
      <w:proofErr w:type="spellEnd"/>
      <w:r>
        <w:t xml:space="preserve"> of 550 would be good for a </w:t>
      </w:r>
      <w:r>
        <w:lastRenderedPageBreak/>
        <w:t xml:space="preserve">general requirement but departments could set their own.  TAs should be more fluent in English, so a higher score could be required for them. </w:t>
      </w:r>
      <w:r>
        <w:br/>
      </w:r>
      <w:r>
        <w:br/>
        <w:t>Associate Provost Zagalo-Melo would like Graduate Council to take action as soon as possible considering recruitment in ongoing</w:t>
      </w:r>
      <w:r w:rsidR="00D0068A">
        <w:t xml:space="preserve"> and the need to grow enrollment</w:t>
      </w:r>
      <w:r>
        <w:t xml:space="preserve">.  </w:t>
      </w:r>
      <w:r w:rsidR="00F835B0">
        <w:t xml:space="preserve">The administration is ho ping to have a larger pool of applicants. </w:t>
      </w:r>
      <w:r>
        <w:t xml:space="preserve"> </w:t>
      </w:r>
    </w:p>
    <w:p w:rsidR="00F835B0" w:rsidRDefault="00F835B0" w:rsidP="002C49C5">
      <w:pPr>
        <w:pStyle w:val="ListParagraph"/>
      </w:pPr>
    </w:p>
    <w:p w:rsidR="00DC36F6" w:rsidRDefault="00F835B0" w:rsidP="00F835B0">
      <w:pPr>
        <w:pStyle w:val="ListParagraph"/>
      </w:pPr>
      <w:r>
        <w:t xml:space="preserve">International Programs recently taught a course for International </w:t>
      </w:r>
      <w:proofErr w:type="spellStart"/>
      <w:r>
        <w:t>TAs.</w:t>
      </w:r>
      <w:proofErr w:type="spellEnd"/>
      <w:r>
        <w:t xml:space="preserve">  It is considering developing a pathway program for graduate students similar to the undergraduate program and is currently talking with departments. </w:t>
      </w:r>
      <w:r>
        <w:br/>
      </w:r>
      <w:r>
        <w:br/>
        <w:t xml:space="preserve">Graduate Council discussed the scores in 2014. [At that time, the </w:t>
      </w:r>
      <w:proofErr w:type="spellStart"/>
      <w:r>
        <w:t>MELAB</w:t>
      </w:r>
      <w:proofErr w:type="spellEnd"/>
      <w:r>
        <w:t xml:space="preserve"> was changed from 74 to 82 or higher.  This coincided with the changes to the undergraduate requirement.]  The Council will discuss this further when the schedule allows. </w:t>
      </w:r>
      <w:r w:rsidR="00DC36F6">
        <w:tab/>
      </w:r>
      <w:r>
        <w:br/>
      </w:r>
    </w:p>
    <w:p w:rsidR="0047249D" w:rsidRDefault="00F835B0" w:rsidP="0047249D">
      <w:pPr>
        <w:pStyle w:val="ListParagraph"/>
        <w:numPr>
          <w:ilvl w:val="0"/>
          <w:numId w:val="1"/>
        </w:numPr>
        <w:tabs>
          <w:tab w:val="left" w:pos="6078"/>
        </w:tabs>
      </w:pPr>
      <w:r>
        <w:t>In</w:t>
      </w:r>
      <w:r w:rsidR="0047249D">
        <w:t xml:space="preserve"> mediation the </w:t>
      </w:r>
      <w:proofErr w:type="spellStart"/>
      <w:r w:rsidR="0047249D">
        <w:t>GPSA</w:t>
      </w:r>
      <w:proofErr w:type="spellEnd"/>
      <w:r w:rsidR="0047249D">
        <w:t xml:space="preserve"> and ASUM reached a tentative agreement with regard to the Research Fee Committee composition.  ASUM will be taking it to the full body today.  The proposed composition is 3 faculty, 4 undergraduate students, and 3 graduate students chosen by the Graduate School Dean.</w:t>
      </w:r>
      <w:r w:rsidR="007C6FB4">
        <w:t xml:space="preserve">  The </w:t>
      </w:r>
      <w:proofErr w:type="spellStart"/>
      <w:r w:rsidR="007C6FB4">
        <w:t>GPSA</w:t>
      </w:r>
      <w:proofErr w:type="spellEnd"/>
      <w:r w:rsidR="007C6FB4">
        <w:t xml:space="preserve"> met with President Engstrom last week as well.  He said he would help resolve the issue if ASUM did not approve the composition. </w:t>
      </w:r>
    </w:p>
    <w:p w:rsidR="0047249D" w:rsidRDefault="00F835B0" w:rsidP="0047249D">
      <w:pPr>
        <w:pStyle w:val="Heading2"/>
      </w:pPr>
      <w:r>
        <w:br/>
      </w:r>
      <w:r w:rsidR="0047249D">
        <w:t>Business Items</w:t>
      </w:r>
    </w:p>
    <w:p w:rsidR="00FC7C03" w:rsidRDefault="0047249D" w:rsidP="00DC36F6">
      <w:pPr>
        <w:pStyle w:val="ListParagraph"/>
        <w:numPr>
          <w:ilvl w:val="0"/>
          <w:numId w:val="1"/>
        </w:numPr>
        <w:tabs>
          <w:tab w:val="left" w:pos="6078"/>
        </w:tabs>
      </w:pPr>
      <w:r>
        <w:t>The Computer Science program review document was approved prior to the discussion with Associate Provost Zagalo-Melo</w:t>
      </w:r>
      <w:r w:rsidR="007C6FB4">
        <w:t>.</w:t>
      </w:r>
      <w:r w:rsidR="007C6FB4">
        <w:br/>
      </w:r>
    </w:p>
    <w:p w:rsidR="007C6FB4" w:rsidRDefault="007C6FB4" w:rsidP="0047249D">
      <w:pPr>
        <w:pStyle w:val="ListParagraph"/>
        <w:numPr>
          <w:ilvl w:val="0"/>
          <w:numId w:val="1"/>
        </w:numPr>
        <w:tabs>
          <w:tab w:val="left" w:pos="6078"/>
        </w:tabs>
      </w:pPr>
      <w:r>
        <w:t xml:space="preserve">The Council briefly discussed reorganizing the proposals to better disperse the workload.   </w:t>
      </w:r>
      <w:r w:rsidR="00BF73FC">
        <w:t>Proposals from the College of Visual and Performing Arts and Journalism were moved from Professional Schools to Humanities Subcommittee.  Proposals from the Colleges of Forestry and Conservation and Pharmacy and Biomedical Sciences and Communicative Sciences and Disorders were moved to the science subcommittee.  Proposals from Counselor Education and Public Health were moved to the Social Science Subcommittee.  Subcommittees were instructed to have the housekeeping items ready to approve on October 28</w:t>
      </w:r>
      <w:r w:rsidR="00BF73FC" w:rsidRPr="00BF73FC">
        <w:rPr>
          <w:vertAlign w:val="superscript"/>
        </w:rPr>
        <w:t>th</w:t>
      </w:r>
      <w:r w:rsidR="00BF73FC">
        <w:t xml:space="preserve">.   A preliminary review of the more involved proposals should also be completed.  The full committee can be consulted with any problematic issues.   There will be no meeting for the next two weeks to allow subcommittees to do their work. </w:t>
      </w:r>
      <w:r w:rsidR="00BA3CE7">
        <w:t>Camie will send revised summaries and instructions</w:t>
      </w:r>
      <w:r>
        <w:br/>
      </w:r>
    </w:p>
    <w:p w:rsidR="007C6FB4" w:rsidRDefault="007C6FB4" w:rsidP="00BF73FC">
      <w:pPr>
        <w:pStyle w:val="section1"/>
        <w:spacing w:before="0" w:beforeAutospacing="0" w:after="0" w:afterAutospacing="0"/>
        <w:ind w:left="720" w:firstLine="0"/>
      </w:pPr>
    </w:p>
    <w:tbl>
      <w:tblPr>
        <w:tblW w:w="69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60"/>
        <w:gridCol w:w="1170"/>
        <w:gridCol w:w="1170"/>
        <w:gridCol w:w="1350"/>
      </w:tblGrid>
      <w:tr w:rsidR="00BF73FC" w:rsidTr="00D0068A">
        <w:tc>
          <w:tcPr>
            <w:tcW w:w="1980" w:type="dxa"/>
            <w:shd w:val="clear" w:color="auto" w:fill="auto"/>
          </w:tcPr>
          <w:p w:rsidR="00BF73FC" w:rsidRDefault="00BF73FC" w:rsidP="007C6FB4">
            <w:pPr>
              <w:pStyle w:val="section1"/>
              <w:spacing w:before="0" w:beforeAutospacing="0" w:after="0" w:afterAutospacing="0"/>
              <w:ind w:firstLine="0"/>
            </w:pPr>
            <w:r>
              <w:t>Subcommittee</w:t>
            </w:r>
          </w:p>
        </w:tc>
        <w:tc>
          <w:tcPr>
            <w:tcW w:w="1260" w:type="dxa"/>
          </w:tcPr>
          <w:p w:rsidR="00BF73FC" w:rsidRDefault="00BF73FC" w:rsidP="007C6FB4">
            <w:pPr>
              <w:pStyle w:val="section1"/>
              <w:spacing w:before="0" w:beforeAutospacing="0" w:after="0" w:afterAutospacing="0"/>
              <w:ind w:firstLine="0"/>
            </w:pPr>
            <w:r>
              <w:t>e-</w:t>
            </w:r>
            <w:proofErr w:type="spellStart"/>
            <w:r>
              <w:t>curr</w:t>
            </w:r>
            <w:proofErr w:type="spellEnd"/>
          </w:p>
        </w:tc>
        <w:tc>
          <w:tcPr>
            <w:tcW w:w="1170" w:type="dxa"/>
          </w:tcPr>
          <w:p w:rsidR="00BF73FC" w:rsidRDefault="00BF73FC" w:rsidP="007C6FB4">
            <w:pPr>
              <w:pStyle w:val="section1"/>
              <w:spacing w:before="0" w:beforeAutospacing="0" w:after="0" w:afterAutospacing="0"/>
              <w:ind w:firstLine="0"/>
            </w:pPr>
            <w:proofErr w:type="spellStart"/>
            <w:r>
              <w:t>P</w:t>
            </w:r>
            <w:r w:rsidR="00D0068A">
              <w:t>rog</w:t>
            </w:r>
            <w:proofErr w:type="spellEnd"/>
            <w:r w:rsidR="00D0068A">
              <w:t xml:space="preserve"> </w:t>
            </w:r>
            <w:r>
              <w:t>M</w:t>
            </w:r>
            <w:r w:rsidR="00D0068A">
              <w:t>od</w:t>
            </w:r>
          </w:p>
        </w:tc>
        <w:tc>
          <w:tcPr>
            <w:tcW w:w="1170" w:type="dxa"/>
          </w:tcPr>
          <w:p w:rsidR="00BF73FC" w:rsidRDefault="00BF73FC" w:rsidP="007C6FB4">
            <w:pPr>
              <w:pStyle w:val="section1"/>
              <w:spacing w:before="0" w:beforeAutospacing="0" w:after="0" w:afterAutospacing="0"/>
              <w:ind w:firstLine="0"/>
            </w:pPr>
            <w:r>
              <w:t>L</w:t>
            </w:r>
            <w:r w:rsidR="00D0068A">
              <w:t xml:space="preserve">evel </w:t>
            </w:r>
            <w:r>
              <w:t>I</w:t>
            </w:r>
          </w:p>
        </w:tc>
        <w:tc>
          <w:tcPr>
            <w:tcW w:w="1350" w:type="dxa"/>
          </w:tcPr>
          <w:p w:rsidR="00BF73FC" w:rsidRDefault="00BF73FC" w:rsidP="007C6FB4">
            <w:pPr>
              <w:pStyle w:val="section1"/>
              <w:spacing w:before="0" w:beforeAutospacing="0" w:after="0" w:afterAutospacing="0"/>
              <w:ind w:firstLine="0"/>
            </w:pPr>
            <w:r>
              <w:t>L</w:t>
            </w:r>
            <w:r w:rsidR="00D0068A">
              <w:t xml:space="preserve">evel </w:t>
            </w:r>
            <w:r>
              <w:t>II</w:t>
            </w:r>
          </w:p>
        </w:tc>
      </w:tr>
      <w:tr w:rsidR="00BF73FC" w:rsidTr="00D0068A">
        <w:tc>
          <w:tcPr>
            <w:tcW w:w="1980" w:type="dxa"/>
            <w:shd w:val="clear" w:color="auto" w:fill="auto"/>
          </w:tcPr>
          <w:p w:rsidR="00BF73FC" w:rsidRDefault="00BF73FC" w:rsidP="007C6FB4">
            <w:pPr>
              <w:pStyle w:val="section1"/>
              <w:spacing w:before="0" w:beforeAutospacing="0" w:after="0" w:afterAutospacing="0"/>
              <w:ind w:firstLine="0"/>
            </w:pPr>
            <w:r>
              <w:t xml:space="preserve">Humanities </w:t>
            </w:r>
          </w:p>
        </w:tc>
        <w:tc>
          <w:tcPr>
            <w:tcW w:w="1260" w:type="dxa"/>
          </w:tcPr>
          <w:p w:rsidR="00BF73FC" w:rsidRDefault="00BF73FC" w:rsidP="007C6FB4">
            <w:pPr>
              <w:pStyle w:val="section1"/>
              <w:spacing w:before="0" w:beforeAutospacing="0" w:after="0" w:afterAutospacing="0"/>
              <w:ind w:firstLine="0"/>
            </w:pPr>
            <w:r>
              <w:t>19</w:t>
            </w:r>
          </w:p>
        </w:tc>
        <w:tc>
          <w:tcPr>
            <w:tcW w:w="1170" w:type="dxa"/>
          </w:tcPr>
          <w:p w:rsidR="00BF73FC" w:rsidRDefault="00BF73FC" w:rsidP="007C6FB4">
            <w:pPr>
              <w:pStyle w:val="section1"/>
              <w:spacing w:before="0" w:beforeAutospacing="0" w:after="0" w:afterAutospacing="0"/>
              <w:ind w:firstLine="0"/>
            </w:pPr>
          </w:p>
        </w:tc>
        <w:tc>
          <w:tcPr>
            <w:tcW w:w="1170" w:type="dxa"/>
          </w:tcPr>
          <w:p w:rsidR="00BF73FC" w:rsidRDefault="00BF73FC" w:rsidP="007C6FB4">
            <w:pPr>
              <w:pStyle w:val="section1"/>
              <w:spacing w:before="0" w:beforeAutospacing="0" w:after="0" w:afterAutospacing="0"/>
              <w:ind w:firstLine="0"/>
            </w:pPr>
          </w:p>
        </w:tc>
        <w:tc>
          <w:tcPr>
            <w:tcW w:w="1350" w:type="dxa"/>
          </w:tcPr>
          <w:p w:rsidR="00BF73FC" w:rsidRDefault="00BF73FC" w:rsidP="007C6FB4">
            <w:pPr>
              <w:pStyle w:val="section1"/>
              <w:spacing w:before="0" w:beforeAutospacing="0" w:after="0" w:afterAutospacing="0"/>
              <w:ind w:firstLine="0"/>
            </w:pPr>
          </w:p>
        </w:tc>
      </w:tr>
      <w:tr w:rsidR="00BF73FC" w:rsidTr="00D0068A">
        <w:tc>
          <w:tcPr>
            <w:tcW w:w="1980" w:type="dxa"/>
            <w:shd w:val="clear" w:color="auto" w:fill="auto"/>
          </w:tcPr>
          <w:p w:rsidR="00BF73FC" w:rsidRDefault="00BF73FC" w:rsidP="007C6FB4">
            <w:pPr>
              <w:pStyle w:val="section1"/>
              <w:spacing w:before="0" w:beforeAutospacing="0" w:after="0" w:afterAutospacing="0"/>
              <w:ind w:firstLine="0"/>
            </w:pPr>
            <w:r>
              <w:t xml:space="preserve">Professional </w:t>
            </w:r>
            <w:r>
              <w:lastRenderedPageBreak/>
              <w:t>Schools</w:t>
            </w:r>
          </w:p>
        </w:tc>
        <w:tc>
          <w:tcPr>
            <w:tcW w:w="1260" w:type="dxa"/>
          </w:tcPr>
          <w:p w:rsidR="00BF73FC" w:rsidRDefault="00BF73FC" w:rsidP="007C6FB4">
            <w:pPr>
              <w:pStyle w:val="section1"/>
              <w:spacing w:before="0" w:beforeAutospacing="0" w:after="0" w:afterAutospacing="0"/>
              <w:ind w:firstLine="0"/>
            </w:pPr>
            <w:r>
              <w:lastRenderedPageBreak/>
              <w:t>39</w:t>
            </w:r>
          </w:p>
        </w:tc>
        <w:tc>
          <w:tcPr>
            <w:tcW w:w="1170" w:type="dxa"/>
          </w:tcPr>
          <w:p w:rsidR="00BF73FC" w:rsidRDefault="00BF73FC" w:rsidP="007C6FB4">
            <w:pPr>
              <w:pStyle w:val="section1"/>
              <w:spacing w:before="0" w:beforeAutospacing="0" w:after="0" w:afterAutospacing="0"/>
              <w:ind w:firstLine="0"/>
            </w:pPr>
            <w:r>
              <w:t>0</w:t>
            </w:r>
          </w:p>
        </w:tc>
        <w:tc>
          <w:tcPr>
            <w:tcW w:w="1170" w:type="dxa"/>
          </w:tcPr>
          <w:p w:rsidR="00BF73FC" w:rsidRDefault="00BF73FC" w:rsidP="007C6FB4">
            <w:pPr>
              <w:pStyle w:val="section1"/>
              <w:spacing w:before="0" w:beforeAutospacing="0" w:after="0" w:afterAutospacing="0"/>
              <w:ind w:firstLine="0"/>
            </w:pPr>
            <w:r>
              <w:t>4</w:t>
            </w:r>
          </w:p>
        </w:tc>
        <w:tc>
          <w:tcPr>
            <w:tcW w:w="1350" w:type="dxa"/>
          </w:tcPr>
          <w:p w:rsidR="00BF73FC" w:rsidRDefault="00BF73FC" w:rsidP="007C6FB4">
            <w:pPr>
              <w:pStyle w:val="section1"/>
              <w:spacing w:before="0" w:beforeAutospacing="0" w:after="0" w:afterAutospacing="0"/>
              <w:ind w:firstLine="0"/>
            </w:pPr>
            <w:r>
              <w:t>3</w:t>
            </w:r>
          </w:p>
        </w:tc>
      </w:tr>
      <w:tr w:rsidR="00BF73FC" w:rsidTr="00D0068A">
        <w:tc>
          <w:tcPr>
            <w:tcW w:w="1980" w:type="dxa"/>
            <w:shd w:val="clear" w:color="auto" w:fill="auto"/>
          </w:tcPr>
          <w:p w:rsidR="00BF73FC" w:rsidRDefault="00BF73FC" w:rsidP="007C6FB4">
            <w:pPr>
              <w:pStyle w:val="section1"/>
              <w:spacing w:before="0" w:beforeAutospacing="0" w:after="0" w:afterAutospacing="0"/>
              <w:ind w:firstLine="0"/>
            </w:pPr>
            <w:r>
              <w:lastRenderedPageBreak/>
              <w:t>Science</w:t>
            </w:r>
          </w:p>
        </w:tc>
        <w:tc>
          <w:tcPr>
            <w:tcW w:w="1260" w:type="dxa"/>
          </w:tcPr>
          <w:p w:rsidR="00BF73FC" w:rsidRDefault="00BF73FC" w:rsidP="007C6FB4">
            <w:pPr>
              <w:pStyle w:val="section1"/>
              <w:spacing w:before="0" w:beforeAutospacing="0" w:after="0" w:afterAutospacing="0"/>
              <w:ind w:firstLine="0"/>
            </w:pPr>
            <w:r>
              <w:t>13</w:t>
            </w:r>
          </w:p>
        </w:tc>
        <w:tc>
          <w:tcPr>
            <w:tcW w:w="1170" w:type="dxa"/>
          </w:tcPr>
          <w:p w:rsidR="00BF73FC" w:rsidRDefault="00BF73FC" w:rsidP="007C6FB4">
            <w:pPr>
              <w:pStyle w:val="section1"/>
              <w:spacing w:before="0" w:beforeAutospacing="0" w:after="0" w:afterAutospacing="0"/>
              <w:ind w:firstLine="0"/>
            </w:pPr>
            <w:r>
              <w:t>2</w:t>
            </w:r>
          </w:p>
        </w:tc>
        <w:tc>
          <w:tcPr>
            <w:tcW w:w="1170" w:type="dxa"/>
          </w:tcPr>
          <w:p w:rsidR="00BF73FC" w:rsidRDefault="00BF73FC" w:rsidP="007C6FB4">
            <w:pPr>
              <w:pStyle w:val="section1"/>
              <w:spacing w:before="0" w:beforeAutospacing="0" w:after="0" w:afterAutospacing="0"/>
              <w:ind w:firstLine="0"/>
            </w:pPr>
            <w:r>
              <w:t>1</w:t>
            </w:r>
          </w:p>
        </w:tc>
        <w:tc>
          <w:tcPr>
            <w:tcW w:w="1350" w:type="dxa"/>
          </w:tcPr>
          <w:p w:rsidR="00BF73FC" w:rsidRDefault="00BF73FC" w:rsidP="007C6FB4">
            <w:pPr>
              <w:pStyle w:val="section1"/>
              <w:spacing w:before="0" w:beforeAutospacing="0" w:after="0" w:afterAutospacing="0"/>
              <w:ind w:firstLine="0"/>
            </w:pPr>
            <w:r>
              <w:t>1</w:t>
            </w:r>
          </w:p>
        </w:tc>
      </w:tr>
      <w:tr w:rsidR="00BF73FC" w:rsidTr="00D0068A">
        <w:tc>
          <w:tcPr>
            <w:tcW w:w="1980" w:type="dxa"/>
            <w:shd w:val="clear" w:color="auto" w:fill="auto"/>
          </w:tcPr>
          <w:p w:rsidR="00BF73FC" w:rsidRDefault="00BF73FC" w:rsidP="007C6FB4">
            <w:pPr>
              <w:pStyle w:val="section1"/>
              <w:spacing w:before="0" w:beforeAutospacing="0" w:after="0" w:afterAutospacing="0"/>
              <w:ind w:firstLine="0"/>
            </w:pPr>
            <w:r>
              <w:t>Social Science</w:t>
            </w:r>
          </w:p>
        </w:tc>
        <w:tc>
          <w:tcPr>
            <w:tcW w:w="1260" w:type="dxa"/>
          </w:tcPr>
          <w:p w:rsidR="00BF73FC" w:rsidRDefault="00BF73FC" w:rsidP="007C6FB4">
            <w:pPr>
              <w:pStyle w:val="section1"/>
              <w:spacing w:before="0" w:beforeAutospacing="0" w:after="0" w:afterAutospacing="0"/>
              <w:ind w:firstLine="0"/>
            </w:pPr>
            <w:r>
              <w:t>22</w:t>
            </w:r>
          </w:p>
        </w:tc>
        <w:tc>
          <w:tcPr>
            <w:tcW w:w="1170" w:type="dxa"/>
          </w:tcPr>
          <w:p w:rsidR="00BF73FC" w:rsidRDefault="00BF73FC" w:rsidP="007C6FB4">
            <w:pPr>
              <w:pStyle w:val="section1"/>
              <w:spacing w:before="0" w:beforeAutospacing="0" w:after="0" w:afterAutospacing="0"/>
              <w:ind w:firstLine="0"/>
            </w:pPr>
            <w:r>
              <w:t>0</w:t>
            </w:r>
          </w:p>
        </w:tc>
        <w:tc>
          <w:tcPr>
            <w:tcW w:w="1170" w:type="dxa"/>
          </w:tcPr>
          <w:p w:rsidR="00BF73FC" w:rsidRDefault="00BF73FC" w:rsidP="007C6FB4">
            <w:pPr>
              <w:pStyle w:val="section1"/>
              <w:spacing w:before="0" w:beforeAutospacing="0" w:after="0" w:afterAutospacing="0"/>
              <w:ind w:firstLine="0"/>
            </w:pPr>
            <w:r>
              <w:t>1</w:t>
            </w:r>
          </w:p>
        </w:tc>
        <w:tc>
          <w:tcPr>
            <w:tcW w:w="1350" w:type="dxa"/>
          </w:tcPr>
          <w:p w:rsidR="00BF73FC" w:rsidRDefault="00BF73FC" w:rsidP="007C6FB4">
            <w:pPr>
              <w:pStyle w:val="section1"/>
              <w:spacing w:before="0" w:beforeAutospacing="0" w:after="0" w:afterAutospacing="0"/>
              <w:ind w:firstLine="0"/>
            </w:pPr>
            <w:r>
              <w:t>1</w:t>
            </w:r>
          </w:p>
        </w:tc>
      </w:tr>
    </w:tbl>
    <w:p w:rsidR="00006B2E" w:rsidRDefault="00006B2E" w:rsidP="00DC36F6">
      <w:pPr>
        <w:tabs>
          <w:tab w:val="left" w:pos="6078"/>
        </w:tabs>
      </w:pPr>
    </w:p>
    <w:p w:rsidR="00D0068A" w:rsidRPr="00D0068A" w:rsidRDefault="00D0068A" w:rsidP="00D0068A">
      <w:pPr>
        <w:pStyle w:val="ListParagraph"/>
        <w:numPr>
          <w:ilvl w:val="0"/>
          <w:numId w:val="4"/>
        </w:numPr>
        <w:rPr>
          <w:rFonts w:ascii="Tahoma" w:hAnsi="Tahoma" w:cs="Tahoma"/>
          <w:color w:val="000000"/>
          <w:sz w:val="20"/>
          <w:szCs w:val="20"/>
        </w:rPr>
      </w:pPr>
      <w:r>
        <w:t xml:space="preserve">The following language was reviewed, edited and approved to include in the documentation requests for program review.  </w:t>
      </w:r>
      <w:r>
        <w:br/>
      </w:r>
    </w:p>
    <w:p w:rsidR="00D0068A" w:rsidRPr="00D0068A" w:rsidRDefault="00D0068A" w:rsidP="00D0068A">
      <w:pPr>
        <w:pStyle w:val="ListParagraph"/>
        <w:ind w:left="1170"/>
        <w:rPr>
          <w:rFonts w:ascii="Tahoma" w:hAnsi="Tahoma" w:cs="Tahoma"/>
          <w:color w:val="000000"/>
          <w:sz w:val="20"/>
          <w:szCs w:val="20"/>
        </w:rPr>
      </w:pPr>
      <w:r w:rsidRPr="00D0068A">
        <w:rPr>
          <w:rFonts w:ascii="Tahoma" w:hAnsi="Tahoma" w:cs="Tahoma"/>
          <w:color w:val="000000"/>
          <w:sz w:val="20"/>
          <w:szCs w:val="20"/>
        </w:rPr>
        <w:t xml:space="preserve">External Review (to be inserted after "an analysis of the level of scholarly productivity"): </w:t>
      </w:r>
      <w:r w:rsidRPr="00D0068A">
        <w:rPr>
          <w:rFonts w:ascii="Tahoma" w:hAnsi="Tahoma" w:cs="Tahoma"/>
          <w:color w:val="000000"/>
          <w:sz w:val="20"/>
          <w:szCs w:val="20"/>
        </w:rPr>
        <w:br/>
        <w:t xml:space="preserve">an evaluation of the qualification of faculty to teach graduate courses, with special attention paid to currency in the field, as measured by recent professional activity (recent publications, conference presentation, re-certification, </w:t>
      </w:r>
      <w:proofErr w:type="spellStart"/>
      <w:r w:rsidRPr="00D0068A">
        <w:rPr>
          <w:rFonts w:ascii="Tahoma" w:hAnsi="Tahoma" w:cs="Tahoma"/>
          <w:color w:val="000000"/>
          <w:sz w:val="20"/>
          <w:szCs w:val="20"/>
        </w:rPr>
        <w:t>etc</w:t>
      </w:r>
      <w:proofErr w:type="spellEnd"/>
      <w:r w:rsidRPr="00D0068A">
        <w:rPr>
          <w:rFonts w:ascii="Tahoma" w:hAnsi="Tahoma" w:cs="Tahoma"/>
          <w:color w:val="000000"/>
          <w:sz w:val="20"/>
          <w:szCs w:val="20"/>
        </w:rPr>
        <w:t xml:space="preserve">). </w:t>
      </w:r>
      <w:r w:rsidRPr="00D0068A">
        <w:rPr>
          <w:rFonts w:ascii="Tahoma" w:hAnsi="Tahoma" w:cs="Tahoma"/>
          <w:color w:val="000000"/>
          <w:sz w:val="20"/>
          <w:szCs w:val="20"/>
        </w:rPr>
        <w:br/>
      </w:r>
      <w:r w:rsidRPr="00D0068A">
        <w:rPr>
          <w:rFonts w:ascii="Tahoma" w:hAnsi="Tahoma" w:cs="Tahoma"/>
          <w:color w:val="000000"/>
          <w:sz w:val="20"/>
          <w:szCs w:val="20"/>
        </w:rPr>
        <w:br/>
        <w:t>Self-Study</w:t>
      </w:r>
      <w:r w:rsidRPr="00D0068A">
        <w:rPr>
          <w:rFonts w:ascii="Tahoma" w:hAnsi="Tahoma" w:cs="Tahoma"/>
          <w:color w:val="000000"/>
          <w:sz w:val="20"/>
          <w:szCs w:val="20"/>
        </w:rPr>
        <w:br/>
        <w:t xml:space="preserve">Does your Department regularly evaluate faculty with respect to their qualification to teach in the graduate programs? Are there means of establishing, or losing, qualification to teach graduate classes? If not, can you provide information on the currency of knowledge of your faculty? (e.g., "10 of our 12 faculty have publications within the last 5 years" or "All professors who have taught a graduate course in the review period have published, or shown professional competence, in their teaching areas during the period of review."). </w:t>
      </w:r>
      <w:r>
        <w:rPr>
          <w:rFonts w:ascii="Tahoma" w:hAnsi="Tahoma" w:cs="Tahoma"/>
          <w:color w:val="000000"/>
          <w:sz w:val="20"/>
          <w:szCs w:val="20"/>
        </w:rPr>
        <w:br/>
      </w:r>
      <w:r>
        <w:rPr>
          <w:rFonts w:ascii="Tahoma" w:hAnsi="Tahoma" w:cs="Tahoma"/>
          <w:color w:val="000000"/>
          <w:sz w:val="20"/>
          <w:szCs w:val="20"/>
        </w:rPr>
        <w:br/>
      </w:r>
    </w:p>
    <w:p w:rsidR="00006B2E" w:rsidRDefault="00D0068A" w:rsidP="0047249D">
      <w:pPr>
        <w:pStyle w:val="ListParagraph"/>
        <w:numPr>
          <w:ilvl w:val="0"/>
          <w:numId w:val="1"/>
        </w:numPr>
        <w:tabs>
          <w:tab w:val="left" w:pos="6078"/>
        </w:tabs>
      </w:pPr>
      <w:r>
        <w:t xml:space="preserve">The Council briefly discussed the </w:t>
      </w:r>
      <w:r w:rsidR="00006B2E">
        <w:t xml:space="preserve">Economics Program Review </w:t>
      </w:r>
      <w:r>
        <w:t>document.  It was approved pending the addition of language indicat</w:t>
      </w:r>
      <w:r w:rsidR="00A65375">
        <w:t>ing</w:t>
      </w:r>
      <w:r>
        <w:t xml:space="preserve"> </w:t>
      </w:r>
      <w:r w:rsidR="00A65375">
        <w:t xml:space="preserve">the reviewers met with the department chair and a recommendation that input of graduate students should be included in assessment of graduate programs. </w:t>
      </w:r>
      <w:r w:rsidR="00006B2E">
        <w:t xml:space="preserve">. </w:t>
      </w:r>
    </w:p>
    <w:p w:rsidR="0047249D" w:rsidRDefault="00A65375" w:rsidP="0047249D">
      <w:pPr>
        <w:pStyle w:val="Heading2"/>
      </w:pPr>
      <w:r>
        <w:br/>
      </w:r>
      <w:r w:rsidR="0047249D">
        <w:t>Adjournment</w:t>
      </w:r>
    </w:p>
    <w:p w:rsidR="00A65375" w:rsidRDefault="00A65375" w:rsidP="00DC36F6">
      <w:pPr>
        <w:tabs>
          <w:tab w:val="left" w:pos="6078"/>
        </w:tabs>
      </w:pPr>
      <w:r>
        <w:t>The meeting was adjourned at 1:03 p.m.</w:t>
      </w:r>
    </w:p>
    <w:p w:rsidR="00DC36F6" w:rsidRDefault="00DC36F6" w:rsidP="00DC36F6">
      <w:pPr>
        <w:tabs>
          <w:tab w:val="left" w:pos="6078"/>
        </w:tabs>
      </w:pPr>
      <w:bookmarkStart w:id="0" w:name="_GoBack"/>
      <w:bookmarkEnd w:id="0"/>
    </w:p>
    <w:tbl>
      <w:tblPr>
        <w:tblW w:w="9555" w:type="dxa"/>
        <w:tblInd w:w="93" w:type="dxa"/>
        <w:tblLook w:val="04A0" w:firstRow="1" w:lastRow="0" w:firstColumn="1" w:lastColumn="0" w:noHBand="0" w:noVBand="1"/>
      </w:tblPr>
      <w:tblGrid>
        <w:gridCol w:w="2620"/>
        <w:gridCol w:w="1320"/>
        <w:gridCol w:w="1320"/>
        <w:gridCol w:w="965"/>
        <w:gridCol w:w="821"/>
        <w:gridCol w:w="821"/>
        <w:gridCol w:w="788"/>
        <w:gridCol w:w="909"/>
      </w:tblGrid>
      <w:tr w:rsidR="0047249D" w:rsidRPr="0047249D" w:rsidTr="0047249D">
        <w:trPr>
          <w:trHeight w:val="315"/>
        </w:trPr>
        <w:tc>
          <w:tcPr>
            <w:tcW w:w="2620"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Peer institutions</w:t>
            </w:r>
          </w:p>
        </w:tc>
        <w:tc>
          <w:tcPr>
            <w:tcW w:w="1320"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c>
          <w:tcPr>
            <w:tcW w:w="1320"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c>
          <w:tcPr>
            <w:tcW w:w="965"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c>
          <w:tcPr>
            <w:tcW w:w="821"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c>
          <w:tcPr>
            <w:tcW w:w="821"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c>
          <w:tcPr>
            <w:tcW w:w="788"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c>
          <w:tcPr>
            <w:tcW w:w="900" w:type="dxa"/>
            <w:tcBorders>
              <w:top w:val="nil"/>
              <w:left w:val="nil"/>
              <w:bottom w:val="nil"/>
              <w:right w:val="nil"/>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
        </w:tc>
      </w:tr>
      <w:tr w:rsidR="0047249D" w:rsidRPr="0047249D" w:rsidTr="0047249D">
        <w:trPr>
          <w:trHeight w:val="665"/>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 xml:space="preserve">Total students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Graduate Population</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roofErr w:type="spellStart"/>
            <w:r w:rsidRPr="0047249D">
              <w:rPr>
                <w:rFonts w:ascii="Calibri" w:eastAsia="Times New Roman" w:hAnsi="Calibri" w:cs="Calibri"/>
                <w:color w:val="000000"/>
                <w:sz w:val="24"/>
                <w:szCs w:val="24"/>
              </w:rPr>
              <w:t>TOEFL</w:t>
            </w:r>
            <w:proofErr w:type="spellEnd"/>
            <w:r w:rsidRPr="0047249D">
              <w:rPr>
                <w:rFonts w:ascii="Calibri" w:eastAsia="Times New Roman" w:hAnsi="Calibri" w:cs="Calibri"/>
                <w:color w:val="000000"/>
                <w:sz w:val="24"/>
                <w:szCs w:val="24"/>
              </w:rPr>
              <w:t xml:space="preserve"> </w:t>
            </w:r>
            <w:proofErr w:type="spellStart"/>
            <w:r w:rsidRPr="0047249D">
              <w:rPr>
                <w:rFonts w:ascii="Calibri" w:eastAsia="Times New Roman" w:hAnsi="Calibri" w:cs="Calibri"/>
                <w:color w:val="000000"/>
                <w:sz w:val="24"/>
                <w:szCs w:val="24"/>
              </w:rPr>
              <w:t>PBT</w:t>
            </w:r>
            <w:proofErr w:type="spellEnd"/>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roofErr w:type="spellStart"/>
            <w:r w:rsidRPr="0047249D">
              <w:rPr>
                <w:rFonts w:ascii="Calibri" w:eastAsia="Times New Roman" w:hAnsi="Calibri" w:cs="Calibri"/>
                <w:color w:val="000000"/>
                <w:sz w:val="24"/>
                <w:szCs w:val="24"/>
              </w:rPr>
              <w:t>TOEFL</w:t>
            </w:r>
            <w:proofErr w:type="spellEnd"/>
            <w:r w:rsidRPr="0047249D">
              <w:rPr>
                <w:rFonts w:ascii="Calibri" w:eastAsia="Times New Roman" w:hAnsi="Calibri" w:cs="Calibri"/>
                <w:color w:val="000000"/>
                <w:sz w:val="24"/>
                <w:szCs w:val="24"/>
              </w:rPr>
              <w:t xml:space="preserve"> CBT</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roofErr w:type="spellStart"/>
            <w:r w:rsidRPr="0047249D">
              <w:rPr>
                <w:rFonts w:ascii="Calibri" w:eastAsia="Times New Roman" w:hAnsi="Calibri" w:cs="Calibri"/>
                <w:color w:val="000000"/>
                <w:sz w:val="24"/>
                <w:szCs w:val="24"/>
              </w:rPr>
              <w:t>TOEFL</w:t>
            </w:r>
            <w:proofErr w:type="spellEnd"/>
            <w:r w:rsidRPr="0047249D">
              <w:rPr>
                <w:rFonts w:ascii="Calibri" w:eastAsia="Times New Roman" w:hAnsi="Calibri" w:cs="Calibri"/>
                <w:color w:val="000000"/>
                <w:sz w:val="24"/>
                <w:szCs w:val="24"/>
              </w:rPr>
              <w:t xml:space="preserve"> </w:t>
            </w:r>
            <w:proofErr w:type="spellStart"/>
            <w:r w:rsidRPr="0047249D">
              <w:rPr>
                <w:rFonts w:ascii="Calibri" w:eastAsia="Times New Roman" w:hAnsi="Calibri" w:cs="Calibri"/>
                <w:color w:val="000000"/>
                <w:sz w:val="24"/>
                <w:szCs w:val="24"/>
              </w:rPr>
              <w:t>iBT</w:t>
            </w:r>
            <w:proofErr w:type="spellEnd"/>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roofErr w:type="spellStart"/>
            <w:r w:rsidRPr="0047249D">
              <w:rPr>
                <w:rFonts w:ascii="Calibri" w:eastAsia="Times New Roman" w:hAnsi="Calibri" w:cs="Calibri"/>
                <w:color w:val="000000"/>
                <w:sz w:val="24"/>
                <w:szCs w:val="24"/>
              </w:rPr>
              <w:t>IELTS</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proofErr w:type="spellStart"/>
            <w:r w:rsidRPr="0047249D">
              <w:rPr>
                <w:rFonts w:ascii="Calibri" w:eastAsia="Times New Roman" w:hAnsi="Calibri" w:cs="Calibri"/>
                <w:color w:val="000000"/>
                <w:sz w:val="24"/>
                <w:szCs w:val="24"/>
              </w:rPr>
              <w:t>MELAB</w:t>
            </w:r>
            <w:proofErr w:type="spellEnd"/>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The University of Montana</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14,946</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2,289</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580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237</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92</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83</w:t>
            </w:r>
          </w:p>
        </w:tc>
      </w:tr>
      <w:tr w:rsidR="0047249D" w:rsidRPr="0047249D" w:rsidTr="0047249D">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Montana State University - Bozeman</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14,269</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1,590</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80</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Montana Tech</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2,010</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166</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78</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Idaho</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12,420</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2,491</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79</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77</w:t>
            </w:r>
          </w:p>
        </w:tc>
      </w:tr>
      <w:tr w:rsidR="0047249D" w:rsidRPr="0047249D" w:rsidTr="0047249D">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New Hampshire</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15,267</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2,463</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213</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80</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476"/>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lastRenderedPageBreak/>
              <w:t>University of Vermont</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13,098</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1,887</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213</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90</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Alaska Anchorage</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17,497</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999</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450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45</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1260"/>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Rhode Island</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16,451</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3,075</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80 (min R 20, W 22, L 17, S 17; TA S 23)</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Maine</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10,901</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2,123</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550; TA 580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213</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79</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xml:space="preserve">University of Hawaii at </w:t>
            </w:r>
            <w:proofErr w:type="spellStart"/>
            <w:r w:rsidRPr="0047249D">
              <w:rPr>
                <w:rFonts w:ascii="Calibri" w:eastAsia="Times New Roman" w:hAnsi="Calibri" w:cs="Calibri"/>
                <w:color w:val="000000"/>
                <w:sz w:val="24"/>
                <w:szCs w:val="24"/>
              </w:rPr>
              <w:t>Manoa</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20,426</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5,771</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TA: 600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TA: 100</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6/ TA 7</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West Virginia University</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29,707</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6,880</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213</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79</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Wyoming</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12,903</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2,709</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540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76</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r w:rsidR="0047249D" w:rsidRPr="0047249D" w:rsidTr="0047249D">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University of Delaware</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21,856</w:t>
            </w:r>
          </w:p>
        </w:tc>
        <w:tc>
          <w:tcPr>
            <w:tcW w:w="132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center"/>
              <w:rPr>
                <w:rFonts w:ascii="Calibri" w:eastAsia="Times New Roman" w:hAnsi="Calibri" w:cs="Calibri"/>
                <w:color w:val="000000"/>
                <w:sz w:val="24"/>
                <w:szCs w:val="24"/>
              </w:rPr>
            </w:pPr>
            <w:r w:rsidRPr="0047249D">
              <w:rPr>
                <w:rFonts w:ascii="Calibri" w:eastAsia="Times New Roman" w:hAnsi="Calibri" w:cs="Calibri"/>
                <w:color w:val="000000"/>
                <w:sz w:val="24"/>
                <w:szCs w:val="24"/>
              </w:rPr>
              <w:t>3,654</w:t>
            </w:r>
          </w:p>
        </w:tc>
        <w:tc>
          <w:tcPr>
            <w:tcW w:w="965"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550</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79</w:t>
            </w:r>
          </w:p>
        </w:tc>
        <w:tc>
          <w:tcPr>
            <w:tcW w:w="788"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jc w:val="right"/>
              <w:rPr>
                <w:rFonts w:ascii="Calibri" w:eastAsia="Times New Roman" w:hAnsi="Calibri" w:cs="Calibri"/>
                <w:color w:val="000000"/>
                <w:sz w:val="24"/>
                <w:szCs w:val="24"/>
              </w:rPr>
            </w:pPr>
            <w:r w:rsidRPr="0047249D">
              <w:rPr>
                <w:rFonts w:ascii="Calibri" w:eastAsia="Times New Roman" w:hAnsi="Calibri" w:cs="Calibri"/>
                <w:color w:val="000000"/>
                <w:sz w:val="24"/>
                <w:szCs w:val="24"/>
              </w:rPr>
              <w:t>6.5</w:t>
            </w:r>
          </w:p>
        </w:tc>
        <w:tc>
          <w:tcPr>
            <w:tcW w:w="900" w:type="dxa"/>
            <w:tcBorders>
              <w:top w:val="nil"/>
              <w:left w:val="nil"/>
              <w:bottom w:val="single" w:sz="4" w:space="0" w:color="auto"/>
              <w:right w:val="single" w:sz="4" w:space="0" w:color="auto"/>
            </w:tcBorders>
            <w:shd w:val="clear" w:color="auto" w:fill="auto"/>
            <w:noWrap/>
            <w:vAlign w:val="bottom"/>
            <w:hideMark/>
          </w:tcPr>
          <w:p w:rsidR="0047249D" w:rsidRPr="0047249D" w:rsidRDefault="0047249D" w:rsidP="0047249D">
            <w:pPr>
              <w:spacing w:after="0" w:line="240" w:lineRule="auto"/>
              <w:rPr>
                <w:rFonts w:ascii="Calibri" w:eastAsia="Times New Roman" w:hAnsi="Calibri" w:cs="Calibri"/>
                <w:color w:val="000000"/>
                <w:sz w:val="24"/>
                <w:szCs w:val="24"/>
              </w:rPr>
            </w:pPr>
            <w:r w:rsidRPr="0047249D">
              <w:rPr>
                <w:rFonts w:ascii="Calibri" w:eastAsia="Times New Roman" w:hAnsi="Calibri" w:cs="Calibri"/>
                <w:color w:val="000000"/>
                <w:sz w:val="24"/>
                <w:szCs w:val="24"/>
              </w:rPr>
              <w:t> </w:t>
            </w:r>
          </w:p>
        </w:tc>
      </w:tr>
    </w:tbl>
    <w:p w:rsidR="0047249D" w:rsidRPr="00DC36F6" w:rsidRDefault="0047249D" w:rsidP="00DC36F6">
      <w:pPr>
        <w:tabs>
          <w:tab w:val="left" w:pos="6078"/>
        </w:tabs>
      </w:pPr>
    </w:p>
    <w:sectPr w:rsidR="0047249D" w:rsidRPr="00DC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DB2"/>
    <w:multiLevelType w:val="hybridMultilevel"/>
    <w:tmpl w:val="291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1738A"/>
    <w:multiLevelType w:val="hybridMultilevel"/>
    <w:tmpl w:val="964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83E4D"/>
    <w:multiLevelType w:val="hybridMultilevel"/>
    <w:tmpl w:val="8B8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F6"/>
    <w:rsid w:val="00006B2E"/>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4A0E"/>
    <w:rsid w:val="000E5821"/>
    <w:rsid w:val="000E6789"/>
    <w:rsid w:val="000E7B4B"/>
    <w:rsid w:val="000F0E9B"/>
    <w:rsid w:val="000F3B09"/>
    <w:rsid w:val="000F46C9"/>
    <w:rsid w:val="000F5E70"/>
    <w:rsid w:val="00100B83"/>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367A0"/>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87"/>
    <w:rsid w:val="001A31A3"/>
    <w:rsid w:val="001A3D38"/>
    <w:rsid w:val="001A59C0"/>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11451"/>
    <w:rsid w:val="00211785"/>
    <w:rsid w:val="002125F7"/>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9C5"/>
    <w:rsid w:val="002C4CB1"/>
    <w:rsid w:val="002C4F75"/>
    <w:rsid w:val="002C5FA7"/>
    <w:rsid w:val="002C72BB"/>
    <w:rsid w:val="002D1A26"/>
    <w:rsid w:val="002D556F"/>
    <w:rsid w:val="002D6E09"/>
    <w:rsid w:val="002F3462"/>
    <w:rsid w:val="002F3AFD"/>
    <w:rsid w:val="002F4650"/>
    <w:rsid w:val="002F7A2E"/>
    <w:rsid w:val="00300702"/>
    <w:rsid w:val="003021B6"/>
    <w:rsid w:val="0030462D"/>
    <w:rsid w:val="00306C82"/>
    <w:rsid w:val="00310C67"/>
    <w:rsid w:val="00314890"/>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249D"/>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410D"/>
    <w:rsid w:val="004D7262"/>
    <w:rsid w:val="004D7992"/>
    <w:rsid w:val="004E06C8"/>
    <w:rsid w:val="004E25EE"/>
    <w:rsid w:val="004E27C4"/>
    <w:rsid w:val="004F245E"/>
    <w:rsid w:val="004F3BC7"/>
    <w:rsid w:val="004F5165"/>
    <w:rsid w:val="004F7FCC"/>
    <w:rsid w:val="0050032C"/>
    <w:rsid w:val="0050348E"/>
    <w:rsid w:val="00503516"/>
    <w:rsid w:val="00505E62"/>
    <w:rsid w:val="00514DAD"/>
    <w:rsid w:val="00516A0E"/>
    <w:rsid w:val="005215E3"/>
    <w:rsid w:val="005227FD"/>
    <w:rsid w:val="005236B4"/>
    <w:rsid w:val="00524CF1"/>
    <w:rsid w:val="00526D41"/>
    <w:rsid w:val="00532876"/>
    <w:rsid w:val="0053307C"/>
    <w:rsid w:val="005332E5"/>
    <w:rsid w:val="005370FB"/>
    <w:rsid w:val="00542120"/>
    <w:rsid w:val="005426F8"/>
    <w:rsid w:val="0055162C"/>
    <w:rsid w:val="0055482A"/>
    <w:rsid w:val="005556CC"/>
    <w:rsid w:val="00555870"/>
    <w:rsid w:val="00555902"/>
    <w:rsid w:val="00562B89"/>
    <w:rsid w:val="00563BAA"/>
    <w:rsid w:val="00566CBF"/>
    <w:rsid w:val="00567266"/>
    <w:rsid w:val="00572CAB"/>
    <w:rsid w:val="00576678"/>
    <w:rsid w:val="005767D7"/>
    <w:rsid w:val="005854E7"/>
    <w:rsid w:val="00586E17"/>
    <w:rsid w:val="005877CE"/>
    <w:rsid w:val="00595D78"/>
    <w:rsid w:val="00597FF4"/>
    <w:rsid w:val="005A6CD6"/>
    <w:rsid w:val="005B379E"/>
    <w:rsid w:val="005B51AA"/>
    <w:rsid w:val="005C3E52"/>
    <w:rsid w:val="005D4766"/>
    <w:rsid w:val="005D5D6D"/>
    <w:rsid w:val="005E398C"/>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59F7"/>
    <w:rsid w:val="00686E98"/>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218AD"/>
    <w:rsid w:val="007249CC"/>
    <w:rsid w:val="00726B57"/>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C6FB4"/>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1099B"/>
    <w:rsid w:val="008153B6"/>
    <w:rsid w:val="008154DC"/>
    <w:rsid w:val="00816D65"/>
    <w:rsid w:val="00823674"/>
    <w:rsid w:val="00824FC2"/>
    <w:rsid w:val="00830680"/>
    <w:rsid w:val="00831F03"/>
    <w:rsid w:val="00832F00"/>
    <w:rsid w:val="0083614F"/>
    <w:rsid w:val="00837699"/>
    <w:rsid w:val="0084190E"/>
    <w:rsid w:val="00842ADB"/>
    <w:rsid w:val="0084667C"/>
    <w:rsid w:val="00846F26"/>
    <w:rsid w:val="00847544"/>
    <w:rsid w:val="0085081B"/>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DBF"/>
    <w:rsid w:val="008A0A4D"/>
    <w:rsid w:val="008A6EAA"/>
    <w:rsid w:val="008B2BD6"/>
    <w:rsid w:val="008B3E2C"/>
    <w:rsid w:val="008B402B"/>
    <w:rsid w:val="008B75BB"/>
    <w:rsid w:val="008B7678"/>
    <w:rsid w:val="008C1B3E"/>
    <w:rsid w:val="008C4168"/>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3D9A"/>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67DE"/>
    <w:rsid w:val="00A1558F"/>
    <w:rsid w:val="00A16F2D"/>
    <w:rsid w:val="00A213CE"/>
    <w:rsid w:val="00A21C5A"/>
    <w:rsid w:val="00A24EA9"/>
    <w:rsid w:val="00A256E6"/>
    <w:rsid w:val="00A274DE"/>
    <w:rsid w:val="00A32878"/>
    <w:rsid w:val="00A34320"/>
    <w:rsid w:val="00A348F7"/>
    <w:rsid w:val="00A34E56"/>
    <w:rsid w:val="00A368D3"/>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5375"/>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9A9"/>
    <w:rsid w:val="00B85257"/>
    <w:rsid w:val="00B857D5"/>
    <w:rsid w:val="00B8760A"/>
    <w:rsid w:val="00B908A8"/>
    <w:rsid w:val="00B93B69"/>
    <w:rsid w:val="00B9510D"/>
    <w:rsid w:val="00B971F5"/>
    <w:rsid w:val="00BA3CE7"/>
    <w:rsid w:val="00BA4AFD"/>
    <w:rsid w:val="00BA5758"/>
    <w:rsid w:val="00BB12B7"/>
    <w:rsid w:val="00BB2B65"/>
    <w:rsid w:val="00BB7662"/>
    <w:rsid w:val="00BC0615"/>
    <w:rsid w:val="00BC1223"/>
    <w:rsid w:val="00BC4280"/>
    <w:rsid w:val="00BC5546"/>
    <w:rsid w:val="00BC7E9E"/>
    <w:rsid w:val="00BD0D47"/>
    <w:rsid w:val="00BD7BA8"/>
    <w:rsid w:val="00BE1793"/>
    <w:rsid w:val="00BE39D4"/>
    <w:rsid w:val="00BE3E1D"/>
    <w:rsid w:val="00BE4627"/>
    <w:rsid w:val="00BE7EE2"/>
    <w:rsid w:val="00BF1A4F"/>
    <w:rsid w:val="00BF67DF"/>
    <w:rsid w:val="00BF73FC"/>
    <w:rsid w:val="00BF7700"/>
    <w:rsid w:val="00C04C79"/>
    <w:rsid w:val="00C13542"/>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D004D4"/>
    <w:rsid w:val="00D0068A"/>
    <w:rsid w:val="00D01B5B"/>
    <w:rsid w:val="00D037FC"/>
    <w:rsid w:val="00D07466"/>
    <w:rsid w:val="00D118F9"/>
    <w:rsid w:val="00D12209"/>
    <w:rsid w:val="00D153B9"/>
    <w:rsid w:val="00D164AC"/>
    <w:rsid w:val="00D16817"/>
    <w:rsid w:val="00D16CFF"/>
    <w:rsid w:val="00D21345"/>
    <w:rsid w:val="00D24F04"/>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36F6"/>
    <w:rsid w:val="00DC536E"/>
    <w:rsid w:val="00DD11F7"/>
    <w:rsid w:val="00DD2433"/>
    <w:rsid w:val="00DD24CE"/>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37761"/>
    <w:rsid w:val="00E42638"/>
    <w:rsid w:val="00E44DFB"/>
    <w:rsid w:val="00E44E53"/>
    <w:rsid w:val="00E50FEE"/>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35B0"/>
    <w:rsid w:val="00F856D0"/>
    <w:rsid w:val="00F92A72"/>
    <w:rsid w:val="00F93303"/>
    <w:rsid w:val="00F944BA"/>
    <w:rsid w:val="00F950C1"/>
    <w:rsid w:val="00FA0233"/>
    <w:rsid w:val="00FA14D2"/>
    <w:rsid w:val="00FA2CE0"/>
    <w:rsid w:val="00FA375B"/>
    <w:rsid w:val="00FA4E2B"/>
    <w:rsid w:val="00FA57B6"/>
    <w:rsid w:val="00FA5F60"/>
    <w:rsid w:val="00FA7E0B"/>
    <w:rsid w:val="00FB34C5"/>
    <w:rsid w:val="00FC205F"/>
    <w:rsid w:val="00FC7C03"/>
    <w:rsid w:val="00FD02D0"/>
    <w:rsid w:val="00FD10F8"/>
    <w:rsid w:val="00FD2E09"/>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187"/>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1A3187"/>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87"/>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1A3187"/>
    <w:rPr>
      <w:rFonts w:ascii="Cambria" w:eastAsia="Times New Roman" w:hAnsi="Cambria" w:cs="Times New Roman"/>
      <w:smallCaps/>
      <w:sz w:val="28"/>
      <w:szCs w:val="28"/>
    </w:rPr>
  </w:style>
  <w:style w:type="paragraph" w:styleId="ListParagraph">
    <w:name w:val="List Paragraph"/>
    <w:basedOn w:val="Normal"/>
    <w:uiPriority w:val="34"/>
    <w:qFormat/>
    <w:rsid w:val="00E37761"/>
    <w:pPr>
      <w:ind w:left="720"/>
      <w:contextualSpacing/>
    </w:pPr>
  </w:style>
  <w:style w:type="paragraph" w:customStyle="1" w:styleId="section1">
    <w:name w:val="section1"/>
    <w:basedOn w:val="Normal"/>
    <w:rsid w:val="007C6FB4"/>
    <w:pPr>
      <w:spacing w:before="100" w:beforeAutospacing="1" w:after="100" w:afterAutospacing="1" w:line="240" w:lineRule="auto"/>
      <w:ind w:firstLine="36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187"/>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1A3187"/>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87"/>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1A3187"/>
    <w:rPr>
      <w:rFonts w:ascii="Cambria" w:eastAsia="Times New Roman" w:hAnsi="Cambria" w:cs="Times New Roman"/>
      <w:smallCaps/>
      <w:sz w:val="28"/>
      <w:szCs w:val="28"/>
    </w:rPr>
  </w:style>
  <w:style w:type="paragraph" w:styleId="ListParagraph">
    <w:name w:val="List Paragraph"/>
    <w:basedOn w:val="Normal"/>
    <w:uiPriority w:val="34"/>
    <w:qFormat/>
    <w:rsid w:val="00E37761"/>
    <w:pPr>
      <w:ind w:left="720"/>
      <w:contextualSpacing/>
    </w:pPr>
  </w:style>
  <w:style w:type="paragraph" w:customStyle="1" w:styleId="section1">
    <w:name w:val="section1"/>
    <w:basedOn w:val="Normal"/>
    <w:rsid w:val="007C6FB4"/>
    <w:pPr>
      <w:spacing w:before="100" w:beforeAutospacing="1" w:after="100" w:afterAutospacing="1" w:line="240" w:lineRule="auto"/>
      <w:ind w:firstLine="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4918">
      <w:bodyDiv w:val="1"/>
      <w:marLeft w:val="0"/>
      <w:marRight w:val="0"/>
      <w:marTop w:val="0"/>
      <w:marBottom w:val="0"/>
      <w:divBdr>
        <w:top w:val="none" w:sz="0" w:space="0" w:color="auto"/>
        <w:left w:val="none" w:sz="0" w:space="0" w:color="auto"/>
        <w:bottom w:val="none" w:sz="0" w:space="0" w:color="auto"/>
        <w:right w:val="none" w:sz="0" w:space="0" w:color="auto"/>
      </w:divBdr>
    </w:div>
    <w:div w:id="16506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2015-10-13T16:07:00Z</dcterms:created>
  <dcterms:modified xsi:type="dcterms:W3CDTF">2015-10-13T16:07:00Z</dcterms:modified>
</cp:coreProperties>
</file>