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04" w:rsidRPr="00B4515D" w:rsidRDefault="00B97704" w:rsidP="00B97704">
      <w:pPr>
        <w:pStyle w:val="Heading1"/>
        <w:jc w:val="center"/>
      </w:pPr>
      <w:r w:rsidRPr="00B4515D">
        <w:t>Graduate Council Meeting Minutes</w:t>
      </w:r>
    </w:p>
    <w:p w:rsidR="00B97704" w:rsidRPr="00190EB1" w:rsidRDefault="00685050" w:rsidP="00B97704">
      <w:pPr>
        <w:jc w:val="center"/>
        <w:rPr>
          <w:rFonts w:ascii="Palatino" w:hAnsi="Palatino"/>
        </w:rPr>
      </w:pPr>
      <w:r>
        <w:t xml:space="preserve">September </w:t>
      </w:r>
      <w:r w:rsidR="00C3608F">
        <w:t>20</w:t>
      </w:r>
      <w:r w:rsidR="00B97704">
        <w:t xml:space="preserve"> 201</w:t>
      </w:r>
      <w:r w:rsidR="00B52B30">
        <w:t>7</w:t>
      </w:r>
      <w:r w:rsidR="00B97704">
        <w:t xml:space="preserve">, GBB </w:t>
      </w:r>
      <w:r w:rsidR="0062670A">
        <w:t>202</w:t>
      </w:r>
      <w:r w:rsidR="00B97704" w:rsidRPr="00190EB1">
        <w:t>, 12:</w:t>
      </w:r>
      <w:r w:rsidR="008E73FB">
        <w:t>0</w:t>
      </w:r>
      <w:r w:rsidR="00B97704" w:rsidRPr="00190EB1">
        <w:t>0 – 1:00 PM</w:t>
      </w:r>
      <w:r w:rsidR="00B97704">
        <w:br/>
      </w:r>
    </w:p>
    <w:p w:rsidR="006E514B" w:rsidRDefault="00B97704" w:rsidP="00B97704">
      <w:pPr>
        <w:rPr>
          <w:rFonts w:cs="Calibri"/>
          <w:sz w:val="24"/>
          <w:szCs w:val="24"/>
        </w:rPr>
      </w:pPr>
      <w:r>
        <w:rPr>
          <w:rFonts w:cs="Calibri"/>
          <w:i/>
          <w:sz w:val="24"/>
          <w:szCs w:val="24"/>
        </w:rPr>
        <w:t>Members Present:</w:t>
      </w:r>
      <w:r>
        <w:rPr>
          <w:rFonts w:cs="Calibri"/>
          <w:sz w:val="24"/>
          <w:szCs w:val="24"/>
        </w:rPr>
        <w:t xml:space="preserve">  </w:t>
      </w:r>
      <w:r w:rsidR="00C3608F">
        <w:rPr>
          <w:rFonts w:cs="Calibri"/>
          <w:sz w:val="24"/>
          <w:szCs w:val="24"/>
        </w:rPr>
        <w:t xml:space="preserve">L. </w:t>
      </w:r>
      <w:proofErr w:type="spellStart"/>
      <w:r w:rsidR="00C3608F">
        <w:rPr>
          <w:rFonts w:cs="Calibri"/>
          <w:sz w:val="24"/>
          <w:szCs w:val="24"/>
        </w:rPr>
        <w:t>Broberg</w:t>
      </w:r>
      <w:proofErr w:type="spellEnd"/>
      <w:r w:rsidR="00C3608F">
        <w:rPr>
          <w:rFonts w:cs="Calibri"/>
          <w:sz w:val="24"/>
          <w:szCs w:val="24"/>
        </w:rPr>
        <w:t xml:space="preserve">, </w:t>
      </w:r>
      <w:r w:rsidR="00685050">
        <w:rPr>
          <w:rFonts w:cs="Calibri"/>
          <w:sz w:val="24"/>
          <w:szCs w:val="24"/>
        </w:rPr>
        <w:t xml:space="preserve">F. Brown, </w:t>
      </w:r>
      <w:r w:rsidR="006E514B">
        <w:rPr>
          <w:rFonts w:cs="Calibri"/>
          <w:sz w:val="24"/>
          <w:szCs w:val="24"/>
        </w:rPr>
        <w:t xml:space="preserve">C. </w:t>
      </w:r>
      <w:proofErr w:type="spellStart"/>
      <w:r w:rsidR="006E514B">
        <w:rPr>
          <w:rFonts w:cs="Calibri"/>
          <w:sz w:val="24"/>
          <w:szCs w:val="24"/>
        </w:rPr>
        <w:t>Dumke</w:t>
      </w:r>
      <w:proofErr w:type="spellEnd"/>
      <w:r w:rsidR="006E514B">
        <w:rPr>
          <w:rFonts w:cs="Calibri"/>
          <w:sz w:val="24"/>
          <w:szCs w:val="24"/>
        </w:rPr>
        <w:t xml:space="preserve">, </w:t>
      </w:r>
      <w:r w:rsidR="00685050">
        <w:rPr>
          <w:rFonts w:cs="Calibri"/>
          <w:sz w:val="24"/>
          <w:szCs w:val="24"/>
        </w:rPr>
        <w:t xml:space="preserve">J. Farnsworth, C. </w:t>
      </w:r>
      <w:proofErr w:type="spellStart"/>
      <w:r w:rsidR="00685050">
        <w:rPr>
          <w:rFonts w:cs="Calibri"/>
          <w:sz w:val="24"/>
          <w:szCs w:val="24"/>
        </w:rPr>
        <w:t>Fitspatrick</w:t>
      </w:r>
      <w:proofErr w:type="spellEnd"/>
      <w:r w:rsidR="00685050">
        <w:rPr>
          <w:rFonts w:cs="Calibri"/>
          <w:sz w:val="24"/>
          <w:szCs w:val="24"/>
        </w:rPr>
        <w:t xml:space="preserve">, </w:t>
      </w:r>
      <w:r w:rsidR="006E514B">
        <w:rPr>
          <w:rFonts w:cs="Calibri"/>
          <w:sz w:val="24"/>
          <w:szCs w:val="24"/>
        </w:rPr>
        <w:t>K. Harris,</w:t>
      </w:r>
      <w:r w:rsidR="006E514B" w:rsidRPr="006E514B">
        <w:rPr>
          <w:rFonts w:cs="Calibri"/>
          <w:sz w:val="24"/>
          <w:szCs w:val="24"/>
        </w:rPr>
        <w:t xml:space="preserve"> </w:t>
      </w:r>
      <w:r w:rsidR="00685050">
        <w:rPr>
          <w:rFonts w:cs="Calibri"/>
          <w:sz w:val="24"/>
          <w:szCs w:val="24"/>
        </w:rPr>
        <w:t>G. Morrill, M. Murphy,</w:t>
      </w:r>
      <w:r w:rsidR="00685050" w:rsidRPr="007C71BC">
        <w:rPr>
          <w:rFonts w:cs="Calibri"/>
          <w:sz w:val="24"/>
          <w:szCs w:val="24"/>
        </w:rPr>
        <w:t xml:space="preserve"> </w:t>
      </w:r>
      <w:r w:rsidR="00685050">
        <w:rPr>
          <w:rFonts w:cs="Calibri"/>
          <w:sz w:val="24"/>
          <w:szCs w:val="24"/>
        </w:rPr>
        <w:t>S. Ross,</w:t>
      </w:r>
      <w:r w:rsidR="00685050" w:rsidRPr="00685050">
        <w:rPr>
          <w:rFonts w:cs="Calibri"/>
          <w:sz w:val="24"/>
          <w:szCs w:val="24"/>
        </w:rPr>
        <w:t xml:space="preserve"> </w:t>
      </w:r>
      <w:r w:rsidR="00685050">
        <w:rPr>
          <w:rFonts w:cs="Calibri"/>
          <w:sz w:val="24"/>
          <w:szCs w:val="24"/>
        </w:rPr>
        <w:t xml:space="preserve">D. </w:t>
      </w:r>
      <w:proofErr w:type="spellStart"/>
      <w:r w:rsidR="00685050">
        <w:rPr>
          <w:color w:val="000000"/>
        </w:rPr>
        <w:t>Schuldberg</w:t>
      </w:r>
      <w:proofErr w:type="spellEnd"/>
      <w:r w:rsidR="00685050">
        <w:rPr>
          <w:color w:val="000000"/>
        </w:rPr>
        <w:t xml:space="preserve">, R. Smith, </w:t>
      </w:r>
      <w:r w:rsidR="00C3608F">
        <w:rPr>
          <w:rFonts w:cs="Calibri"/>
          <w:sz w:val="24"/>
          <w:szCs w:val="24"/>
        </w:rPr>
        <w:t>S. Stan</w:t>
      </w:r>
      <w:r w:rsidR="00C3608F">
        <w:rPr>
          <w:color w:val="000000"/>
        </w:rPr>
        <w:t xml:space="preserve"> </w:t>
      </w:r>
      <w:r w:rsidR="00685050">
        <w:rPr>
          <w:color w:val="000000"/>
        </w:rPr>
        <w:t>K. Volk</w:t>
      </w:r>
      <w:r w:rsidR="00F46CBD">
        <w:rPr>
          <w:rFonts w:cs="Calibri"/>
          <w:sz w:val="24"/>
          <w:szCs w:val="24"/>
        </w:rPr>
        <w:br/>
      </w:r>
      <w:r>
        <w:rPr>
          <w:rFonts w:cs="Calibri"/>
          <w:i/>
          <w:sz w:val="24"/>
          <w:szCs w:val="24"/>
        </w:rPr>
        <w:t>Members Absent/Excused:</w:t>
      </w:r>
      <w:r w:rsidR="00C3608F">
        <w:rPr>
          <w:rFonts w:cs="Calibri"/>
          <w:sz w:val="24"/>
          <w:szCs w:val="24"/>
        </w:rPr>
        <w:t xml:space="preserve"> C. Palmer</w:t>
      </w:r>
      <w:r w:rsidR="00685050" w:rsidRPr="007C0EF1">
        <w:rPr>
          <w:rFonts w:cs="Calibri"/>
          <w:sz w:val="24"/>
          <w:szCs w:val="24"/>
        </w:rPr>
        <w:t xml:space="preserve"> </w:t>
      </w:r>
      <w:r w:rsidR="00685050">
        <w:rPr>
          <w:rFonts w:cs="Calibri"/>
          <w:sz w:val="24"/>
          <w:szCs w:val="24"/>
        </w:rPr>
        <w:br/>
        <w:t>Ex-Officio Present:  A. Kinch</w:t>
      </w:r>
    </w:p>
    <w:p w:rsidR="00B97704" w:rsidRDefault="007C0EF1" w:rsidP="00B97704">
      <w:r>
        <w:rPr>
          <w:rFonts w:cs="Calibri"/>
          <w:sz w:val="24"/>
          <w:szCs w:val="24"/>
        </w:rPr>
        <w:br/>
      </w:r>
      <w:r w:rsidR="00B97704" w:rsidRPr="00962530">
        <w:rPr>
          <w:rStyle w:val="Heading2Char"/>
          <w:rFonts w:eastAsiaTheme="minorHAnsi"/>
        </w:rPr>
        <w:t>Call to Order</w:t>
      </w:r>
    </w:p>
    <w:p w:rsidR="00B97704" w:rsidRPr="002A56B9" w:rsidRDefault="007E274E" w:rsidP="000D0439">
      <w:pPr>
        <w:pStyle w:val="ListParagraph"/>
        <w:numPr>
          <w:ilvl w:val="0"/>
          <w:numId w:val="8"/>
        </w:numPr>
        <w:rPr>
          <w:b/>
        </w:rPr>
      </w:pPr>
      <w:r>
        <w:t xml:space="preserve">The minutes from </w:t>
      </w:r>
      <w:r w:rsidR="00C3608F">
        <w:t>9/13/</w:t>
      </w:r>
      <w:r>
        <w:t>1</w:t>
      </w:r>
      <w:r w:rsidR="006E514B">
        <w:t>7</w:t>
      </w:r>
      <w:r>
        <w:t xml:space="preserve"> </w:t>
      </w:r>
      <w:proofErr w:type="gramStart"/>
      <w:r>
        <w:t>were approved</w:t>
      </w:r>
      <w:proofErr w:type="gramEnd"/>
      <w:r w:rsidR="005154DB">
        <w:t xml:space="preserve">. </w:t>
      </w:r>
      <w:r w:rsidR="008C3D54">
        <w:t xml:space="preserve"> </w:t>
      </w:r>
      <w:r w:rsidR="00A15F33">
        <w:rPr>
          <w:rFonts w:cs="Tahoma"/>
          <w:color w:val="000000"/>
        </w:rPr>
        <w:t xml:space="preserve">  </w:t>
      </w:r>
    </w:p>
    <w:p w:rsidR="00B97704" w:rsidRDefault="00B97704" w:rsidP="00B97704">
      <w:pPr>
        <w:pStyle w:val="Heading2"/>
      </w:pPr>
      <w:r>
        <w:t>Communications</w:t>
      </w:r>
    </w:p>
    <w:p w:rsidR="006968B6" w:rsidRPr="003E146A" w:rsidRDefault="00BC54CE" w:rsidP="00C337AF">
      <w:pPr>
        <w:pStyle w:val="PlainText"/>
        <w:numPr>
          <w:ilvl w:val="0"/>
          <w:numId w:val="8"/>
        </w:numPr>
        <w:rPr>
          <w:rFonts w:asciiTheme="minorHAnsi" w:hAnsiTheme="minorHAnsi" w:cstheme="minorHAnsi"/>
          <w:szCs w:val="22"/>
        </w:rPr>
      </w:pPr>
      <w:r w:rsidRPr="003E146A">
        <w:rPr>
          <w:rFonts w:asciiTheme="minorHAnsi" w:hAnsiTheme="minorHAnsi" w:cstheme="minorHAnsi"/>
          <w:szCs w:val="22"/>
        </w:rPr>
        <w:t xml:space="preserve">Chair Ross announced the opportunity for programs to advertise at a </w:t>
      </w:r>
      <w:hyperlink r:id="rId5" w:history="1">
        <w:r w:rsidRPr="003E146A">
          <w:rPr>
            <w:rStyle w:val="Hyperlink"/>
            <w:rFonts w:asciiTheme="minorHAnsi" w:hAnsiTheme="minorHAnsi" w:cstheme="minorHAnsi"/>
            <w:szCs w:val="22"/>
          </w:rPr>
          <w:t>PNW COSMOS</w:t>
        </w:r>
      </w:hyperlink>
      <w:r w:rsidRPr="003E146A">
        <w:rPr>
          <w:rFonts w:asciiTheme="minorHAnsi" w:hAnsiTheme="minorHAnsi" w:cstheme="minorHAnsi"/>
          <w:szCs w:val="22"/>
        </w:rPr>
        <w:t xml:space="preserve"> meeting on October </w:t>
      </w:r>
      <w:proofErr w:type="gramStart"/>
      <w:r w:rsidRPr="003E146A">
        <w:rPr>
          <w:rFonts w:asciiTheme="minorHAnsi" w:hAnsiTheme="minorHAnsi" w:cstheme="minorHAnsi"/>
          <w:szCs w:val="22"/>
        </w:rPr>
        <w:t>13</w:t>
      </w:r>
      <w:r w:rsidRPr="003E146A">
        <w:rPr>
          <w:rFonts w:asciiTheme="minorHAnsi" w:hAnsiTheme="minorHAnsi" w:cstheme="minorHAnsi"/>
          <w:szCs w:val="22"/>
          <w:vertAlign w:val="superscript"/>
        </w:rPr>
        <w:t>th</w:t>
      </w:r>
      <w:proofErr w:type="gramEnd"/>
      <w:r w:rsidRPr="003E146A">
        <w:rPr>
          <w:rFonts w:asciiTheme="minorHAnsi" w:hAnsiTheme="minorHAnsi" w:cstheme="minorHAnsi"/>
          <w:szCs w:val="22"/>
        </w:rPr>
        <w:t xml:space="preserve">.  </w:t>
      </w:r>
      <w:r w:rsidRPr="003E146A">
        <w:rPr>
          <w:rFonts w:asciiTheme="minorHAnsi" w:hAnsiTheme="minorHAnsi" w:cstheme="minorHAnsi"/>
          <w:color w:val="222222"/>
          <w:szCs w:val="22"/>
        </w:rPr>
        <w:t>The primary sponsor for PNW-COSMOS is the National Science Foundation (NSF), Directorate for Education and Human Resources (EHR), Division of Human Resource Development (HRD). The project is supported by: Collaborative Research: The Pacific Northwest Alliance to develop, implement and study a STEM Graduate Education Model for American Indians and Native Alaskans.</w:t>
      </w:r>
      <w:r w:rsidR="003D1AF6" w:rsidRPr="003E146A">
        <w:rPr>
          <w:rFonts w:asciiTheme="minorHAnsi" w:hAnsiTheme="minorHAnsi" w:cstheme="minorHAnsi"/>
          <w:color w:val="222222"/>
          <w:szCs w:val="22"/>
        </w:rPr>
        <w:t xml:space="preserve"> </w:t>
      </w:r>
      <w:r w:rsidRPr="003E146A">
        <w:rPr>
          <w:rFonts w:asciiTheme="minorHAnsi" w:hAnsiTheme="minorHAnsi" w:cstheme="minorHAnsi"/>
          <w:szCs w:val="22"/>
        </w:rPr>
        <w:t>If interested graduate program directors should prepare regrouping materials and deliver them to the grant coo</w:t>
      </w:r>
      <w:r w:rsidRPr="003E146A">
        <w:rPr>
          <w:rFonts w:asciiTheme="minorHAnsi" w:hAnsiTheme="minorHAnsi" w:cstheme="minorHAnsi"/>
          <w:color w:val="222222"/>
          <w:szCs w:val="22"/>
          <w:shd w:val="clear" w:color="auto" w:fill="FFFFFF"/>
        </w:rPr>
        <w:t xml:space="preserve">rdinator, Raquel </w:t>
      </w:r>
      <w:proofErr w:type="spellStart"/>
      <w:r w:rsidRPr="003E146A">
        <w:rPr>
          <w:rFonts w:asciiTheme="minorHAnsi" w:hAnsiTheme="minorHAnsi" w:cstheme="minorHAnsi"/>
          <w:color w:val="222222"/>
          <w:szCs w:val="22"/>
          <w:shd w:val="clear" w:color="auto" w:fill="FFFFFF"/>
        </w:rPr>
        <w:t>Arouca</w:t>
      </w:r>
      <w:proofErr w:type="spellEnd"/>
      <w:r w:rsidRPr="003E146A">
        <w:rPr>
          <w:rFonts w:asciiTheme="minorHAnsi" w:hAnsiTheme="minorHAnsi" w:cstheme="minorHAnsi"/>
          <w:color w:val="222222"/>
          <w:szCs w:val="22"/>
          <w:shd w:val="clear" w:color="auto" w:fill="FFFFFF"/>
        </w:rPr>
        <w:t xml:space="preserve"> in </w:t>
      </w:r>
      <w:r w:rsidR="003D1AF6" w:rsidRPr="003E146A">
        <w:rPr>
          <w:rFonts w:asciiTheme="minorHAnsi" w:hAnsiTheme="minorHAnsi" w:cstheme="minorHAnsi"/>
          <w:color w:val="222222"/>
          <w:szCs w:val="22"/>
          <w:shd w:val="clear" w:color="auto" w:fill="FFFFFF"/>
        </w:rPr>
        <w:t xml:space="preserve">room </w:t>
      </w:r>
      <w:r w:rsidRPr="003E146A">
        <w:rPr>
          <w:rFonts w:asciiTheme="minorHAnsi" w:hAnsiTheme="minorHAnsi" w:cstheme="minorHAnsi"/>
          <w:color w:val="222222"/>
          <w:szCs w:val="22"/>
          <w:shd w:val="clear" w:color="auto" w:fill="FFFFFF"/>
        </w:rPr>
        <w:t xml:space="preserve">219 of the </w:t>
      </w:r>
      <w:r w:rsidR="003D1AF6" w:rsidRPr="003E146A">
        <w:rPr>
          <w:rFonts w:asciiTheme="minorHAnsi" w:hAnsiTheme="minorHAnsi" w:cstheme="minorHAnsi"/>
          <w:color w:val="222222"/>
          <w:szCs w:val="22"/>
          <w:shd w:val="clear" w:color="auto" w:fill="FFFFFF"/>
        </w:rPr>
        <w:t>Interdisciplinary Science</w:t>
      </w:r>
      <w:r w:rsidR="003E146A" w:rsidRPr="003E146A">
        <w:rPr>
          <w:rFonts w:asciiTheme="minorHAnsi" w:hAnsiTheme="minorHAnsi" w:cstheme="minorHAnsi"/>
          <w:color w:val="222222"/>
          <w:szCs w:val="22"/>
          <w:shd w:val="clear" w:color="auto" w:fill="FFFFFF"/>
        </w:rPr>
        <w:t xml:space="preserve"> </w:t>
      </w:r>
      <w:r w:rsidRPr="003E146A">
        <w:rPr>
          <w:rFonts w:asciiTheme="minorHAnsi" w:hAnsiTheme="minorHAnsi" w:cstheme="minorHAnsi"/>
          <w:color w:val="222222"/>
          <w:szCs w:val="22"/>
          <w:shd w:val="clear" w:color="auto" w:fill="FFFFFF"/>
        </w:rPr>
        <w:t>Building</w:t>
      </w:r>
      <w:r w:rsidR="006968B6" w:rsidRPr="003E146A">
        <w:rPr>
          <w:rFonts w:asciiTheme="minorHAnsi" w:hAnsiTheme="minorHAnsi" w:cstheme="minorHAnsi"/>
          <w:color w:val="222222"/>
          <w:szCs w:val="22"/>
          <w:shd w:val="clear" w:color="auto" w:fill="FFFFFF"/>
        </w:rPr>
        <w:t>.</w:t>
      </w:r>
      <w:r w:rsidRPr="003E146A">
        <w:rPr>
          <w:rFonts w:asciiTheme="minorHAnsi" w:hAnsiTheme="minorHAnsi" w:cstheme="minorHAnsi"/>
          <w:color w:val="222222"/>
          <w:szCs w:val="22"/>
          <w:shd w:val="clear" w:color="auto" w:fill="FFFFFF"/>
        </w:rPr>
        <w:t xml:space="preserve">  For additional information </w:t>
      </w:r>
      <w:r w:rsidR="006968B6" w:rsidRPr="003E146A">
        <w:rPr>
          <w:rFonts w:asciiTheme="minorHAnsi" w:hAnsiTheme="minorHAnsi" w:cstheme="minorHAnsi"/>
          <w:color w:val="222222"/>
          <w:szCs w:val="22"/>
          <w:shd w:val="clear" w:color="auto" w:fill="FFFFFF"/>
        </w:rPr>
        <w:t>contact</w:t>
      </w:r>
      <w:r w:rsidRPr="003E146A">
        <w:rPr>
          <w:rFonts w:asciiTheme="minorHAnsi" w:hAnsiTheme="minorHAnsi" w:cstheme="minorHAnsi"/>
          <w:color w:val="222222"/>
          <w:szCs w:val="22"/>
          <w:shd w:val="clear" w:color="auto" w:fill="FFFFFF"/>
        </w:rPr>
        <w:t> </w:t>
      </w:r>
      <w:hyperlink r:id="rId6" w:history="1">
        <w:r w:rsidRPr="003E146A">
          <w:rPr>
            <w:rStyle w:val="Hyperlink"/>
            <w:rFonts w:asciiTheme="minorHAnsi" w:hAnsiTheme="minorHAnsi" w:cstheme="minorHAnsi"/>
            <w:color w:val="961125"/>
            <w:szCs w:val="22"/>
            <w:shd w:val="clear" w:color="auto" w:fill="FFFFFF"/>
          </w:rPr>
          <w:t>raquel1.arouca@umontana.edu</w:t>
        </w:r>
      </w:hyperlink>
      <w:r w:rsidRPr="003E146A">
        <w:rPr>
          <w:rFonts w:asciiTheme="minorHAnsi" w:hAnsiTheme="minorHAnsi" w:cstheme="minorHAnsi"/>
          <w:color w:val="222222"/>
          <w:szCs w:val="22"/>
          <w:shd w:val="clear" w:color="auto" w:fill="FFFFFF"/>
        </w:rPr>
        <w:t>.</w:t>
      </w:r>
      <w:r w:rsidR="006968B6" w:rsidRPr="003E146A">
        <w:rPr>
          <w:rFonts w:asciiTheme="minorHAnsi" w:hAnsiTheme="minorHAnsi" w:cstheme="minorHAnsi"/>
          <w:color w:val="222222"/>
          <w:szCs w:val="22"/>
          <w:shd w:val="clear" w:color="auto" w:fill="FFFFFF"/>
        </w:rPr>
        <w:br/>
      </w:r>
    </w:p>
    <w:p w:rsidR="006968B6" w:rsidRDefault="006968B6" w:rsidP="00C404B5">
      <w:pPr>
        <w:pStyle w:val="PlainText"/>
        <w:numPr>
          <w:ilvl w:val="0"/>
          <w:numId w:val="8"/>
        </w:numPr>
      </w:pPr>
      <w:r>
        <w:t xml:space="preserve">The curriculum deadline was extended to October </w:t>
      </w:r>
      <w:proofErr w:type="gramStart"/>
      <w:r>
        <w:t>13</w:t>
      </w:r>
      <w:r w:rsidRPr="006968B6">
        <w:rPr>
          <w:vertAlign w:val="superscript"/>
        </w:rPr>
        <w:t>th</w:t>
      </w:r>
      <w:proofErr w:type="gramEnd"/>
      <w:r>
        <w:t xml:space="preserve"> due to APASP. </w:t>
      </w:r>
      <w:r>
        <w:br/>
      </w:r>
    </w:p>
    <w:p w:rsidR="006968B6" w:rsidRDefault="006968B6" w:rsidP="00C404B5">
      <w:pPr>
        <w:pStyle w:val="PlainText"/>
        <w:numPr>
          <w:ilvl w:val="0"/>
          <w:numId w:val="8"/>
        </w:numPr>
      </w:pPr>
      <w:r>
        <w:t>All faculty are welcome to attend the Faculty Senate’s meetings with the presidential candidates.  T</w:t>
      </w:r>
      <w:r w:rsidR="003E146A">
        <w:t xml:space="preserve">he remaining meetings are this </w:t>
      </w:r>
      <w:r>
        <w:t>Friday, 9/22 and next Monday, 9/</w:t>
      </w:r>
      <w:proofErr w:type="gramStart"/>
      <w:r>
        <w:t>25  at</w:t>
      </w:r>
      <w:proofErr w:type="gramEnd"/>
      <w:r>
        <w:t xml:space="preserve"> 11:15 a.m. in the University Theatre.</w:t>
      </w:r>
      <w:r>
        <w:br/>
      </w:r>
    </w:p>
    <w:p w:rsidR="006F333F" w:rsidRDefault="006968B6" w:rsidP="00C404B5">
      <w:pPr>
        <w:pStyle w:val="PlainText"/>
        <w:numPr>
          <w:ilvl w:val="0"/>
          <w:numId w:val="8"/>
        </w:numPr>
      </w:pPr>
      <w:r>
        <w:t xml:space="preserve">Dean Kinch provided an update on </w:t>
      </w:r>
      <w:proofErr w:type="spellStart"/>
      <w:r>
        <w:t>Submittable</w:t>
      </w:r>
      <w:proofErr w:type="spellEnd"/>
      <w:r>
        <w:t>.  The Graduate School is transitioning the application process.  It was necessary to hire representatives from the company to help with the difficulties migrating information from Banner.  The system will not go live this year.  The English department has us</w:t>
      </w:r>
      <w:r w:rsidR="00ED4A63">
        <w:t>ed</w:t>
      </w:r>
      <w:r>
        <w:t xml:space="preserve"> </w:t>
      </w:r>
      <w:proofErr w:type="spellStart"/>
      <w:r>
        <w:t>Submittable</w:t>
      </w:r>
      <w:proofErr w:type="spellEnd"/>
      <w:r>
        <w:t xml:space="preserve"> for several years and</w:t>
      </w:r>
      <w:r w:rsidR="00ED4A63">
        <w:t xml:space="preserve"> is satisfied with the functionality and integration with the graduate school.  In the long term in will provide cost savings. </w:t>
      </w:r>
      <w:r w:rsidR="00ED4A63">
        <w:br/>
      </w:r>
      <w:r w:rsidR="00ED4A63">
        <w:br/>
        <w:t xml:space="preserve">Professor </w:t>
      </w:r>
      <w:proofErr w:type="spellStart"/>
      <w:r w:rsidR="00ED4A63">
        <w:t>Dumke</w:t>
      </w:r>
      <w:proofErr w:type="spellEnd"/>
      <w:r w:rsidR="00ED4A63">
        <w:t xml:space="preserve"> asked whether </w:t>
      </w:r>
      <w:r w:rsidR="003E146A">
        <w:t xml:space="preserve">an update </w:t>
      </w:r>
      <w:proofErr w:type="gramStart"/>
      <w:r w:rsidR="003E146A">
        <w:t>was</w:t>
      </w:r>
      <w:r w:rsidR="00ED4A63">
        <w:t xml:space="preserve"> </w:t>
      </w:r>
      <w:r w:rsidR="003E146A">
        <w:t>sent</w:t>
      </w:r>
      <w:proofErr w:type="gramEnd"/>
      <w:r w:rsidR="00ED4A63">
        <w:t xml:space="preserve"> to Graduate Program Coordinators.  He has not had any messages regarding the implementation. </w:t>
      </w:r>
      <w:r w:rsidR="003E146A">
        <w:t xml:space="preserve">There is an issue with information getting to the right people. </w:t>
      </w:r>
      <w:r w:rsidR="00ED4A63">
        <w:t>There needs to be a better communication mechanism.  Dean Kinch will look into auditing the distribution lists to make sure the right people a</w:t>
      </w:r>
      <w:r w:rsidR="006F333F">
        <w:t xml:space="preserve">re included.  A possible solution would be for departments to set up a generic email address for the program directors that transfers when the individual changes.  This will prevent the continuous need to update the </w:t>
      </w:r>
      <w:r w:rsidR="006F333F">
        <w:lastRenderedPageBreak/>
        <w:t xml:space="preserve">contact list. </w:t>
      </w:r>
      <w:r w:rsidR="003E146A">
        <w:br/>
      </w:r>
    </w:p>
    <w:p w:rsidR="001441F1" w:rsidRDefault="006F333F" w:rsidP="00C404B5">
      <w:pPr>
        <w:pStyle w:val="PlainText"/>
        <w:numPr>
          <w:ilvl w:val="0"/>
          <w:numId w:val="8"/>
        </w:numPr>
      </w:pPr>
      <w:r>
        <w:t>Dean Kinch research</w:t>
      </w:r>
      <w:r w:rsidR="001441F1">
        <w:t>ed</w:t>
      </w:r>
      <w:r>
        <w:t xml:space="preserve"> the changes to the IDC percentage over several years. It went from 37%, to 41%, 41.5%, to 45% in 2015.  The Research Office is applying to increase</w:t>
      </w:r>
      <w:r w:rsidR="003E146A">
        <w:t xml:space="preserve"> the percentage</w:t>
      </w:r>
      <w:r>
        <w:t xml:space="preserve"> to 47.5 effective 2018. </w:t>
      </w:r>
    </w:p>
    <w:p w:rsidR="001441F1" w:rsidRDefault="001441F1" w:rsidP="001441F1">
      <w:pPr>
        <w:pStyle w:val="PlainText"/>
        <w:ind w:left="360"/>
      </w:pPr>
    </w:p>
    <w:p w:rsidR="00466D47" w:rsidRDefault="001441F1" w:rsidP="001441F1">
      <w:pPr>
        <w:pStyle w:val="PlainText"/>
        <w:ind w:left="360"/>
      </w:pPr>
      <w:r>
        <w:t>Although there is a rate agreement in place</w:t>
      </w:r>
      <w:r w:rsidR="00466D47">
        <w:t xml:space="preserve"> (signed in 2014)</w:t>
      </w:r>
      <w:r>
        <w:t xml:space="preserve"> that appears to have a 1% IDC line item for the library, the actual budgeting process is quite different. </w:t>
      </w:r>
      <w:r w:rsidR="00466D47">
        <w:t xml:space="preserve"> Money </w:t>
      </w:r>
      <w:proofErr w:type="gramStart"/>
      <w:r w:rsidR="003E146A">
        <w:t>is</w:t>
      </w:r>
      <w:r w:rsidR="00466D47">
        <w:t xml:space="preserve"> moved</w:t>
      </w:r>
      <w:proofErr w:type="gramEnd"/>
      <w:r w:rsidR="00466D47">
        <w:t xml:space="preserve"> around.</w:t>
      </w:r>
      <w:r>
        <w:t xml:space="preserve">  The Provost, Vice President Whittenburg, and the Library Dean </w:t>
      </w:r>
      <w:r w:rsidR="00466D47">
        <w:t xml:space="preserve">are discussing how to handle the collection reduction issue.  It will be important for the administration to know the faculty and students research interest in order to maintain the necessary journals subscriptions. </w:t>
      </w:r>
    </w:p>
    <w:p w:rsidR="00466D47" w:rsidRDefault="00466D47" w:rsidP="001441F1">
      <w:pPr>
        <w:pStyle w:val="PlainText"/>
        <w:ind w:left="360"/>
      </w:pPr>
    </w:p>
    <w:p w:rsidR="00B01A5B" w:rsidRDefault="00466D47" w:rsidP="00466D47">
      <w:pPr>
        <w:pStyle w:val="PlainText"/>
        <w:numPr>
          <w:ilvl w:val="0"/>
          <w:numId w:val="8"/>
        </w:numPr>
      </w:pPr>
      <w:r>
        <w:t>Dean Kinch provided data on the T</w:t>
      </w:r>
      <w:r w:rsidR="00D518A4">
        <w:t>ARA</w:t>
      </w:r>
      <w:r>
        <w:t xml:space="preserve"> awards since 2011</w:t>
      </w:r>
      <w:r w:rsidR="00B01A5B">
        <w:t xml:space="preserve"> and provided a hand out </w:t>
      </w:r>
      <w:r w:rsidR="00877857">
        <w:t xml:space="preserve">(appended) </w:t>
      </w:r>
      <w:r w:rsidR="00B01A5B">
        <w:t>on interpretation of eligibility</w:t>
      </w:r>
      <w:r>
        <w:t>. He gave credit to</w:t>
      </w:r>
      <w:r w:rsidR="00B01A5B">
        <w:t xml:space="preserve"> gathering </w:t>
      </w:r>
      <w:r>
        <w:t xml:space="preserve">the data to the Graduate School staff.  </w:t>
      </w:r>
      <w:r w:rsidR="00D518A4">
        <w:t xml:space="preserve"> </w:t>
      </w:r>
      <w:r w:rsidR="00877857">
        <w:t>T</w:t>
      </w:r>
      <w:r w:rsidR="00877857">
        <w:rPr>
          <w:rFonts w:ascii="Tahoma" w:eastAsia="Times New Roman" w:hAnsi="Tahoma" w:cs="Tahoma"/>
          <w:color w:val="000000"/>
          <w:sz w:val="20"/>
          <w:szCs w:val="20"/>
        </w:rPr>
        <w:t>he 6-year change (2011 to 2017) of TARA went up from 276 to 328, while the base-funded TA # went down from 212 to 188 in the same period.</w:t>
      </w:r>
      <w:r w:rsidR="00D518A4">
        <w:t xml:space="preserve"> </w:t>
      </w:r>
      <w:r w:rsidR="00877857">
        <w:t xml:space="preserve"> The “spread” between the number of base-funded TA awards and the TARA contracts is rising due to the i</w:t>
      </w:r>
      <w:r w:rsidR="00D518A4">
        <w:t xml:space="preserve">ncrease </w:t>
      </w:r>
      <w:r w:rsidR="00877857">
        <w:t>in</w:t>
      </w:r>
      <w:bookmarkStart w:id="0" w:name="_GoBack"/>
      <w:bookmarkEnd w:id="0"/>
      <w:r w:rsidR="00D518A4">
        <w:t xml:space="preserve"> research awards.  Last year 24 of the awards </w:t>
      </w:r>
      <w:proofErr w:type="gramStart"/>
      <w:r w:rsidR="00D518A4">
        <w:t>were funded</w:t>
      </w:r>
      <w:proofErr w:type="gramEnd"/>
      <w:r w:rsidR="00D518A4">
        <w:t xml:space="preserve"> directly from the research office after the budget reduction.  </w:t>
      </w:r>
    </w:p>
    <w:p w:rsidR="00B01A5B" w:rsidRDefault="00B01A5B" w:rsidP="00B01A5B">
      <w:pPr>
        <w:pStyle w:val="PlainText"/>
        <w:ind w:left="360"/>
      </w:pPr>
    </w:p>
    <w:p w:rsidR="00B01A5B" w:rsidRDefault="00B01A5B" w:rsidP="00B01A5B">
      <w:pPr>
        <w:pStyle w:val="PlainText"/>
        <w:ind w:left="360"/>
        <w:rPr>
          <w:rFonts w:ascii="Open Sans" w:hAnsi="Open Sans" w:cs="Arial"/>
          <w:color w:val="222222"/>
          <w:sz w:val="21"/>
          <w:lang w:val="en"/>
        </w:rPr>
      </w:pPr>
      <w:r>
        <w:t xml:space="preserve">The </w:t>
      </w:r>
      <w:hyperlink r:id="rId7" w:history="1">
        <w:r w:rsidRPr="00466D47">
          <w:rPr>
            <w:rStyle w:val="Hyperlink"/>
          </w:rPr>
          <w:t>website</w:t>
        </w:r>
      </w:hyperlink>
      <w:r>
        <w:t xml:space="preserve"> </w:t>
      </w:r>
      <w:proofErr w:type="gramStart"/>
      <w:r w:rsidR="003E146A">
        <w:t>was</w:t>
      </w:r>
      <w:r>
        <w:t xml:space="preserve"> updated</w:t>
      </w:r>
      <w:proofErr w:type="gramEnd"/>
      <w:r>
        <w:t xml:space="preserve"> to provide better information in terms of interpreting the </w:t>
      </w:r>
      <w:hyperlink r:id="rId8" w:history="1">
        <w:r w:rsidRPr="00D518A4">
          <w:rPr>
            <w:rStyle w:val="Hyperlink"/>
          </w:rPr>
          <w:t>BOR policy 940.31</w:t>
        </w:r>
      </w:hyperlink>
      <w:r>
        <w:t xml:space="preserve">.  </w:t>
      </w:r>
      <w:r>
        <w:br/>
      </w:r>
    </w:p>
    <w:p w:rsidR="00B01A5B" w:rsidRDefault="00B01A5B" w:rsidP="00B01A5B">
      <w:pPr>
        <w:pStyle w:val="PlainText"/>
        <w:ind w:left="720"/>
      </w:pPr>
      <w:r>
        <w:rPr>
          <w:rFonts w:ascii="Open Sans" w:hAnsi="Open Sans" w:cs="Arial"/>
          <w:color w:val="222222"/>
          <w:sz w:val="21"/>
          <w:lang w:val="en"/>
        </w:rPr>
        <w:t>"Tuition levels will bear a relationship to the costs incurred by the campus in providing the education to the student.  Tuition levels for resident students will bear a relation to the cost of education and the level of state support.  Campuses have the flexibility to set non-resident tuition at 150% of resident tuition and set non-resident tuition for graduate research and teaching assistants at 100% of resident tuition."</w:t>
      </w:r>
      <w:r>
        <w:t xml:space="preserve"> </w:t>
      </w:r>
    </w:p>
    <w:p w:rsidR="00B01A5B" w:rsidRDefault="00B01A5B" w:rsidP="00B01A5B">
      <w:pPr>
        <w:pStyle w:val="PlainText"/>
        <w:ind w:left="360"/>
      </w:pPr>
      <w:r>
        <w:br/>
      </w:r>
      <w:r w:rsidR="00D518A4">
        <w:t xml:space="preserve">This year there were 5-7 applications not eligible. These were mostly due to cobbling together of funds.  Student employment must be related to research or teaching in order to be eligible.  </w:t>
      </w:r>
      <w:r>
        <w:t xml:space="preserve">The Graduate School has a legal obligation to ensure the awards </w:t>
      </w:r>
      <w:proofErr w:type="gramStart"/>
      <w:r>
        <w:t>are in compliance</w:t>
      </w:r>
      <w:proofErr w:type="gramEnd"/>
      <w:r>
        <w:t xml:space="preserve"> with the policy. If an audit discovers a problem, the University </w:t>
      </w:r>
      <w:proofErr w:type="gramStart"/>
      <w:r>
        <w:t>would be charged</w:t>
      </w:r>
      <w:proofErr w:type="gramEnd"/>
      <w:r>
        <w:t xml:space="preserve"> for the discrepancy and could be fined.  The Graduate School will work with programs to ensure eligibility and appropriate documentation.  </w:t>
      </w:r>
      <w:r w:rsidR="00D518A4">
        <w:t xml:space="preserve">Going forward the Graduate School will track the categories.   </w:t>
      </w:r>
    </w:p>
    <w:p w:rsidR="00B01A5B" w:rsidRDefault="00B01A5B" w:rsidP="00B01A5B">
      <w:pPr>
        <w:pStyle w:val="PlainText"/>
        <w:ind w:left="360"/>
      </w:pPr>
    </w:p>
    <w:p w:rsidR="00D270BC" w:rsidRDefault="00D518A4" w:rsidP="00B01A5B">
      <w:pPr>
        <w:pStyle w:val="PlainText"/>
        <w:ind w:left="360"/>
      </w:pPr>
      <w:r>
        <w:t xml:space="preserve">Some of the past TARA awards would have qualified for the </w:t>
      </w:r>
      <w:hyperlink r:id="rId9" w:history="1">
        <w:r w:rsidRPr="00D518A4">
          <w:rPr>
            <w:rStyle w:val="Hyperlink"/>
          </w:rPr>
          <w:t>Dean’s Merit Award</w:t>
        </w:r>
      </w:hyperlink>
      <w:r>
        <w:t xml:space="preserve">.  </w:t>
      </w:r>
      <w:r w:rsidR="00466D47">
        <w:t xml:space="preserve"> </w:t>
      </w:r>
      <w:r w:rsidR="00B01A5B">
        <w:t xml:space="preserve">The availability of the Dean’s Merit award needs to </w:t>
      </w:r>
      <w:proofErr w:type="gramStart"/>
      <w:r w:rsidR="00B01A5B">
        <w:t>be better advertised</w:t>
      </w:r>
      <w:proofErr w:type="gramEnd"/>
      <w:r w:rsidR="00B01A5B">
        <w:t xml:space="preserve">.  </w:t>
      </w:r>
      <w:r w:rsidR="00ED4A63">
        <w:t xml:space="preserve">  </w:t>
      </w:r>
      <w:r w:rsidR="00390CC0">
        <w:br/>
      </w:r>
    </w:p>
    <w:p w:rsidR="00D0511E" w:rsidRDefault="00FE6D6A" w:rsidP="00FE6D6A">
      <w:pPr>
        <w:pStyle w:val="PlainText"/>
        <w:numPr>
          <w:ilvl w:val="0"/>
          <w:numId w:val="8"/>
        </w:numPr>
      </w:pPr>
      <w:r>
        <w:t xml:space="preserve">The first applications for continuous registration credit reductions </w:t>
      </w:r>
      <w:proofErr w:type="gramStart"/>
      <w:r>
        <w:t>are normally approved</w:t>
      </w:r>
      <w:proofErr w:type="gramEnd"/>
      <w:r>
        <w:t xml:space="preserve">.  The second petition </w:t>
      </w:r>
      <w:proofErr w:type="gramStart"/>
      <w:r>
        <w:t>will be questioned</w:t>
      </w:r>
      <w:proofErr w:type="gramEnd"/>
      <w:r>
        <w:t xml:space="preserve"> and the third may be rejected.  These are determined on a case- by- case bases and consider the students use of campus resources. </w:t>
      </w:r>
    </w:p>
    <w:p w:rsidR="001320CA" w:rsidRDefault="001320CA" w:rsidP="005237C5">
      <w:pPr>
        <w:pStyle w:val="Heading2"/>
      </w:pPr>
      <w:r>
        <w:t>Business Items</w:t>
      </w:r>
    </w:p>
    <w:p w:rsidR="00A61208" w:rsidRDefault="005C5E49" w:rsidP="00F34396">
      <w:pPr>
        <w:pStyle w:val="ListParagraph"/>
        <w:numPr>
          <w:ilvl w:val="0"/>
          <w:numId w:val="16"/>
        </w:numPr>
      </w:pPr>
      <w:r>
        <w:t xml:space="preserve">Graduate students Farnsworth and Smith reported on the progress of the survey on the proposed library reduction and the draft letter.  The survey response rate is impressive.  Students are passionate about this issue. </w:t>
      </w:r>
    </w:p>
    <w:p w:rsidR="005237C5" w:rsidRDefault="005237C5" w:rsidP="005237C5">
      <w:pPr>
        <w:pStyle w:val="Heading2"/>
      </w:pPr>
      <w:r>
        <w:t>Adjournment</w:t>
      </w:r>
    </w:p>
    <w:p w:rsidR="005237C5" w:rsidRDefault="005237C5" w:rsidP="005237C5">
      <w:r>
        <w:lastRenderedPageBreak/>
        <w:t xml:space="preserve">The meeting </w:t>
      </w:r>
      <w:proofErr w:type="gramStart"/>
      <w:r>
        <w:t>was adjourned</w:t>
      </w:r>
      <w:proofErr w:type="gramEnd"/>
      <w:r>
        <w:t xml:space="preserve"> at</w:t>
      </w:r>
      <w:r w:rsidR="000D0439">
        <w:t xml:space="preserve"> </w:t>
      </w:r>
      <w:r w:rsidR="006E514B">
        <w:t>1:</w:t>
      </w:r>
      <w:r w:rsidR="00C404B5">
        <w:t>0</w:t>
      </w:r>
      <w:r w:rsidR="00194919">
        <w:t>0</w:t>
      </w:r>
      <w:r>
        <w:t xml:space="preserve"> p.m.</w:t>
      </w:r>
    </w:p>
    <w:p w:rsidR="00D0511E" w:rsidRDefault="00D0511E" w:rsidP="005237C5"/>
    <w:p w:rsidR="00877857" w:rsidRDefault="00877857" w:rsidP="00877857">
      <w:pPr>
        <w:pStyle w:val="Default"/>
        <w:jc w:val="center"/>
        <w:rPr>
          <w:b/>
          <w:bCs/>
          <w:sz w:val="20"/>
          <w:szCs w:val="20"/>
        </w:rPr>
      </w:pPr>
      <w:r>
        <w:rPr>
          <w:b/>
          <w:bCs/>
          <w:sz w:val="20"/>
          <w:szCs w:val="20"/>
        </w:rPr>
        <w:t xml:space="preserve">TARA Policy Framework </w:t>
      </w:r>
    </w:p>
    <w:p w:rsidR="00877857" w:rsidRDefault="00877857" w:rsidP="00877857">
      <w:pPr>
        <w:pStyle w:val="Default"/>
        <w:jc w:val="center"/>
        <w:rPr>
          <w:b/>
          <w:bCs/>
          <w:sz w:val="20"/>
          <w:szCs w:val="20"/>
        </w:rPr>
      </w:pPr>
    </w:p>
    <w:p w:rsidR="00877857" w:rsidRDefault="00877857" w:rsidP="00877857">
      <w:pPr>
        <w:pStyle w:val="Default"/>
        <w:rPr>
          <w:b/>
          <w:bCs/>
          <w:sz w:val="20"/>
          <w:szCs w:val="20"/>
        </w:rPr>
      </w:pPr>
      <w:r>
        <w:rPr>
          <w:b/>
          <w:bCs/>
          <w:sz w:val="20"/>
          <w:szCs w:val="20"/>
        </w:rPr>
        <w:t xml:space="preserve">BOR Policy 940.31 on Tuition: </w:t>
      </w:r>
    </w:p>
    <w:p w:rsidR="00877857" w:rsidRDefault="00877857" w:rsidP="00877857">
      <w:pPr>
        <w:pStyle w:val="Default"/>
        <w:rPr>
          <w:sz w:val="20"/>
          <w:szCs w:val="20"/>
        </w:rPr>
      </w:pPr>
      <w:r>
        <w:rPr>
          <w:b/>
          <w:bCs/>
          <w:sz w:val="20"/>
          <w:szCs w:val="20"/>
        </w:rPr>
        <w:t xml:space="preserve">III. Consideration of the Cost and Value of Education in Setting Tuition Levels </w:t>
      </w:r>
    </w:p>
    <w:p w:rsidR="00877857" w:rsidRPr="001526C7" w:rsidRDefault="00877857" w:rsidP="00877857">
      <w:pPr>
        <w:pStyle w:val="ListParagraph"/>
        <w:numPr>
          <w:ilvl w:val="0"/>
          <w:numId w:val="18"/>
        </w:numPr>
        <w:spacing w:after="0" w:line="240" w:lineRule="auto"/>
        <w:rPr>
          <w:sz w:val="20"/>
          <w:szCs w:val="20"/>
        </w:rPr>
      </w:pPr>
      <w:r w:rsidRPr="001526C7">
        <w:rPr>
          <w:sz w:val="20"/>
          <w:szCs w:val="20"/>
        </w:rPr>
        <w:t xml:space="preserve">Tuition levels will bear a relationship to the costs incurred by the campus in providing the education to the student. Tuition levels for resident students will bear a relation to the cost of education and the level of state support. Campuses have the flexibility to set non-resident tuition </w:t>
      </w:r>
      <w:proofErr w:type="gramStart"/>
      <w:r w:rsidRPr="001526C7">
        <w:rPr>
          <w:sz w:val="20"/>
          <w:szCs w:val="20"/>
        </w:rPr>
        <w:t>at150%</w:t>
      </w:r>
      <w:proofErr w:type="gramEnd"/>
      <w:r w:rsidRPr="001526C7">
        <w:rPr>
          <w:sz w:val="20"/>
          <w:szCs w:val="20"/>
        </w:rPr>
        <w:t xml:space="preserve"> of resident tuition and set non-resident tuition for graduate research and teaching assistants at 100% of resident tuition.</w:t>
      </w:r>
    </w:p>
    <w:p w:rsidR="00877857" w:rsidRDefault="00877857" w:rsidP="00877857"/>
    <w:p w:rsidR="00877857" w:rsidRPr="009506A3" w:rsidRDefault="00877857" w:rsidP="00877857">
      <w:pPr>
        <w:rPr>
          <w:b/>
        </w:rPr>
      </w:pPr>
      <w:r w:rsidRPr="000F465D">
        <w:rPr>
          <w:b/>
        </w:rPr>
        <w:t>BOR Policy 940.13 on Tuition Waivers</w:t>
      </w:r>
    </w:p>
    <w:p w:rsidR="00877857" w:rsidRDefault="00877857" w:rsidP="00877857">
      <w:pPr>
        <w:pStyle w:val="Default"/>
        <w:rPr>
          <w:sz w:val="20"/>
          <w:szCs w:val="20"/>
        </w:rPr>
      </w:pPr>
      <w:r>
        <w:rPr>
          <w:sz w:val="20"/>
          <w:szCs w:val="20"/>
        </w:rPr>
        <w:t xml:space="preserve">H. Rules Applicable to all Waivers. </w:t>
      </w:r>
    </w:p>
    <w:p w:rsidR="00877857" w:rsidRDefault="00877857" w:rsidP="00877857">
      <w:pPr>
        <w:pStyle w:val="Default"/>
        <w:rPr>
          <w:sz w:val="20"/>
          <w:szCs w:val="20"/>
        </w:rPr>
      </w:pPr>
      <w:r>
        <w:rPr>
          <w:sz w:val="20"/>
          <w:szCs w:val="20"/>
        </w:rPr>
        <w:t xml:space="preserve">1. </w:t>
      </w:r>
      <w:r w:rsidRPr="001526C7">
        <w:rPr>
          <w:b/>
          <w:sz w:val="20"/>
          <w:szCs w:val="20"/>
        </w:rPr>
        <w:t>Financial Need</w:t>
      </w:r>
      <w:r>
        <w:rPr>
          <w:sz w:val="20"/>
          <w:szCs w:val="20"/>
        </w:rPr>
        <w:t xml:space="preserve">. All waivers, except Honor Scholarships for National Merit Scholarship semi-finalists, MUS Honor Scholarships, Community College Honor Scholarships, and waivers for graduate teaching assistants and graduate research assistants shall include financial need as a criterion whenever possible. </w:t>
      </w:r>
    </w:p>
    <w:p w:rsidR="00877857" w:rsidRDefault="00877857" w:rsidP="00877857"/>
    <w:p w:rsidR="00877857" w:rsidRPr="002F1006" w:rsidRDefault="00877857" w:rsidP="00877857">
      <w:pPr>
        <w:rPr>
          <w:b/>
        </w:rPr>
      </w:pPr>
      <w:r w:rsidRPr="002F1006">
        <w:rPr>
          <w:b/>
        </w:rPr>
        <w:t>Data on Grad Student TARA Contracts</w:t>
      </w:r>
    </w:p>
    <w:p w:rsidR="00877857" w:rsidRDefault="00877857" w:rsidP="00877857">
      <w:r>
        <w:tab/>
      </w:r>
      <w:proofErr w:type="spellStart"/>
      <w:r>
        <w:t>Ofc</w:t>
      </w:r>
      <w:proofErr w:type="spellEnd"/>
      <w:r>
        <w:t xml:space="preserve"> of Research and Creative Scholarship funded 24 TA lines in FY 17 and 18</w:t>
      </w:r>
    </w:p>
    <w:p w:rsidR="00877857" w:rsidRDefault="00877857" w:rsidP="00877857"/>
    <w:p w:rsidR="00877857" w:rsidRDefault="00877857" w:rsidP="00877857">
      <w:pPr>
        <w:rPr>
          <w:b/>
        </w:rPr>
      </w:pPr>
      <w:r>
        <w:rPr>
          <w:b/>
        </w:rPr>
        <w:t xml:space="preserve">Grant-Funded Research </w:t>
      </w:r>
      <w:proofErr w:type="spellStart"/>
      <w:r>
        <w:rPr>
          <w:b/>
        </w:rPr>
        <w:t>Assistanships</w:t>
      </w:r>
      <w:proofErr w:type="spellEnd"/>
    </w:p>
    <w:p w:rsidR="00877857" w:rsidRDefault="00877857" w:rsidP="00877857">
      <w:r>
        <w:rPr>
          <w:b/>
        </w:rPr>
        <w:tab/>
      </w:r>
      <w:r>
        <w:t>These are increasing steadily with the growth in the research enterprise</w:t>
      </w:r>
    </w:p>
    <w:p w:rsidR="00877857" w:rsidRDefault="00877857" w:rsidP="00877857">
      <w:r>
        <w:tab/>
        <w:t>Compare the decline in the TA / RA Awards to increase in TARA forms</w:t>
      </w:r>
    </w:p>
    <w:p w:rsidR="00877857" w:rsidRDefault="00877857" w:rsidP="00877857"/>
    <w:p w:rsidR="00877857" w:rsidRPr="00BA298A" w:rsidRDefault="00877857" w:rsidP="00877857">
      <w:pPr>
        <w:rPr>
          <w:b/>
        </w:rPr>
      </w:pPr>
      <w:r w:rsidRPr="00BA298A">
        <w:rPr>
          <w:b/>
        </w:rPr>
        <w:t>Graduate Council Website on TARA</w:t>
      </w:r>
    </w:p>
    <w:p w:rsidR="00877857" w:rsidRDefault="00877857" w:rsidP="00877857">
      <w:hyperlink r:id="rId10" w:history="1">
        <w:r w:rsidRPr="00EF718D">
          <w:rPr>
            <w:rStyle w:val="Hyperlink"/>
          </w:rPr>
          <w:t>http://www.umt.edu/grad/Faculty%20and%20Staff/Graduate%20Administration/TARA.php</w:t>
        </w:r>
      </w:hyperlink>
    </w:p>
    <w:p w:rsidR="00877857" w:rsidRDefault="00877857" w:rsidP="00877857">
      <w:pPr>
        <w:rPr>
          <w:rFonts w:ascii="Times" w:eastAsia="Times New Roman" w:hAnsi="Times" w:cs="Times New Roman"/>
          <w:b/>
          <w:bCs/>
        </w:rPr>
      </w:pPr>
    </w:p>
    <w:p w:rsidR="00877857" w:rsidRPr="00481A86" w:rsidRDefault="00877857" w:rsidP="00877857">
      <w:pPr>
        <w:rPr>
          <w:b/>
        </w:rPr>
      </w:pPr>
      <w:r w:rsidRPr="00481A86">
        <w:rPr>
          <w:b/>
        </w:rPr>
        <w:t>Website Changes to Address Ambiguities about TARA Criteria</w:t>
      </w:r>
    </w:p>
    <w:p w:rsidR="00877857" w:rsidRDefault="00877857" w:rsidP="00877857"/>
    <w:p w:rsidR="00877857" w:rsidRPr="009506A3" w:rsidRDefault="00877857" w:rsidP="00877857">
      <w:pPr>
        <w:rPr>
          <w:b/>
        </w:rPr>
      </w:pPr>
      <w:r w:rsidRPr="009506A3">
        <w:rPr>
          <w:b/>
        </w:rPr>
        <w:t xml:space="preserve">Distinction between </w:t>
      </w:r>
      <w:proofErr w:type="gramStart"/>
      <w:r w:rsidRPr="009506A3">
        <w:rPr>
          <w:b/>
        </w:rPr>
        <w:t>TARA and “Scholarships</w:t>
      </w:r>
      <w:proofErr w:type="gramEnd"/>
      <w:r w:rsidRPr="009506A3">
        <w:rPr>
          <w:b/>
        </w:rPr>
        <w:t xml:space="preserve"> and Fellowships” </w:t>
      </w:r>
    </w:p>
    <w:p w:rsidR="00877857" w:rsidRDefault="00877857" w:rsidP="00877857">
      <w:r>
        <w:tab/>
        <w:t>See Dean’s Merit Award, approved by Graduate Council in 2015</w:t>
      </w:r>
    </w:p>
    <w:p w:rsidR="00877857" w:rsidRDefault="00877857" w:rsidP="00877857"/>
    <w:p w:rsidR="00877857" w:rsidRPr="00085E90" w:rsidRDefault="00877857" w:rsidP="00877857">
      <w:pPr>
        <w:pStyle w:val="Heading2"/>
      </w:pPr>
      <w:r w:rsidRPr="00085E90">
        <w:t>Graduate Education Merit Award Program, Dean’s Merit Award</w:t>
      </w:r>
    </w:p>
    <w:p w:rsidR="00877857" w:rsidRPr="00485661" w:rsidRDefault="00877857" w:rsidP="00877857"/>
    <w:p w:rsidR="00877857" w:rsidRPr="00485661" w:rsidRDefault="00877857" w:rsidP="00877857">
      <w:r w:rsidRPr="00485661">
        <w:t>Students applying to the University of Montana with funding from</w:t>
      </w:r>
      <w:r>
        <w:t xml:space="preserve"> organizations identified by the Graduate Council as Programs of</w:t>
      </w:r>
      <w:r w:rsidRPr="00485661">
        <w:t xml:space="preserve"> </w:t>
      </w:r>
      <w:r>
        <w:t xml:space="preserve">Excellence </w:t>
      </w:r>
      <w:r w:rsidRPr="00485661">
        <w:t xml:space="preserve">are eligible for the Graduate Education Merit Award Program, </w:t>
      </w:r>
      <w:r>
        <w:t xml:space="preserve">or </w:t>
      </w:r>
      <w:r w:rsidRPr="00485661">
        <w:t xml:space="preserve">Dean’s Merit Award. In addition to the specific list of organizations provided, programs meeting the following criteria </w:t>
      </w:r>
      <w:proofErr w:type="gramStart"/>
      <w:r w:rsidRPr="00485661">
        <w:t>should also be considered</w:t>
      </w:r>
      <w:proofErr w:type="gramEnd"/>
      <w:r w:rsidRPr="00485661">
        <w:t xml:space="preserve"> eligible to be Programs of Excellence.</w:t>
      </w:r>
    </w:p>
    <w:p w:rsidR="00877857" w:rsidRPr="00485661" w:rsidRDefault="00877857" w:rsidP="00877857">
      <w:r w:rsidRPr="00485661">
        <w:t xml:space="preserve">Required criteria to </w:t>
      </w:r>
      <w:proofErr w:type="gramStart"/>
      <w:r w:rsidRPr="00485661">
        <w:t>be considered</w:t>
      </w:r>
      <w:proofErr w:type="gramEnd"/>
      <w:r w:rsidRPr="00485661">
        <w:t xml:space="preserve"> a Program of Excellence:</w:t>
      </w:r>
    </w:p>
    <w:p w:rsidR="00877857" w:rsidRPr="00485661" w:rsidRDefault="00877857" w:rsidP="00877857">
      <w:pPr>
        <w:pStyle w:val="ListParagraph"/>
        <w:numPr>
          <w:ilvl w:val="0"/>
          <w:numId w:val="19"/>
        </w:numPr>
        <w:spacing w:after="0" w:line="240" w:lineRule="auto"/>
      </w:pPr>
      <w:r w:rsidRPr="00485661">
        <w:t>National or international reputation</w:t>
      </w:r>
    </w:p>
    <w:p w:rsidR="00877857" w:rsidRPr="00485661" w:rsidRDefault="00877857" w:rsidP="00877857">
      <w:pPr>
        <w:pStyle w:val="ListParagraph"/>
        <w:numPr>
          <w:ilvl w:val="0"/>
          <w:numId w:val="19"/>
        </w:numPr>
        <w:spacing w:after="0" w:line="240" w:lineRule="auto"/>
      </w:pPr>
      <w:r w:rsidRPr="00485661">
        <w:t>Open application process</w:t>
      </w:r>
    </w:p>
    <w:p w:rsidR="00877857" w:rsidRPr="00485661" w:rsidRDefault="00877857" w:rsidP="00877857">
      <w:pPr>
        <w:pStyle w:val="ListParagraph"/>
        <w:numPr>
          <w:ilvl w:val="0"/>
          <w:numId w:val="19"/>
        </w:numPr>
        <w:spacing w:after="0" w:line="240" w:lineRule="auto"/>
      </w:pPr>
      <w:r w:rsidRPr="00485661">
        <w:t>Competitive, independent, review process</w:t>
      </w:r>
    </w:p>
    <w:p w:rsidR="00877857" w:rsidRDefault="00877857" w:rsidP="00877857"/>
    <w:p w:rsidR="00877857" w:rsidRDefault="00877857" w:rsidP="00877857"/>
    <w:p w:rsidR="00877857" w:rsidRDefault="00877857" w:rsidP="00877857"/>
    <w:p w:rsidR="00877857" w:rsidRDefault="00877857" w:rsidP="00877857"/>
    <w:p w:rsidR="00877857" w:rsidRPr="00254598" w:rsidRDefault="00877857" w:rsidP="00877857">
      <w:pPr>
        <w:rPr>
          <w:rFonts w:ascii="Times New Roman" w:hAnsi="Times New Roman"/>
          <w:bCs/>
        </w:rPr>
      </w:pPr>
      <w:r w:rsidRPr="00254598">
        <w:rPr>
          <w:rFonts w:ascii="Times New Roman" w:hAnsi="Times New Roman"/>
          <w:bCs/>
        </w:rPr>
        <w:t>List of approved eligibility for UM’s Graduate Scholarships</w:t>
      </w:r>
    </w:p>
    <w:p w:rsidR="00877857" w:rsidRPr="00254598" w:rsidRDefault="00877857" w:rsidP="00877857">
      <w:pPr>
        <w:rPr>
          <w:rFonts w:ascii="Times New Roman" w:hAnsi="Times New Roman"/>
        </w:rPr>
      </w:pPr>
    </w:p>
    <w:p w:rsidR="00877857" w:rsidRPr="00485661" w:rsidRDefault="00877857" w:rsidP="00877857">
      <w:pPr>
        <w:pStyle w:val="section1"/>
        <w:numPr>
          <w:ilvl w:val="0"/>
          <w:numId w:val="12"/>
        </w:numPr>
        <w:tabs>
          <w:tab w:val="left" w:pos="-630"/>
        </w:tabs>
        <w:spacing w:before="0" w:beforeAutospacing="0" w:after="0" w:afterAutospacing="0" w:line="276" w:lineRule="auto"/>
        <w:rPr>
          <w:rFonts w:asciiTheme="minorHAnsi" w:hAnsiTheme="minorHAnsi" w:cstheme="minorHAnsi"/>
        </w:rPr>
      </w:pPr>
      <w:r w:rsidRPr="00485661">
        <w:rPr>
          <w:rFonts w:asciiTheme="minorHAnsi" w:hAnsiTheme="minorHAnsi" w:cstheme="minorHAnsi"/>
        </w:rPr>
        <w:t>American Council of Learned Societies</w:t>
      </w:r>
    </w:p>
    <w:p w:rsidR="00877857" w:rsidRPr="00485661" w:rsidRDefault="00877857" w:rsidP="00877857">
      <w:pPr>
        <w:pStyle w:val="ListParagraph"/>
        <w:numPr>
          <w:ilvl w:val="0"/>
          <w:numId w:val="12"/>
        </w:numPr>
        <w:tabs>
          <w:tab w:val="left" w:pos="-630"/>
        </w:tabs>
        <w:spacing w:after="0"/>
        <w:rPr>
          <w:rFonts w:cstheme="minorHAnsi"/>
        </w:rPr>
      </w:pPr>
      <w:r w:rsidRPr="00485661">
        <w:rPr>
          <w:rFonts w:cstheme="minorHAnsi"/>
        </w:rPr>
        <w:t>American Psychological Society</w:t>
      </w:r>
    </w:p>
    <w:p w:rsidR="00877857" w:rsidRPr="00485661" w:rsidRDefault="00877857" w:rsidP="00877857">
      <w:pPr>
        <w:pStyle w:val="section1"/>
        <w:numPr>
          <w:ilvl w:val="0"/>
          <w:numId w:val="12"/>
        </w:numPr>
        <w:tabs>
          <w:tab w:val="left" w:pos="-630"/>
        </w:tabs>
        <w:spacing w:before="0" w:beforeAutospacing="0" w:after="0" w:afterAutospacing="0" w:line="276" w:lineRule="auto"/>
        <w:rPr>
          <w:rFonts w:asciiTheme="minorHAnsi" w:hAnsiTheme="minorHAnsi" w:cstheme="minorHAnsi"/>
        </w:rPr>
      </w:pPr>
      <w:proofErr w:type="spellStart"/>
      <w:r w:rsidRPr="00485661">
        <w:rPr>
          <w:rFonts w:asciiTheme="minorHAnsi" w:hAnsiTheme="minorHAnsi" w:cstheme="minorHAnsi"/>
        </w:rPr>
        <w:t>Beinecke</w:t>
      </w:r>
      <w:proofErr w:type="spellEnd"/>
      <w:r w:rsidRPr="00485661">
        <w:rPr>
          <w:rFonts w:asciiTheme="minorHAnsi" w:hAnsiTheme="minorHAnsi" w:cstheme="minorHAnsi"/>
        </w:rPr>
        <w:t xml:space="preserve"> Scholarship Program</w:t>
      </w:r>
    </w:p>
    <w:p w:rsidR="00877857" w:rsidRPr="00485661" w:rsidRDefault="00877857" w:rsidP="00877857">
      <w:pPr>
        <w:pStyle w:val="ListParagraph"/>
        <w:numPr>
          <w:ilvl w:val="0"/>
          <w:numId w:val="12"/>
        </w:numPr>
        <w:rPr>
          <w:rFonts w:cstheme="minorHAnsi"/>
        </w:rPr>
      </w:pPr>
      <w:r w:rsidRPr="00485661">
        <w:rPr>
          <w:rFonts w:cstheme="minorHAnsi"/>
        </w:rPr>
        <w:t>Bill &amp; Melinda Gates Foundation Grants</w:t>
      </w:r>
    </w:p>
    <w:p w:rsidR="00877857" w:rsidRPr="00485661" w:rsidRDefault="00877857" w:rsidP="00877857">
      <w:pPr>
        <w:pStyle w:val="ListParagraph"/>
        <w:numPr>
          <w:ilvl w:val="0"/>
          <w:numId w:val="12"/>
        </w:numPr>
        <w:rPr>
          <w:rFonts w:cstheme="minorHAnsi"/>
        </w:rPr>
      </w:pPr>
      <w:r w:rsidRPr="00485661">
        <w:rPr>
          <w:rFonts w:cstheme="minorHAnsi"/>
        </w:rPr>
        <w:t>DAAD – German Academic Exchange Service</w:t>
      </w:r>
    </w:p>
    <w:p w:rsidR="00877857" w:rsidRPr="00485661" w:rsidRDefault="00877857" w:rsidP="00877857">
      <w:pPr>
        <w:pStyle w:val="ListParagraph"/>
        <w:numPr>
          <w:ilvl w:val="0"/>
          <w:numId w:val="12"/>
        </w:numPr>
        <w:rPr>
          <w:rFonts w:cstheme="minorHAnsi"/>
        </w:rPr>
      </w:pPr>
      <w:r w:rsidRPr="00485661">
        <w:rPr>
          <w:rFonts w:cstheme="minorHAnsi"/>
        </w:rPr>
        <w:t>Department of Education Grants &amp; Fellowships</w:t>
      </w:r>
    </w:p>
    <w:p w:rsidR="00877857" w:rsidRPr="00485661" w:rsidRDefault="00877857" w:rsidP="00877857">
      <w:pPr>
        <w:pStyle w:val="ListParagraph"/>
        <w:numPr>
          <w:ilvl w:val="0"/>
          <w:numId w:val="12"/>
        </w:numPr>
        <w:rPr>
          <w:rFonts w:cstheme="minorHAnsi"/>
        </w:rPr>
      </w:pPr>
      <w:r w:rsidRPr="00485661">
        <w:rPr>
          <w:rFonts w:cstheme="minorHAnsi"/>
        </w:rPr>
        <w:t>Department of State Grants &amp; Fellowships</w:t>
      </w:r>
    </w:p>
    <w:p w:rsidR="00877857" w:rsidRPr="00485661" w:rsidRDefault="00877857" w:rsidP="00877857">
      <w:pPr>
        <w:pStyle w:val="ListParagraph"/>
        <w:numPr>
          <w:ilvl w:val="0"/>
          <w:numId w:val="12"/>
        </w:numPr>
        <w:rPr>
          <w:rFonts w:cstheme="minorHAnsi"/>
        </w:rPr>
      </w:pPr>
      <w:r w:rsidRPr="00485661">
        <w:rPr>
          <w:rFonts w:cstheme="minorHAnsi"/>
        </w:rPr>
        <w:t>European Union’s Marie Curie Fellowships</w:t>
      </w:r>
    </w:p>
    <w:p w:rsidR="00877857" w:rsidRPr="00485661" w:rsidRDefault="00877857" w:rsidP="00877857">
      <w:pPr>
        <w:pStyle w:val="ListParagraph"/>
        <w:numPr>
          <w:ilvl w:val="0"/>
          <w:numId w:val="12"/>
        </w:numPr>
        <w:rPr>
          <w:rFonts w:cstheme="minorHAnsi"/>
        </w:rPr>
      </w:pPr>
      <w:r w:rsidRPr="00485661">
        <w:rPr>
          <w:rFonts w:cstheme="minorHAnsi"/>
        </w:rPr>
        <w:t xml:space="preserve">Ford Foundation </w:t>
      </w:r>
    </w:p>
    <w:p w:rsidR="00877857" w:rsidRPr="00485661" w:rsidRDefault="00877857" w:rsidP="00877857">
      <w:pPr>
        <w:pStyle w:val="ListParagraph"/>
        <w:numPr>
          <w:ilvl w:val="0"/>
          <w:numId w:val="12"/>
        </w:numPr>
        <w:rPr>
          <w:rFonts w:cstheme="minorHAnsi"/>
        </w:rPr>
      </w:pPr>
      <w:r w:rsidRPr="00485661">
        <w:rPr>
          <w:rFonts w:cstheme="minorHAnsi"/>
        </w:rPr>
        <w:t xml:space="preserve">Fulbright </w:t>
      </w:r>
    </w:p>
    <w:p w:rsidR="00877857" w:rsidRPr="00485661" w:rsidRDefault="00877857" w:rsidP="00877857">
      <w:pPr>
        <w:pStyle w:val="ListParagraph"/>
        <w:numPr>
          <w:ilvl w:val="0"/>
          <w:numId w:val="12"/>
        </w:numPr>
        <w:rPr>
          <w:rFonts w:cstheme="minorHAnsi"/>
        </w:rPr>
      </w:pPr>
      <w:r w:rsidRPr="00485661">
        <w:rPr>
          <w:rFonts w:cstheme="minorHAnsi"/>
        </w:rPr>
        <w:t>German Marshall Fund of the U.S. Fellowships</w:t>
      </w:r>
    </w:p>
    <w:p w:rsidR="00877857" w:rsidRPr="00485661" w:rsidRDefault="00877857" w:rsidP="00877857">
      <w:pPr>
        <w:pStyle w:val="ListParagraph"/>
        <w:numPr>
          <w:ilvl w:val="0"/>
          <w:numId w:val="12"/>
        </w:numPr>
        <w:rPr>
          <w:rFonts w:cstheme="minorHAnsi"/>
        </w:rPr>
      </w:pPr>
      <w:r w:rsidRPr="00485661">
        <w:rPr>
          <w:rFonts w:cstheme="minorHAnsi"/>
        </w:rPr>
        <w:t>Institute of International Education (IIE)</w:t>
      </w:r>
    </w:p>
    <w:p w:rsidR="00877857" w:rsidRPr="00485661" w:rsidRDefault="00877857" w:rsidP="00877857">
      <w:pPr>
        <w:pStyle w:val="ListParagraph"/>
        <w:numPr>
          <w:ilvl w:val="0"/>
          <w:numId w:val="12"/>
        </w:numPr>
        <w:tabs>
          <w:tab w:val="left" w:pos="-630"/>
        </w:tabs>
        <w:spacing w:after="0"/>
        <w:rPr>
          <w:rFonts w:cstheme="minorHAnsi"/>
        </w:rPr>
      </w:pPr>
      <w:r w:rsidRPr="00485661">
        <w:rPr>
          <w:rFonts w:cstheme="minorHAnsi"/>
        </w:rPr>
        <w:t>NASA</w:t>
      </w:r>
    </w:p>
    <w:p w:rsidR="00877857" w:rsidRPr="00485661" w:rsidRDefault="00877857" w:rsidP="00877857">
      <w:pPr>
        <w:pStyle w:val="ListParagraph"/>
        <w:numPr>
          <w:ilvl w:val="0"/>
          <w:numId w:val="12"/>
        </w:numPr>
        <w:rPr>
          <w:rFonts w:cstheme="minorHAnsi"/>
        </w:rPr>
      </w:pPr>
      <w:r w:rsidRPr="00485661">
        <w:rPr>
          <w:rFonts w:cstheme="minorHAnsi"/>
        </w:rPr>
        <w:t>National Endowment for the Arts</w:t>
      </w:r>
    </w:p>
    <w:p w:rsidR="00877857" w:rsidRPr="00485661" w:rsidRDefault="00877857" w:rsidP="00877857">
      <w:pPr>
        <w:pStyle w:val="ListParagraph"/>
        <w:numPr>
          <w:ilvl w:val="0"/>
          <w:numId w:val="12"/>
        </w:numPr>
        <w:rPr>
          <w:rFonts w:cstheme="minorHAnsi"/>
        </w:rPr>
      </w:pPr>
      <w:r w:rsidRPr="00485661">
        <w:rPr>
          <w:rFonts w:cstheme="minorHAnsi"/>
        </w:rPr>
        <w:t>National Endowment for the Humanities</w:t>
      </w:r>
    </w:p>
    <w:p w:rsidR="00877857" w:rsidRPr="00485661" w:rsidRDefault="00877857" w:rsidP="00877857">
      <w:pPr>
        <w:pStyle w:val="ListParagraph"/>
        <w:numPr>
          <w:ilvl w:val="0"/>
          <w:numId w:val="12"/>
        </w:numPr>
        <w:rPr>
          <w:rFonts w:cstheme="minorHAnsi"/>
        </w:rPr>
      </w:pPr>
      <w:r w:rsidRPr="00485661">
        <w:rPr>
          <w:rFonts w:cstheme="minorHAnsi"/>
        </w:rPr>
        <w:t>NIH Grants &amp; Fellowships</w:t>
      </w:r>
    </w:p>
    <w:p w:rsidR="00877857" w:rsidRPr="00485661" w:rsidRDefault="00877857" w:rsidP="00877857">
      <w:pPr>
        <w:pStyle w:val="ListParagraph"/>
        <w:numPr>
          <w:ilvl w:val="0"/>
          <w:numId w:val="12"/>
        </w:numPr>
        <w:rPr>
          <w:rFonts w:cstheme="minorHAnsi"/>
        </w:rPr>
      </w:pPr>
      <w:r w:rsidRPr="00485661">
        <w:rPr>
          <w:rFonts w:cstheme="minorHAnsi"/>
        </w:rPr>
        <w:t>NSF Grants &amp; Fellowships</w:t>
      </w:r>
    </w:p>
    <w:p w:rsidR="00877857" w:rsidRPr="00485661" w:rsidRDefault="00877857" w:rsidP="00877857">
      <w:pPr>
        <w:pStyle w:val="section1"/>
        <w:numPr>
          <w:ilvl w:val="0"/>
          <w:numId w:val="12"/>
        </w:numPr>
        <w:tabs>
          <w:tab w:val="left" w:pos="-630"/>
        </w:tabs>
        <w:spacing w:before="0" w:beforeAutospacing="0" w:after="0" w:afterAutospacing="0" w:line="276" w:lineRule="auto"/>
        <w:rPr>
          <w:rFonts w:asciiTheme="minorHAnsi" w:hAnsiTheme="minorHAnsi" w:cstheme="minorHAnsi"/>
        </w:rPr>
      </w:pPr>
      <w:r w:rsidRPr="00485661">
        <w:rPr>
          <w:rFonts w:asciiTheme="minorHAnsi" w:hAnsiTheme="minorHAnsi" w:cstheme="minorHAnsi"/>
        </w:rPr>
        <w:lastRenderedPageBreak/>
        <w:t>Truman Capote Literary Trust</w:t>
      </w:r>
    </w:p>
    <w:p w:rsidR="00877857" w:rsidRPr="00485661" w:rsidRDefault="00877857" w:rsidP="00877857">
      <w:pPr>
        <w:pStyle w:val="ListParagraph"/>
        <w:numPr>
          <w:ilvl w:val="0"/>
          <w:numId w:val="12"/>
        </w:numPr>
        <w:rPr>
          <w:rFonts w:cstheme="minorHAnsi"/>
        </w:rPr>
      </w:pPr>
      <w:r w:rsidRPr="00485661">
        <w:rPr>
          <w:rFonts w:cstheme="minorHAnsi"/>
        </w:rPr>
        <w:t>USAID Pre-Approved graduate programs</w:t>
      </w:r>
    </w:p>
    <w:p w:rsidR="00877857" w:rsidRDefault="00877857" w:rsidP="00877857"/>
    <w:p w:rsidR="00877857" w:rsidRDefault="00877857" w:rsidP="005237C5"/>
    <w:p w:rsidR="00D0511E" w:rsidRDefault="00D0511E" w:rsidP="005237C5"/>
    <w:sectPr w:rsidR="00D0511E" w:rsidSect="00B63D7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662"/>
    <w:multiLevelType w:val="hybridMultilevel"/>
    <w:tmpl w:val="F96AD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727AF"/>
    <w:multiLevelType w:val="hybridMultilevel"/>
    <w:tmpl w:val="FADC7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712BF"/>
    <w:multiLevelType w:val="hybridMultilevel"/>
    <w:tmpl w:val="6F882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D634D9"/>
    <w:multiLevelType w:val="hybridMultilevel"/>
    <w:tmpl w:val="357AF1B2"/>
    <w:lvl w:ilvl="0" w:tplc="C0F2AD9A">
      <w:numFmt w:val="bullet"/>
      <w:lvlText w:val="-"/>
      <w:lvlJc w:val="left"/>
      <w:pPr>
        <w:ind w:left="559" w:hanging="140"/>
      </w:pPr>
      <w:rPr>
        <w:rFonts w:ascii="Times New Roman" w:eastAsia="Times New Roman" w:hAnsi="Times New Roman" w:cs="Times New Roman" w:hint="default"/>
        <w:spacing w:val="-1"/>
        <w:w w:val="100"/>
        <w:sz w:val="24"/>
        <w:szCs w:val="24"/>
      </w:rPr>
    </w:lvl>
    <w:lvl w:ilvl="1" w:tplc="88605F8A">
      <w:numFmt w:val="bullet"/>
      <w:lvlText w:val="•"/>
      <w:lvlJc w:val="left"/>
      <w:pPr>
        <w:ind w:left="1462" w:hanging="140"/>
      </w:pPr>
      <w:rPr>
        <w:rFonts w:hint="default"/>
      </w:rPr>
    </w:lvl>
    <w:lvl w:ilvl="2" w:tplc="B0369F70">
      <w:numFmt w:val="bullet"/>
      <w:lvlText w:val="•"/>
      <w:lvlJc w:val="left"/>
      <w:pPr>
        <w:ind w:left="2364" w:hanging="140"/>
      </w:pPr>
      <w:rPr>
        <w:rFonts w:hint="default"/>
      </w:rPr>
    </w:lvl>
    <w:lvl w:ilvl="3" w:tplc="23049412">
      <w:numFmt w:val="bullet"/>
      <w:lvlText w:val="•"/>
      <w:lvlJc w:val="left"/>
      <w:pPr>
        <w:ind w:left="3266" w:hanging="140"/>
      </w:pPr>
      <w:rPr>
        <w:rFonts w:hint="default"/>
      </w:rPr>
    </w:lvl>
    <w:lvl w:ilvl="4" w:tplc="19BC98E8">
      <w:numFmt w:val="bullet"/>
      <w:lvlText w:val="•"/>
      <w:lvlJc w:val="left"/>
      <w:pPr>
        <w:ind w:left="4168" w:hanging="140"/>
      </w:pPr>
      <w:rPr>
        <w:rFonts w:hint="default"/>
      </w:rPr>
    </w:lvl>
    <w:lvl w:ilvl="5" w:tplc="7A244998">
      <w:numFmt w:val="bullet"/>
      <w:lvlText w:val="•"/>
      <w:lvlJc w:val="left"/>
      <w:pPr>
        <w:ind w:left="5070" w:hanging="140"/>
      </w:pPr>
      <w:rPr>
        <w:rFonts w:hint="default"/>
      </w:rPr>
    </w:lvl>
    <w:lvl w:ilvl="6" w:tplc="C6BEEBC2">
      <w:numFmt w:val="bullet"/>
      <w:lvlText w:val="•"/>
      <w:lvlJc w:val="left"/>
      <w:pPr>
        <w:ind w:left="5972" w:hanging="140"/>
      </w:pPr>
      <w:rPr>
        <w:rFonts w:hint="default"/>
      </w:rPr>
    </w:lvl>
    <w:lvl w:ilvl="7" w:tplc="F09ADFDC">
      <w:numFmt w:val="bullet"/>
      <w:lvlText w:val="•"/>
      <w:lvlJc w:val="left"/>
      <w:pPr>
        <w:ind w:left="6874" w:hanging="140"/>
      </w:pPr>
      <w:rPr>
        <w:rFonts w:hint="default"/>
      </w:rPr>
    </w:lvl>
    <w:lvl w:ilvl="8" w:tplc="A974357A">
      <w:numFmt w:val="bullet"/>
      <w:lvlText w:val="•"/>
      <w:lvlJc w:val="left"/>
      <w:pPr>
        <w:ind w:left="7776" w:hanging="140"/>
      </w:pPr>
      <w:rPr>
        <w:rFonts w:hint="default"/>
      </w:rPr>
    </w:lvl>
  </w:abstractNum>
  <w:abstractNum w:abstractNumId="7" w15:restartNumberingAfterBreak="0">
    <w:nsid w:val="32E5298B"/>
    <w:multiLevelType w:val="hybridMultilevel"/>
    <w:tmpl w:val="E07EF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2D6772"/>
    <w:multiLevelType w:val="hybridMultilevel"/>
    <w:tmpl w:val="888A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34A1"/>
    <w:multiLevelType w:val="hybridMultilevel"/>
    <w:tmpl w:val="961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41ED8"/>
    <w:multiLevelType w:val="hybridMultilevel"/>
    <w:tmpl w:val="1B74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B9347E"/>
    <w:multiLevelType w:val="hybridMultilevel"/>
    <w:tmpl w:val="C9D0A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23694"/>
    <w:multiLevelType w:val="hybridMultilevel"/>
    <w:tmpl w:val="37D8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0"/>
  </w:num>
  <w:num w:numId="8">
    <w:abstractNumId w:val="5"/>
  </w:num>
  <w:num w:numId="9">
    <w:abstractNumId w:val="16"/>
  </w:num>
  <w:num w:numId="10">
    <w:abstractNumId w:val="11"/>
  </w:num>
  <w:num w:numId="11">
    <w:abstractNumId w:val="10"/>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6"/>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5E46"/>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3D34"/>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41F1"/>
    <w:rsid w:val="00146088"/>
    <w:rsid w:val="0014618D"/>
    <w:rsid w:val="0015586D"/>
    <w:rsid w:val="00162C52"/>
    <w:rsid w:val="00165C09"/>
    <w:rsid w:val="00165D86"/>
    <w:rsid w:val="00165F67"/>
    <w:rsid w:val="001666F1"/>
    <w:rsid w:val="001667CC"/>
    <w:rsid w:val="001709AE"/>
    <w:rsid w:val="00176C36"/>
    <w:rsid w:val="00177AFF"/>
    <w:rsid w:val="001864C2"/>
    <w:rsid w:val="0018652B"/>
    <w:rsid w:val="00186DD0"/>
    <w:rsid w:val="001904CF"/>
    <w:rsid w:val="001919F9"/>
    <w:rsid w:val="00192019"/>
    <w:rsid w:val="001949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2B12"/>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0B11"/>
    <w:rsid w:val="00226DCA"/>
    <w:rsid w:val="002270ED"/>
    <w:rsid w:val="002304CF"/>
    <w:rsid w:val="002364D6"/>
    <w:rsid w:val="00237074"/>
    <w:rsid w:val="00237948"/>
    <w:rsid w:val="00237EAE"/>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1BE"/>
    <w:rsid w:val="002847D9"/>
    <w:rsid w:val="00284D7A"/>
    <w:rsid w:val="00285E02"/>
    <w:rsid w:val="0029068F"/>
    <w:rsid w:val="00290751"/>
    <w:rsid w:val="00291678"/>
    <w:rsid w:val="00292977"/>
    <w:rsid w:val="00296C9D"/>
    <w:rsid w:val="002A0915"/>
    <w:rsid w:val="002A0C5C"/>
    <w:rsid w:val="002A1308"/>
    <w:rsid w:val="002A2B2D"/>
    <w:rsid w:val="002A2D3C"/>
    <w:rsid w:val="002A56B9"/>
    <w:rsid w:val="002A7852"/>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DD0"/>
    <w:rsid w:val="00321D14"/>
    <w:rsid w:val="003227C5"/>
    <w:rsid w:val="00324693"/>
    <w:rsid w:val="00325882"/>
    <w:rsid w:val="00330226"/>
    <w:rsid w:val="0033091B"/>
    <w:rsid w:val="003312D5"/>
    <w:rsid w:val="00333927"/>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592"/>
    <w:rsid w:val="003739F2"/>
    <w:rsid w:val="00373DC3"/>
    <w:rsid w:val="00373F2E"/>
    <w:rsid w:val="00375E86"/>
    <w:rsid w:val="0037747F"/>
    <w:rsid w:val="0038494D"/>
    <w:rsid w:val="003856BC"/>
    <w:rsid w:val="00385C63"/>
    <w:rsid w:val="003900DD"/>
    <w:rsid w:val="00390CC0"/>
    <w:rsid w:val="003929A2"/>
    <w:rsid w:val="00393C53"/>
    <w:rsid w:val="00395721"/>
    <w:rsid w:val="00396398"/>
    <w:rsid w:val="0039703D"/>
    <w:rsid w:val="003A0E24"/>
    <w:rsid w:val="003A22E1"/>
    <w:rsid w:val="003A393C"/>
    <w:rsid w:val="003A4413"/>
    <w:rsid w:val="003A475B"/>
    <w:rsid w:val="003A538C"/>
    <w:rsid w:val="003A5C51"/>
    <w:rsid w:val="003A5E77"/>
    <w:rsid w:val="003A7D59"/>
    <w:rsid w:val="003B1084"/>
    <w:rsid w:val="003B28E0"/>
    <w:rsid w:val="003B3061"/>
    <w:rsid w:val="003C568D"/>
    <w:rsid w:val="003D16DC"/>
    <w:rsid w:val="003D1AF6"/>
    <w:rsid w:val="003D52B1"/>
    <w:rsid w:val="003E146A"/>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5770D"/>
    <w:rsid w:val="0046022D"/>
    <w:rsid w:val="00460D6D"/>
    <w:rsid w:val="00460FBF"/>
    <w:rsid w:val="00461836"/>
    <w:rsid w:val="00463064"/>
    <w:rsid w:val="00465684"/>
    <w:rsid w:val="00466240"/>
    <w:rsid w:val="00466801"/>
    <w:rsid w:val="00466BC8"/>
    <w:rsid w:val="00466D47"/>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5D2D"/>
    <w:rsid w:val="004C02A7"/>
    <w:rsid w:val="004C267D"/>
    <w:rsid w:val="004C33E5"/>
    <w:rsid w:val="004C4BB9"/>
    <w:rsid w:val="004C78B9"/>
    <w:rsid w:val="004C7E1E"/>
    <w:rsid w:val="004D5DE8"/>
    <w:rsid w:val="004D7262"/>
    <w:rsid w:val="004D7992"/>
    <w:rsid w:val="004E1148"/>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5"/>
    <w:rsid w:val="00582C67"/>
    <w:rsid w:val="005854E7"/>
    <w:rsid w:val="00586BB5"/>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C5E49"/>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2670A"/>
    <w:rsid w:val="00630A23"/>
    <w:rsid w:val="00630C50"/>
    <w:rsid w:val="006315EF"/>
    <w:rsid w:val="00631FDF"/>
    <w:rsid w:val="006333A7"/>
    <w:rsid w:val="00634555"/>
    <w:rsid w:val="00635631"/>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050"/>
    <w:rsid w:val="006859F7"/>
    <w:rsid w:val="006862F7"/>
    <w:rsid w:val="00686E98"/>
    <w:rsid w:val="00691636"/>
    <w:rsid w:val="0069269C"/>
    <w:rsid w:val="006949D2"/>
    <w:rsid w:val="006950A2"/>
    <w:rsid w:val="006968B6"/>
    <w:rsid w:val="00697365"/>
    <w:rsid w:val="006979BF"/>
    <w:rsid w:val="006A0EBE"/>
    <w:rsid w:val="006A1A9E"/>
    <w:rsid w:val="006A2170"/>
    <w:rsid w:val="006A5E64"/>
    <w:rsid w:val="006A7400"/>
    <w:rsid w:val="006A79E4"/>
    <w:rsid w:val="006B10A3"/>
    <w:rsid w:val="006B2D65"/>
    <w:rsid w:val="006B42B0"/>
    <w:rsid w:val="006B4DB9"/>
    <w:rsid w:val="006B5E6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514B"/>
    <w:rsid w:val="006E7554"/>
    <w:rsid w:val="006E77E2"/>
    <w:rsid w:val="006F333F"/>
    <w:rsid w:val="006F34D7"/>
    <w:rsid w:val="006F4570"/>
    <w:rsid w:val="006F4769"/>
    <w:rsid w:val="006F7841"/>
    <w:rsid w:val="006F7B15"/>
    <w:rsid w:val="00706FEC"/>
    <w:rsid w:val="00711824"/>
    <w:rsid w:val="007140A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0EF1"/>
    <w:rsid w:val="007C50C2"/>
    <w:rsid w:val="007C71BC"/>
    <w:rsid w:val="007D1516"/>
    <w:rsid w:val="007D2015"/>
    <w:rsid w:val="007D3FB5"/>
    <w:rsid w:val="007D52BE"/>
    <w:rsid w:val="007D6BB9"/>
    <w:rsid w:val="007E20E2"/>
    <w:rsid w:val="007E274E"/>
    <w:rsid w:val="007E2903"/>
    <w:rsid w:val="007E41E5"/>
    <w:rsid w:val="007E4FF5"/>
    <w:rsid w:val="007E5E4E"/>
    <w:rsid w:val="007E679F"/>
    <w:rsid w:val="007E7323"/>
    <w:rsid w:val="007F19D6"/>
    <w:rsid w:val="007F2A9B"/>
    <w:rsid w:val="007F7C8C"/>
    <w:rsid w:val="007F7FD2"/>
    <w:rsid w:val="008004F5"/>
    <w:rsid w:val="00801679"/>
    <w:rsid w:val="0080253E"/>
    <w:rsid w:val="00804791"/>
    <w:rsid w:val="00804E97"/>
    <w:rsid w:val="00805F10"/>
    <w:rsid w:val="0080741E"/>
    <w:rsid w:val="0081099B"/>
    <w:rsid w:val="00811C2F"/>
    <w:rsid w:val="008153B6"/>
    <w:rsid w:val="008154DC"/>
    <w:rsid w:val="0081695B"/>
    <w:rsid w:val="00816BD9"/>
    <w:rsid w:val="00816D65"/>
    <w:rsid w:val="00820982"/>
    <w:rsid w:val="00820DB5"/>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3EAD"/>
    <w:rsid w:val="0085780F"/>
    <w:rsid w:val="00860DC5"/>
    <w:rsid w:val="00861F90"/>
    <w:rsid w:val="00864538"/>
    <w:rsid w:val="00865003"/>
    <w:rsid w:val="00865966"/>
    <w:rsid w:val="008662E9"/>
    <w:rsid w:val="008736C5"/>
    <w:rsid w:val="008737A9"/>
    <w:rsid w:val="0087668A"/>
    <w:rsid w:val="00876A87"/>
    <w:rsid w:val="0087785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76C"/>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5ACA"/>
    <w:rsid w:val="009B674A"/>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5F33"/>
    <w:rsid w:val="00A16F2D"/>
    <w:rsid w:val="00A213CE"/>
    <w:rsid w:val="00A21C5A"/>
    <w:rsid w:val="00A22525"/>
    <w:rsid w:val="00A2389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208"/>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6540"/>
    <w:rsid w:val="00AD7D8B"/>
    <w:rsid w:val="00AE1E2C"/>
    <w:rsid w:val="00AE20FF"/>
    <w:rsid w:val="00AE328F"/>
    <w:rsid w:val="00AF6CDD"/>
    <w:rsid w:val="00B00E2B"/>
    <w:rsid w:val="00B01A5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2B30"/>
    <w:rsid w:val="00B5311A"/>
    <w:rsid w:val="00B561CA"/>
    <w:rsid w:val="00B6014C"/>
    <w:rsid w:val="00B60D59"/>
    <w:rsid w:val="00B610C4"/>
    <w:rsid w:val="00B62888"/>
    <w:rsid w:val="00B63D7D"/>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4CE"/>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5BCF"/>
    <w:rsid w:val="00BF67DF"/>
    <w:rsid w:val="00BF7700"/>
    <w:rsid w:val="00C01E3B"/>
    <w:rsid w:val="00C04BAB"/>
    <w:rsid w:val="00C04C79"/>
    <w:rsid w:val="00C10FC4"/>
    <w:rsid w:val="00C13542"/>
    <w:rsid w:val="00C1559D"/>
    <w:rsid w:val="00C17273"/>
    <w:rsid w:val="00C179CA"/>
    <w:rsid w:val="00C20276"/>
    <w:rsid w:val="00C245C3"/>
    <w:rsid w:val="00C269DA"/>
    <w:rsid w:val="00C3457A"/>
    <w:rsid w:val="00C3544D"/>
    <w:rsid w:val="00C35C99"/>
    <w:rsid w:val="00C35EF4"/>
    <w:rsid w:val="00C3608F"/>
    <w:rsid w:val="00C4000D"/>
    <w:rsid w:val="00C404B5"/>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3DD0"/>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11E"/>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270BC"/>
    <w:rsid w:val="00D30049"/>
    <w:rsid w:val="00D31A99"/>
    <w:rsid w:val="00D31C40"/>
    <w:rsid w:val="00D325EB"/>
    <w:rsid w:val="00D32DE1"/>
    <w:rsid w:val="00D34842"/>
    <w:rsid w:val="00D34888"/>
    <w:rsid w:val="00D360C6"/>
    <w:rsid w:val="00D426E7"/>
    <w:rsid w:val="00D42E5F"/>
    <w:rsid w:val="00D4333B"/>
    <w:rsid w:val="00D44639"/>
    <w:rsid w:val="00D45C18"/>
    <w:rsid w:val="00D502CB"/>
    <w:rsid w:val="00D518A4"/>
    <w:rsid w:val="00D522DD"/>
    <w:rsid w:val="00D549ED"/>
    <w:rsid w:val="00D54AB2"/>
    <w:rsid w:val="00D5573A"/>
    <w:rsid w:val="00D55ECE"/>
    <w:rsid w:val="00D565E0"/>
    <w:rsid w:val="00D57126"/>
    <w:rsid w:val="00D57168"/>
    <w:rsid w:val="00D618DC"/>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62E9"/>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12AE"/>
    <w:rsid w:val="00DC1A70"/>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1D32"/>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784"/>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56D23"/>
    <w:rsid w:val="00E61E67"/>
    <w:rsid w:val="00E629B4"/>
    <w:rsid w:val="00E62CED"/>
    <w:rsid w:val="00E67960"/>
    <w:rsid w:val="00E710B3"/>
    <w:rsid w:val="00E71419"/>
    <w:rsid w:val="00E72480"/>
    <w:rsid w:val="00E8070A"/>
    <w:rsid w:val="00E82CE7"/>
    <w:rsid w:val="00E82DBE"/>
    <w:rsid w:val="00E83501"/>
    <w:rsid w:val="00E84519"/>
    <w:rsid w:val="00E8567B"/>
    <w:rsid w:val="00E87DAC"/>
    <w:rsid w:val="00E90405"/>
    <w:rsid w:val="00E90CDB"/>
    <w:rsid w:val="00E90FA1"/>
    <w:rsid w:val="00E92D3D"/>
    <w:rsid w:val="00E95203"/>
    <w:rsid w:val="00E95C18"/>
    <w:rsid w:val="00E964D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4A63"/>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39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28F7"/>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4E2B"/>
    <w:rsid w:val="00FA57B6"/>
    <w:rsid w:val="00FA5F60"/>
    <w:rsid w:val="00FA7E0B"/>
    <w:rsid w:val="00FB0A49"/>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6A"/>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F8BA8"/>
  <w15:docId w15:val="{62DF1ACA-D096-4BB2-B337-8CFC9A7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 w:type="paragraph" w:customStyle="1" w:styleId="section1">
    <w:name w:val="section1"/>
    <w:basedOn w:val="Normal"/>
    <w:rsid w:val="006E514B"/>
    <w:pPr>
      <w:spacing w:before="100" w:beforeAutospacing="1" w:after="100" w:afterAutospacing="1" w:line="240" w:lineRule="auto"/>
      <w:ind w:firstLine="360"/>
    </w:pPr>
    <w:rPr>
      <w:rFonts w:ascii="Calibri" w:eastAsia="Times New Roman" w:hAnsi="Calibri" w:cs="Times New Roman"/>
    </w:rPr>
  </w:style>
  <w:style w:type="paragraph" w:styleId="BodyText">
    <w:name w:val="Body Text"/>
    <w:basedOn w:val="Normal"/>
    <w:link w:val="BodyTextChar"/>
    <w:uiPriority w:val="1"/>
    <w:qFormat/>
    <w:rsid w:val="00D0511E"/>
    <w:pPr>
      <w:widowControl w:val="0"/>
      <w:autoSpaceDE w:val="0"/>
      <w:autoSpaceDN w:val="0"/>
      <w:spacing w:after="0" w:line="240" w:lineRule="auto"/>
      <w:ind w:left="5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511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0511E"/>
    <w:pPr>
      <w:widowControl w:val="0"/>
      <w:autoSpaceDE w:val="0"/>
      <w:autoSpaceDN w:val="0"/>
      <w:spacing w:after="0" w:line="258" w:lineRule="exact"/>
      <w:ind w:left="105"/>
    </w:pPr>
    <w:rPr>
      <w:rFonts w:ascii="Gill Sans MT" w:eastAsia="Gill Sans MT" w:hAnsi="Gill Sans MT" w:cs="Gill Sans MT"/>
    </w:rPr>
  </w:style>
  <w:style w:type="paragraph" w:customStyle="1" w:styleId="Default">
    <w:name w:val="Default"/>
    <w:rsid w:val="00877857"/>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183">
      <w:bodyDiv w:val="1"/>
      <w:marLeft w:val="0"/>
      <w:marRight w:val="0"/>
      <w:marTop w:val="0"/>
      <w:marBottom w:val="0"/>
      <w:divBdr>
        <w:top w:val="none" w:sz="0" w:space="0" w:color="auto"/>
        <w:left w:val="none" w:sz="0" w:space="0" w:color="auto"/>
        <w:bottom w:val="none" w:sz="0" w:space="0" w:color="auto"/>
        <w:right w:val="none" w:sz="0" w:space="0" w:color="auto"/>
      </w:divBdr>
    </w:div>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37552146">
      <w:bodyDiv w:val="1"/>
      <w:marLeft w:val="0"/>
      <w:marRight w:val="0"/>
      <w:marTop w:val="0"/>
      <w:marBottom w:val="0"/>
      <w:divBdr>
        <w:top w:val="none" w:sz="0" w:space="0" w:color="auto"/>
        <w:left w:val="none" w:sz="0" w:space="0" w:color="auto"/>
        <w:bottom w:val="none" w:sz="0" w:space="0" w:color="auto"/>
        <w:right w:val="none" w:sz="0" w:space="0" w:color="auto"/>
      </w:divBdr>
    </w:div>
    <w:div w:id="100492660">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51025780">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054046116">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19283640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290016236">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0668397">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401714223">
      <w:bodyDiv w:val="1"/>
      <w:marLeft w:val="0"/>
      <w:marRight w:val="0"/>
      <w:marTop w:val="0"/>
      <w:marBottom w:val="0"/>
      <w:divBdr>
        <w:top w:val="none" w:sz="0" w:space="0" w:color="auto"/>
        <w:left w:val="none" w:sz="0" w:space="0" w:color="auto"/>
        <w:bottom w:val="none" w:sz="0" w:space="0" w:color="auto"/>
        <w:right w:val="none" w:sz="0" w:space="0" w:color="auto"/>
      </w:divBdr>
    </w:div>
    <w:div w:id="1489899382">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547449646">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690181211">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757365539">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du/borpol/bor900/940-31.pdf" TargetMode="External"/><Relationship Id="rId3" Type="http://schemas.openxmlformats.org/officeDocument/2006/relationships/settings" Target="settings.xml"/><Relationship Id="rId7" Type="http://schemas.openxmlformats.org/officeDocument/2006/relationships/hyperlink" Target="http://www.umt.edu/grad/Faculty%20and%20Staff/Graduate%20Administration/TARA.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quel1.arouca@umontana.edu" TargetMode="External"/><Relationship Id="rId11" Type="http://schemas.openxmlformats.org/officeDocument/2006/relationships/fontTable" Target="fontTable.xml"/><Relationship Id="rId5" Type="http://schemas.openxmlformats.org/officeDocument/2006/relationships/hyperlink" Target="http://www.umt.edu/grad/AGEP-COSMOS/default.php" TargetMode="External"/><Relationship Id="rId10" Type="http://schemas.openxmlformats.org/officeDocument/2006/relationships/hyperlink" Target="http://www.umt.edu/grad/Faculty%20and%20Staff/Graduate%20Administration/TARA.php" TargetMode="External"/><Relationship Id="rId4" Type="http://schemas.openxmlformats.org/officeDocument/2006/relationships/webSettings" Target="webSettings.xml"/><Relationship Id="rId9" Type="http://schemas.openxmlformats.org/officeDocument/2006/relationships/hyperlink" Target="http://www.umt.edu/grad/Tuition_and_Funding/Deans%20Merit%20Awar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2017-09-26T21:50:00Z</dcterms:created>
  <dcterms:modified xsi:type="dcterms:W3CDTF">2017-09-26T21:50:00Z</dcterms:modified>
</cp:coreProperties>
</file>