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4F4DF" w14:textId="77777777" w:rsidR="009027C5" w:rsidRDefault="009027C5" w:rsidP="009027C5">
      <w:pPr>
        <w:pStyle w:val="Heading1"/>
        <w:rPr>
          <w:noProof/>
        </w:rPr>
      </w:pPr>
      <w:r>
        <w:rPr>
          <w:noProof/>
        </w:rPr>
        <w:drawing>
          <wp:anchor distT="0" distB="0" distL="114300" distR="114300" simplePos="0" relativeHeight="251659264" behindDoc="1" locked="0" layoutInCell="1" allowOverlap="1" wp14:anchorId="4A740654" wp14:editId="6023AFBD">
            <wp:simplePos x="0" y="0"/>
            <wp:positionH relativeFrom="column">
              <wp:posOffset>4429125</wp:posOffset>
            </wp:positionH>
            <wp:positionV relativeFrom="paragraph">
              <wp:posOffset>133350</wp:posOffset>
            </wp:positionV>
            <wp:extent cx="1514475" cy="419100"/>
            <wp:effectExtent l="0" t="0" r="9525" b="0"/>
            <wp:wrapTight wrapText="bothSides">
              <wp:wrapPolygon edited="0">
                <wp:start x="0" y="0"/>
                <wp:lineTo x="0" y="15709"/>
                <wp:lineTo x="1087" y="16691"/>
                <wp:lineTo x="1087" y="20618"/>
                <wp:lineTo x="21464" y="20618"/>
                <wp:lineTo x="21464" y="1964"/>
                <wp:lineTo x="15487" y="0"/>
                <wp:lineTo x="0" y="0"/>
              </wp:wrapPolygon>
            </wp:wrapTight>
            <wp:docPr id="4" name="Picture 4" descr="Description: FSonlly" title="Faculty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Sonlly"/>
                    <pic:cNvPicPr>
                      <a:picLocks noChangeAspect="1" noChangeArrowheads="1"/>
                    </pic:cNvPicPr>
                  </pic:nvPicPr>
                  <pic:blipFill>
                    <a:blip r:embed="rId6" cstate="print"/>
                    <a:srcRect/>
                    <a:stretch>
                      <a:fillRect/>
                    </a:stretch>
                  </pic:blipFill>
                  <pic:spPr bwMode="auto">
                    <a:xfrm>
                      <a:off x="0" y="0"/>
                      <a:ext cx="151447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419BCBA" wp14:editId="7A6A07F4">
            <wp:simplePos x="0" y="0"/>
            <wp:positionH relativeFrom="column">
              <wp:posOffset>-47625</wp:posOffset>
            </wp:positionH>
            <wp:positionV relativeFrom="paragraph">
              <wp:posOffset>274320</wp:posOffset>
            </wp:positionV>
            <wp:extent cx="4325112" cy="310896"/>
            <wp:effectExtent l="0" t="0" r="0" b="0"/>
            <wp:wrapThrough wrapText="bothSides">
              <wp:wrapPolygon edited="0">
                <wp:start x="0" y="0"/>
                <wp:lineTo x="0" y="19877"/>
                <wp:lineTo x="21502" y="19877"/>
                <wp:lineTo x="21502" y="0"/>
                <wp:lineTo x="0" y="0"/>
              </wp:wrapPolygon>
            </wp:wrapThrough>
            <wp:docPr id="5" name="Picture 5" descr="Description: umlogostretch450mw" title="The Universit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mlogostretch450m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5112" cy="3108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t>Procedure</w:t>
      </w:r>
      <w:r w:rsidRPr="0092488E">
        <w:rPr>
          <w:rFonts w:cs="Arial"/>
          <w:noProof/>
        </w:rPr>
        <w:t xml:space="preserve"> </w:t>
      </w:r>
      <w:r>
        <w:rPr>
          <w:rFonts w:cs="Arial"/>
          <w:noProof/>
        </w:rPr>
        <w:tab/>
      </w:r>
      <w:r>
        <w:rPr>
          <w:rFonts w:cs="Arial"/>
          <w:noProof/>
        </w:rPr>
        <w:tab/>
        <w:t>General Education Subcommittee Responsibilities</w:t>
      </w:r>
    </w:p>
    <w:p w14:paraId="22C2EE8C" w14:textId="7D116BCE" w:rsidR="009027C5" w:rsidRPr="002071FD" w:rsidRDefault="009027C5" w:rsidP="009027C5">
      <w:pPr>
        <w:rPr>
          <w:rFonts w:cs="Arial"/>
          <w:noProof/>
        </w:rPr>
      </w:pPr>
      <w:r w:rsidRPr="00073E2B">
        <w:rPr>
          <w:rStyle w:val="SubtleReference"/>
        </w:rPr>
        <w:t xml:space="preserve">Procedure </w:t>
      </w:r>
      <w:r w:rsidRPr="002071FD">
        <w:rPr>
          <w:rStyle w:val="SubtleReference"/>
        </w:rPr>
        <w:t>Number:</w:t>
      </w:r>
      <w:r w:rsidRPr="002071FD">
        <w:rPr>
          <w:rFonts w:cs="Arial"/>
          <w:noProof/>
        </w:rPr>
        <w:tab/>
        <w:t>20</w:t>
      </w:r>
      <w:r>
        <w:rPr>
          <w:rFonts w:cs="Arial"/>
          <w:noProof/>
        </w:rPr>
        <w:t>2.4.1</w:t>
      </w:r>
      <w:r w:rsidRPr="002071FD">
        <w:rPr>
          <w:rFonts w:cs="Arial"/>
          <w:noProof/>
        </w:rPr>
        <w:br/>
      </w:r>
      <w:r w:rsidRPr="002071FD">
        <w:rPr>
          <w:rStyle w:val="SubtleReference"/>
        </w:rPr>
        <w:t>Date Adopted:</w:t>
      </w:r>
      <w:r w:rsidRPr="002071FD">
        <w:rPr>
          <w:rStyle w:val="SubtleReference"/>
        </w:rPr>
        <w:tab/>
      </w:r>
      <w:r>
        <w:rPr>
          <w:rFonts w:cs="Arial"/>
          <w:noProof/>
        </w:rPr>
        <w:t>1/27/11</w:t>
      </w:r>
      <w:r w:rsidRPr="002071FD">
        <w:rPr>
          <w:rFonts w:cs="Arial"/>
          <w:noProof/>
        </w:rPr>
        <w:t xml:space="preserve">  </w:t>
      </w:r>
      <w:r w:rsidRPr="002071FD">
        <w:rPr>
          <w:rFonts w:cs="Arial"/>
          <w:noProof/>
        </w:rPr>
        <w:br/>
      </w:r>
      <w:r w:rsidRPr="002071FD">
        <w:rPr>
          <w:rStyle w:val="SubtleReference"/>
        </w:rPr>
        <w:t>Last Revision:</w:t>
      </w:r>
      <w:r w:rsidRPr="002071FD">
        <w:rPr>
          <w:rStyle w:val="SubtleReference"/>
        </w:rPr>
        <w:tab/>
      </w:r>
      <w:r w:rsidRPr="002071FD">
        <w:rPr>
          <w:rFonts w:cs="Arial"/>
          <w:noProof/>
        </w:rPr>
        <w:tab/>
      </w:r>
      <w:r>
        <w:rPr>
          <w:rFonts w:cs="Arial"/>
          <w:noProof/>
        </w:rPr>
        <w:t>11/30/11</w:t>
      </w:r>
      <w:r w:rsidR="00340292">
        <w:rPr>
          <w:rFonts w:cs="Arial"/>
          <w:noProof/>
        </w:rPr>
        <w:t>, 4/12/18</w:t>
      </w:r>
    </w:p>
    <w:p w14:paraId="2B463B0A" w14:textId="2E874DA1" w:rsidR="009027C5" w:rsidRPr="002071FD" w:rsidRDefault="009027C5" w:rsidP="009027C5">
      <w:pPr>
        <w:rPr>
          <w:rFonts w:cs="Arial"/>
          <w:noProof/>
        </w:rPr>
      </w:pPr>
      <w:r w:rsidRPr="00157E1D">
        <w:rPr>
          <w:rStyle w:val="SubtleReference"/>
        </w:rPr>
        <w:t>References:</w:t>
      </w:r>
      <w:r>
        <w:rPr>
          <w:rFonts w:cs="Arial"/>
          <w:noProof/>
        </w:rPr>
        <w:tab/>
      </w:r>
      <w:r>
        <w:rPr>
          <w:rFonts w:cs="Arial"/>
          <w:noProof/>
        </w:rPr>
        <w:tab/>
        <w:t>General Education Framework, General Education Course Criteria and Learning  Outcomes</w:t>
      </w:r>
      <w:r w:rsidRPr="007D7714">
        <w:rPr>
          <w:rFonts w:cs="Arial"/>
          <w:noProof/>
        </w:rPr>
        <w:tab/>
      </w:r>
      <w:r>
        <w:rPr>
          <w:rFonts w:cs="Arial"/>
          <w:noProof/>
        </w:rPr>
        <w:br/>
      </w:r>
      <w:r w:rsidRPr="00157E1D">
        <w:rPr>
          <w:rStyle w:val="SubtleReference"/>
        </w:rPr>
        <w:t>Approved by:</w:t>
      </w:r>
      <w:r>
        <w:rPr>
          <w:rFonts w:cs="Arial"/>
          <w:noProof/>
        </w:rPr>
        <w:tab/>
      </w:r>
      <w:r>
        <w:rPr>
          <w:rFonts w:cs="Arial"/>
          <w:noProof/>
        </w:rPr>
        <w:tab/>
        <w:t xml:space="preserve">ASCRC and General Education Commitee </w:t>
      </w:r>
      <w:r w:rsidRPr="002071FD">
        <w:rPr>
          <w:rStyle w:val="Heading2Char"/>
          <w:sz w:val="22"/>
          <w:szCs w:val="22"/>
        </w:rPr>
        <w:tab/>
      </w:r>
      <w:r w:rsidRPr="002071FD">
        <w:rPr>
          <w:rStyle w:val="Heading2Char"/>
          <w:sz w:val="22"/>
          <w:szCs w:val="22"/>
        </w:rPr>
        <w:tab/>
      </w:r>
    </w:p>
    <w:p w14:paraId="4053C1BB" w14:textId="77777777" w:rsidR="009027C5" w:rsidRDefault="009027C5" w:rsidP="009027C5">
      <w:pPr>
        <w:rPr>
          <w:rFonts w:cs="Arial"/>
        </w:rPr>
      </w:pPr>
      <w:r w:rsidRPr="00E67679">
        <w:rPr>
          <w:rStyle w:val="Heading2Char"/>
          <w:noProof/>
        </w:rPr>
        <mc:AlternateContent>
          <mc:Choice Requires="wps">
            <w:drawing>
              <wp:anchor distT="0" distB="0" distL="114300" distR="114300" simplePos="0" relativeHeight="251661312" behindDoc="0" locked="0" layoutInCell="0" allowOverlap="1" wp14:anchorId="50C01A6B" wp14:editId="74C26198">
                <wp:simplePos x="0" y="0"/>
                <wp:positionH relativeFrom="column">
                  <wp:posOffset>-47625</wp:posOffset>
                </wp:positionH>
                <wp:positionV relativeFrom="paragraph">
                  <wp:posOffset>137795</wp:posOffset>
                </wp:positionV>
                <wp:extent cx="5991225" cy="0"/>
                <wp:effectExtent l="0" t="0" r="9525" b="19050"/>
                <wp:wrapNone/>
                <wp:docPr id="3"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alt="Title: Seperation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BAlDH3GwIAAHoEAAAOAAAAAAAAAAAAAAAAAC4CAABkcnMvZTJvRG9jLnhtbFBLAQItABQA&#10;BgAIAAAAIQAPkD3a3AAAAAgBAAAPAAAAAAAAAAAAAAAAAHUEAABkcnMvZG93bnJldi54bWxQSwUG&#10;AAAAAAQABADzAAAAfgUAAAAA&#10;" o:allowincell="f" strokecolor="#6c324c" strokeweight="1.5pt"/>
            </w:pict>
          </mc:Fallback>
        </mc:AlternateContent>
      </w:r>
    </w:p>
    <w:p w14:paraId="683BE744" w14:textId="77777777" w:rsidR="009027C5" w:rsidRDefault="009027C5" w:rsidP="009027C5">
      <w:pPr>
        <w:pStyle w:val="Heading2"/>
      </w:pPr>
      <w:r>
        <w:rPr>
          <w:rFonts w:cstheme="minorHAnsi"/>
          <w:noProof/>
        </w:rPr>
        <w:br/>
      </w:r>
      <w:r w:rsidRPr="00157E1D">
        <w:t>Curriculum</w:t>
      </w:r>
      <w:r>
        <w:t xml:space="preserve"> Subcommittee Membership</w:t>
      </w:r>
    </w:p>
    <w:p w14:paraId="5D240EB7" w14:textId="77777777" w:rsidR="009027C5" w:rsidRDefault="009027C5" w:rsidP="009027C5">
      <w:r>
        <w:t xml:space="preserve">General Education Curriculum Subcommittees are organized according to Groups II </w:t>
      </w:r>
      <w:bookmarkStart w:id="0" w:name="_GoBack"/>
      <w:bookmarkEnd w:id="0"/>
      <w:r>
        <w:t xml:space="preserve">to XI, thus constituting ten (10) subcommittees.  </w:t>
      </w:r>
    </w:p>
    <w:p w14:paraId="4B557BB7" w14:textId="00C04514" w:rsidR="009027C5" w:rsidRDefault="009027C5" w:rsidP="009027C5">
      <w:pPr>
        <w:ind w:left="1440"/>
      </w:pPr>
      <w:r w:rsidRPr="00B75EDC">
        <w:t>Group II:  Mathematics</w:t>
      </w:r>
      <w:r w:rsidRPr="00B75EDC">
        <w:tab/>
      </w:r>
      <w:r>
        <w:br/>
      </w:r>
      <w:r w:rsidRPr="00B75EDC">
        <w:t>Group III: Modern and Classical Languages or Symbolic Systems</w:t>
      </w:r>
      <w:r w:rsidR="00E71E9C">
        <w:t xml:space="preserve"> [change</w:t>
      </w:r>
      <w:proofErr w:type="gramStart"/>
      <w:r w:rsidR="00E71E9C">
        <w:t>]</w:t>
      </w:r>
      <w:proofErr w:type="gramEnd"/>
      <w:r>
        <w:br/>
      </w:r>
      <w:r w:rsidRPr="00B75EDC">
        <w:t>Group IV:  Expressive Arts</w:t>
      </w:r>
      <w:r>
        <w:br/>
      </w:r>
      <w:r w:rsidRPr="00B75EDC">
        <w:t>Group V: Literary and Artistic Studies</w:t>
      </w:r>
      <w:r>
        <w:br/>
      </w:r>
      <w:r w:rsidRPr="00B75EDC">
        <w:t>Group VI: Historical Studies</w:t>
      </w:r>
      <w:r>
        <w:br/>
      </w:r>
      <w:r w:rsidRPr="00B75EDC">
        <w:t>Group VII:  Social Sciences</w:t>
      </w:r>
      <w:r>
        <w:br/>
      </w:r>
      <w:r w:rsidRPr="00B75EDC">
        <w:t>Group VIII:  Ethics and Human Values</w:t>
      </w:r>
      <w:r>
        <w:br/>
      </w:r>
      <w:r w:rsidRPr="00B75EDC">
        <w:t xml:space="preserve">Group IX: </w:t>
      </w:r>
      <w:r w:rsidR="00E71E9C">
        <w:t>Democracy and Citizenship</w:t>
      </w:r>
      <w:r>
        <w:br/>
      </w:r>
      <w:r w:rsidRPr="00B75EDC">
        <w:t xml:space="preserve">Group X: </w:t>
      </w:r>
      <w:r w:rsidR="00E71E9C">
        <w:t>Cultural and International Diversity</w:t>
      </w:r>
      <w:r>
        <w:br/>
      </w:r>
      <w:r w:rsidRPr="00B75EDC">
        <w:t>Group XI:  Natural Sciences</w:t>
      </w:r>
      <w:r>
        <w:br/>
      </w:r>
    </w:p>
    <w:p w14:paraId="2977F146" w14:textId="77777777" w:rsidR="009027C5" w:rsidRDefault="009027C5" w:rsidP="009027C5">
      <w:pPr>
        <w:rPr>
          <w:b/>
        </w:rPr>
      </w:pPr>
      <w:r w:rsidRPr="00157E1D">
        <w:t>The General Education Committee chair appoints Curriculum</w:t>
      </w:r>
      <w:r w:rsidRPr="00157E1D">
        <w:rPr>
          <w:b/>
        </w:rPr>
        <w:t xml:space="preserve"> </w:t>
      </w:r>
      <w:r w:rsidRPr="00157E1D">
        <w:t>Subcommittee chairs for each of the ten Groups.  The Curriculum Subcommittee chair should be from an academic unit or have expertise appropriate to the particular Subcommittee Group. When possible, the Curriculum Subcommittee chair is a member of the General Education Committee; when not possible, the General Education Committee chair requests a volunteer from former members of the General Education Committee.   (Option 1) In general, Curriculum Committee will be comprised of other members of the General Education Committee, or, when possible, Curriculum</w:t>
      </w:r>
      <w:r w:rsidRPr="00157E1D">
        <w:rPr>
          <w:b/>
        </w:rPr>
        <w:t xml:space="preserve"> </w:t>
      </w:r>
      <w:r w:rsidRPr="00157E1D">
        <w:t>Subcommittee chairs may select 2-5 faculty members with expertise in the particular Group to serve as Curriculum Subcommittee members. (Option 2) In the absence of a sufficient number of qualified volunteers, the Curriculum Subcommittee chair reserves the right to bring proposals before the full General Education Committee for consideration.</w:t>
      </w:r>
      <w:r w:rsidRPr="00157E1D">
        <w:br/>
      </w:r>
      <w:r>
        <w:rPr>
          <w:b/>
        </w:rPr>
        <w:br/>
      </w:r>
      <w:r w:rsidRPr="00157E1D">
        <w:rPr>
          <w:rStyle w:val="Heading2Char"/>
        </w:rPr>
        <w:t>Review Assignments / Instructions</w:t>
      </w:r>
    </w:p>
    <w:p w14:paraId="796FE371" w14:textId="77777777" w:rsidR="009027C5" w:rsidRPr="00157E1D" w:rsidRDefault="009027C5" w:rsidP="009027C5">
      <w:pPr>
        <w:rPr>
          <w:b/>
        </w:rPr>
      </w:pPr>
      <w:r w:rsidRPr="00157E1D">
        <w:lastRenderedPageBreak/>
        <w:t xml:space="preserve">The Curriculum Subcommittee chair determines the schedule for completion of the review during the </w:t>
      </w:r>
      <w:proofErr w:type="gramStart"/>
      <w:r w:rsidRPr="00157E1D">
        <w:t>Fall</w:t>
      </w:r>
      <w:proofErr w:type="gramEnd"/>
      <w:r w:rsidRPr="00157E1D">
        <w:t xml:space="preserve"> semester and whether the Curriculum Subcommittee meets face-to-face, online, or by some combination.  The General Education Committee prefers at least three members of the Curriculum Subcommittee to review each proposal, when possible. Failing that, the chair of General Education Committee may appoint members of the General Education Committee to fill the remaining slots.</w:t>
      </w:r>
    </w:p>
    <w:p w14:paraId="54755E29" w14:textId="77777777" w:rsidR="009027C5" w:rsidRDefault="009027C5" w:rsidP="009027C5">
      <w:r w:rsidRPr="00157E1D">
        <w:t>The Curriculum Subcommittee chair assures that each member is provided with the Group criteria and</w:t>
      </w:r>
      <w:r>
        <w:t xml:space="preserve"> outcomes, access to relevant curriculum policies, and proposals to be reviewed.</w:t>
      </w:r>
      <w:r>
        <w:br/>
      </w:r>
    </w:p>
    <w:p w14:paraId="35AA2B54" w14:textId="77777777" w:rsidR="009027C5" w:rsidRDefault="009027C5" w:rsidP="009027C5">
      <w:pPr>
        <w:pStyle w:val="Heading2"/>
      </w:pPr>
      <w:r>
        <w:t>Subcommittee Responsibilities for Review of Course Proposals</w:t>
      </w:r>
    </w:p>
    <w:p w14:paraId="5C4D0696" w14:textId="6F5AEAF1" w:rsidR="009027C5" w:rsidRPr="00B73302" w:rsidRDefault="009027C5" w:rsidP="009027C5">
      <w:r w:rsidRPr="00157E1D">
        <w:t>Curriculum</w:t>
      </w:r>
      <w:r w:rsidRPr="003114FD">
        <w:rPr>
          <w:u w:val="single"/>
        </w:rPr>
        <w:t xml:space="preserve"> </w:t>
      </w:r>
      <w:r>
        <w:t xml:space="preserve">Subcommittees are responsible for the review of General Education courses proposed within their Group.  Proposals are evaluated according to the applicable criteria and outcomes.  The </w:t>
      </w:r>
      <w:r w:rsidRPr="00157E1D">
        <w:t>Curriculum</w:t>
      </w:r>
      <w:r w:rsidRPr="00157E1D">
        <w:rPr>
          <w:b/>
        </w:rPr>
        <w:t xml:space="preserve"> </w:t>
      </w:r>
      <w:r>
        <w:t>Subcommittee ensures that the forms submitted are complete</w:t>
      </w:r>
      <w:r w:rsidR="008E2E56">
        <w:t>,</w:t>
      </w:r>
      <w:r>
        <w:t xml:space="preserve"> including course syllabi</w:t>
      </w:r>
      <w:r w:rsidR="00D60716">
        <w:t xml:space="preserve"> and</w:t>
      </w:r>
      <w:r>
        <w:t xml:space="preserve"> assessment </w:t>
      </w:r>
      <w:proofErr w:type="gramStart"/>
      <w:r>
        <w:t>materials</w:t>
      </w:r>
      <w:r w:rsidR="00537620">
        <w:t xml:space="preserve"> </w:t>
      </w:r>
      <w:r>
        <w:t xml:space="preserve"> </w:t>
      </w:r>
      <w:r w:rsidR="00D60716">
        <w:t>The</w:t>
      </w:r>
      <w:proofErr w:type="gramEnd"/>
      <w:r w:rsidR="00D60716">
        <w:t xml:space="preserve"> subcommittee </w:t>
      </w:r>
      <w:r>
        <w:t>determines</w:t>
      </w:r>
      <w:r w:rsidRPr="00B73302">
        <w:t xml:space="preserve"> whether </w:t>
      </w:r>
      <w:r>
        <w:t>courses meet the Group’s</w:t>
      </w:r>
      <w:r w:rsidRPr="00B73302">
        <w:t xml:space="preserve"> criteria and outcomes</w:t>
      </w:r>
      <w:r w:rsidR="00D60716">
        <w:t>. This determination is made on the merits of the proposed courses, not the instructor.</w:t>
      </w:r>
      <w:r w:rsidR="00537620">
        <w:t xml:space="preserve"> </w:t>
      </w:r>
      <w:r w:rsidRPr="00157E1D">
        <w:t>Curriculum</w:t>
      </w:r>
      <w:r>
        <w:rPr>
          <w:b/>
        </w:rPr>
        <w:t xml:space="preserve"> </w:t>
      </w:r>
      <w:r>
        <w:t>S</w:t>
      </w:r>
      <w:r w:rsidRPr="00B73302">
        <w:t xml:space="preserve">ubcommittee chairs </w:t>
      </w:r>
      <w:proofErr w:type="gramStart"/>
      <w:r>
        <w:t>communicate</w:t>
      </w:r>
      <w:proofErr w:type="gramEnd"/>
      <w:r>
        <w:t xml:space="preserve"> with </w:t>
      </w:r>
      <w:r w:rsidRPr="00B73302">
        <w:t xml:space="preserve">the unit chair/director and </w:t>
      </w:r>
      <w:r>
        <w:t>instructor</w:t>
      </w:r>
      <w:r w:rsidRPr="00B73302">
        <w:t xml:space="preserve"> about questions, concerns, and revisions relevant to proposals.</w:t>
      </w:r>
      <w:r w:rsidR="00537620">
        <w:t xml:space="preserve"> </w:t>
      </w:r>
    </w:p>
    <w:p w14:paraId="120296DD" w14:textId="77777777" w:rsidR="009027C5" w:rsidRPr="00B73302" w:rsidRDefault="009027C5" w:rsidP="009027C5">
      <w:pPr>
        <w:pStyle w:val="Heading2"/>
      </w:pPr>
      <w:r>
        <w:br/>
      </w:r>
      <w:r w:rsidRPr="00B73302">
        <w:t>It is the responsibility of the Subcommittee Chair to:</w:t>
      </w:r>
    </w:p>
    <w:p w14:paraId="0862651F" w14:textId="77777777" w:rsidR="009027C5" w:rsidRDefault="009027C5" w:rsidP="009027C5">
      <w:pPr>
        <w:numPr>
          <w:ilvl w:val="0"/>
          <w:numId w:val="1"/>
        </w:numPr>
        <w:spacing w:after="200"/>
      </w:pPr>
      <w:r w:rsidRPr="00B73302">
        <w:t>Verify that the summary of proposals is complete</w:t>
      </w:r>
      <w:r>
        <w:t>.</w:t>
      </w:r>
    </w:p>
    <w:p w14:paraId="41CDF8A7" w14:textId="77777777" w:rsidR="009027C5" w:rsidRDefault="009027C5" w:rsidP="009027C5">
      <w:pPr>
        <w:numPr>
          <w:ilvl w:val="0"/>
          <w:numId w:val="1"/>
        </w:numPr>
        <w:spacing w:after="200"/>
      </w:pPr>
      <w:r w:rsidRPr="00B73302">
        <w:t>Ensure curriculum proposal forms are</w:t>
      </w:r>
      <w:r>
        <w:t xml:space="preserve"> completed</w:t>
      </w:r>
      <w:r w:rsidRPr="00B73302">
        <w:t xml:space="preserve"> correctly</w:t>
      </w:r>
      <w:r>
        <w:t>.</w:t>
      </w:r>
      <w:r w:rsidRPr="00B73302">
        <w:t xml:space="preserve"> </w:t>
      </w:r>
    </w:p>
    <w:p w14:paraId="5C176C32" w14:textId="77777777" w:rsidR="009027C5" w:rsidRDefault="009027C5" w:rsidP="009027C5">
      <w:pPr>
        <w:numPr>
          <w:ilvl w:val="0"/>
          <w:numId w:val="1"/>
        </w:numPr>
        <w:spacing w:after="200"/>
      </w:pPr>
      <w:r>
        <w:t>Identify significant</w:t>
      </w:r>
      <w:r w:rsidRPr="00B73302">
        <w:t xml:space="preserve"> difficulties or implications concerning a proposal</w:t>
      </w:r>
      <w:r>
        <w:t>, especially unintended consequences for other units.</w:t>
      </w:r>
    </w:p>
    <w:p w14:paraId="09AD14AB" w14:textId="69ECBE66" w:rsidR="00FB17B4" w:rsidRDefault="009027C5" w:rsidP="00C5343D">
      <w:pPr>
        <w:numPr>
          <w:ilvl w:val="0"/>
          <w:numId w:val="1"/>
        </w:numPr>
        <w:spacing w:after="200"/>
      </w:pPr>
      <w:r>
        <w:t xml:space="preserve">Communicate </w:t>
      </w:r>
      <w:r w:rsidR="00537620">
        <w:t xml:space="preserve">in writing </w:t>
      </w:r>
      <w:r>
        <w:t>with unit chair/director</w:t>
      </w:r>
      <w:r w:rsidR="00537620">
        <w:t xml:space="preserve"> </w:t>
      </w:r>
      <w:r>
        <w:t xml:space="preserve">and </w:t>
      </w:r>
      <w:r w:rsidR="00EC39A0">
        <w:t xml:space="preserve">instructor </w:t>
      </w:r>
      <w:r>
        <w:t>about questions, concerns, and revisions.</w:t>
      </w:r>
      <w:r w:rsidR="00C5343D">
        <w:t xml:space="preserve"> </w:t>
      </w:r>
      <w:r w:rsidR="00EC39A0">
        <w:t>If a</w:t>
      </w:r>
      <w:r w:rsidRPr="00B73302">
        <w:t xml:space="preserve"> proposal is</w:t>
      </w:r>
      <w:r w:rsidR="00FF7440">
        <w:t xml:space="preserve"> </w:t>
      </w:r>
      <w:r w:rsidRPr="00B73302">
        <w:t>denied</w:t>
      </w:r>
      <w:r w:rsidR="00FF7440">
        <w:t>,</w:t>
      </w:r>
      <w:r w:rsidRPr="00B73302">
        <w:t xml:space="preserve"> </w:t>
      </w:r>
      <w:r w:rsidR="00FF7440">
        <w:t xml:space="preserve">the subcommittee chair will communicate the reasons </w:t>
      </w:r>
      <w:r w:rsidR="008E2E56">
        <w:t xml:space="preserve">for the decision </w:t>
      </w:r>
      <w:r w:rsidR="00FF7440">
        <w:t xml:space="preserve">in writing </w:t>
      </w:r>
      <w:r w:rsidR="008E2E56">
        <w:t>and the</w:t>
      </w:r>
      <w:r w:rsidR="00FF7440">
        <w:t xml:space="preserve"> necessary revisions for the proposal to be successfu</w:t>
      </w:r>
      <w:r w:rsidR="008E2E56">
        <w:t>l upon resubmission.</w:t>
      </w:r>
      <w:r w:rsidR="00FF7440">
        <w:t xml:space="preserve"> A deadline for resubmission will be provided </w:t>
      </w:r>
      <w:r w:rsidR="00ED2327">
        <w:t xml:space="preserve">that takes into consideration the timeline necessary to move proposals through the full GE Committee, ASCRC, and Senate in time to meet scheduled deadlines for entry into the catalog. </w:t>
      </w:r>
    </w:p>
    <w:p w14:paraId="38A42E4F" w14:textId="3A5137CE" w:rsidR="009027C5" w:rsidRDefault="008E2E56" w:rsidP="00C5343D">
      <w:pPr>
        <w:numPr>
          <w:ilvl w:val="0"/>
          <w:numId w:val="1"/>
        </w:numPr>
        <w:spacing w:after="200"/>
      </w:pPr>
      <w:r>
        <w:t>If a resubmission</w:t>
      </w:r>
      <w:r w:rsidR="00FB17B4">
        <w:t xml:space="preserve"> </w:t>
      </w:r>
      <w:r>
        <w:t>of a proposal</w:t>
      </w:r>
      <w:r w:rsidR="00FB17B4">
        <w:t xml:space="preserve"> is denied, the subcommittee chair will </w:t>
      </w:r>
      <w:r>
        <w:t>forward</w:t>
      </w:r>
      <w:r w:rsidR="00FB17B4">
        <w:t xml:space="preserve"> </w:t>
      </w:r>
      <w:r>
        <w:t>the proposal</w:t>
      </w:r>
      <w:r w:rsidR="00FB17B4">
        <w:t xml:space="preserve"> to the full GE committee for consideration and a vote. The subcommittee chair will communicate the result</w:t>
      </w:r>
      <w:r w:rsidR="00BD34C1">
        <w:t xml:space="preserve"> of this </w:t>
      </w:r>
      <w:r w:rsidR="00FB17B4">
        <w:t>vote to the unit</w:t>
      </w:r>
      <w:r w:rsidR="00053AC0">
        <w:t xml:space="preserve"> chair/director and instructor </w:t>
      </w:r>
      <w:r w:rsidR="00B973D6">
        <w:t>and inform them of the</w:t>
      </w:r>
      <w:r w:rsidR="00BD34C1">
        <w:t xml:space="preserve"> right to appeal, if </w:t>
      </w:r>
      <w:r>
        <w:t>denied.</w:t>
      </w:r>
      <w:r w:rsidR="00BD34C1">
        <w:t xml:space="preserve"> </w:t>
      </w:r>
    </w:p>
    <w:p w14:paraId="1E624A72" w14:textId="77777777" w:rsidR="009027C5" w:rsidRDefault="009027C5" w:rsidP="009027C5">
      <w:pPr>
        <w:numPr>
          <w:ilvl w:val="0"/>
          <w:numId w:val="1"/>
        </w:numPr>
        <w:spacing w:after="200"/>
      </w:pPr>
      <w:r>
        <w:t>Verify the accuracy of</w:t>
      </w:r>
      <w:r w:rsidRPr="00B73302">
        <w:t xml:space="preserve"> a summary consent agenda for </w:t>
      </w:r>
      <w:r>
        <w:t>ASCRC.</w:t>
      </w:r>
    </w:p>
    <w:p w14:paraId="039E3192" w14:textId="52E6D8A1" w:rsidR="009027C5" w:rsidRPr="00157E1D" w:rsidRDefault="009027C5" w:rsidP="009027C5">
      <w:pPr>
        <w:numPr>
          <w:ilvl w:val="0"/>
          <w:numId w:val="1"/>
        </w:numPr>
        <w:spacing w:after="200"/>
        <w:rPr>
          <w:rFonts w:cs="Arial"/>
          <w:noProof/>
        </w:rPr>
      </w:pPr>
      <w:r w:rsidRPr="00157E1D">
        <w:lastRenderedPageBreak/>
        <w:t>In the absence of voluntary Subcommittee participation, the full General Education Committee may take on the Subcommittee duties for that particular group.</w:t>
      </w:r>
    </w:p>
    <w:p w14:paraId="66E06AF4" w14:textId="77777777" w:rsidR="007B05F4" w:rsidRDefault="007B05F4"/>
    <w:sectPr w:rsidR="007B05F4" w:rsidSect="007B05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550F7"/>
    <w:multiLevelType w:val="hybridMultilevel"/>
    <w:tmpl w:val="79F65C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C5"/>
    <w:rsid w:val="00053AC0"/>
    <w:rsid w:val="00137736"/>
    <w:rsid w:val="00281538"/>
    <w:rsid w:val="002F4AA9"/>
    <w:rsid w:val="00340292"/>
    <w:rsid w:val="004C0121"/>
    <w:rsid w:val="00537620"/>
    <w:rsid w:val="007B05F4"/>
    <w:rsid w:val="008E2E56"/>
    <w:rsid w:val="009027C5"/>
    <w:rsid w:val="009F1F6F"/>
    <w:rsid w:val="00B973D6"/>
    <w:rsid w:val="00BD34C1"/>
    <w:rsid w:val="00C5343D"/>
    <w:rsid w:val="00C83BE8"/>
    <w:rsid w:val="00D60716"/>
    <w:rsid w:val="00E71E9C"/>
    <w:rsid w:val="00EC39A0"/>
    <w:rsid w:val="00ED2327"/>
    <w:rsid w:val="00FB17B4"/>
    <w:rsid w:val="00FF74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C5"/>
  </w:style>
  <w:style w:type="paragraph" w:styleId="Heading1">
    <w:name w:val="heading 1"/>
    <w:basedOn w:val="Normal"/>
    <w:next w:val="Normal"/>
    <w:link w:val="Heading1Char"/>
    <w:uiPriority w:val="9"/>
    <w:qFormat/>
    <w:rsid w:val="009027C5"/>
    <w:pPr>
      <w:pBdr>
        <w:bottom w:val="single" w:sz="12" w:space="1" w:color="65281B" w:themeColor="accent1" w:themeShade="BF"/>
      </w:pBdr>
      <w:spacing w:before="600" w:after="80"/>
      <w:outlineLvl w:val="0"/>
    </w:pPr>
    <w:rPr>
      <w:rFonts w:asciiTheme="majorHAnsi" w:eastAsiaTheme="majorEastAsia" w:hAnsiTheme="majorHAnsi" w:cstheme="majorBidi"/>
      <w:b/>
      <w:bCs/>
      <w:color w:val="65281B" w:themeColor="accent1" w:themeShade="BF"/>
    </w:rPr>
  </w:style>
  <w:style w:type="paragraph" w:styleId="Heading2">
    <w:name w:val="heading 2"/>
    <w:basedOn w:val="Normal"/>
    <w:next w:val="Normal"/>
    <w:link w:val="Heading2Char"/>
    <w:uiPriority w:val="9"/>
    <w:unhideWhenUsed/>
    <w:qFormat/>
    <w:rsid w:val="009027C5"/>
    <w:pPr>
      <w:spacing w:before="200" w:after="80"/>
      <w:outlineLvl w:val="1"/>
    </w:pPr>
    <w:rPr>
      <w:rFonts w:asciiTheme="majorHAnsi" w:eastAsiaTheme="majorEastAsia" w:hAnsiTheme="majorHAnsi" w:cstheme="majorBidi"/>
      <w:color w:val="65281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7C5"/>
    <w:rPr>
      <w:rFonts w:asciiTheme="majorHAnsi" w:eastAsiaTheme="majorEastAsia" w:hAnsiTheme="majorHAnsi" w:cstheme="majorBidi"/>
      <w:b/>
      <w:bCs/>
      <w:color w:val="65281B" w:themeColor="accent1" w:themeShade="BF"/>
    </w:rPr>
  </w:style>
  <w:style w:type="character" w:customStyle="1" w:styleId="Heading2Char">
    <w:name w:val="Heading 2 Char"/>
    <w:basedOn w:val="DefaultParagraphFont"/>
    <w:link w:val="Heading2"/>
    <w:uiPriority w:val="9"/>
    <w:rsid w:val="009027C5"/>
    <w:rPr>
      <w:rFonts w:asciiTheme="majorHAnsi" w:eastAsiaTheme="majorEastAsia" w:hAnsiTheme="majorHAnsi" w:cstheme="majorBidi"/>
      <w:color w:val="65281B" w:themeColor="accent1" w:themeShade="BF"/>
    </w:rPr>
  </w:style>
  <w:style w:type="character" w:styleId="SubtleReference">
    <w:name w:val="Subtle Reference"/>
    <w:uiPriority w:val="31"/>
    <w:qFormat/>
    <w:rsid w:val="009027C5"/>
    <w:rPr>
      <w:color w:val="873624" w:themeColor="accent1"/>
      <w:u w:val="none" w:color="D0BE40" w:themeColor="accent3"/>
    </w:rPr>
  </w:style>
  <w:style w:type="paragraph" w:styleId="BalloonText">
    <w:name w:val="Balloon Text"/>
    <w:basedOn w:val="Normal"/>
    <w:link w:val="BalloonTextChar"/>
    <w:uiPriority w:val="99"/>
    <w:semiHidden/>
    <w:unhideWhenUsed/>
    <w:rsid w:val="009027C5"/>
    <w:rPr>
      <w:rFonts w:ascii="Lucida Grande" w:hAnsi="Lucida Grande"/>
      <w:sz w:val="18"/>
      <w:szCs w:val="18"/>
    </w:rPr>
  </w:style>
  <w:style w:type="character" w:customStyle="1" w:styleId="BalloonTextChar">
    <w:name w:val="Balloon Text Char"/>
    <w:basedOn w:val="DefaultParagraphFont"/>
    <w:link w:val="BalloonText"/>
    <w:uiPriority w:val="99"/>
    <w:semiHidden/>
    <w:rsid w:val="009027C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C5"/>
  </w:style>
  <w:style w:type="paragraph" w:styleId="Heading1">
    <w:name w:val="heading 1"/>
    <w:basedOn w:val="Normal"/>
    <w:next w:val="Normal"/>
    <w:link w:val="Heading1Char"/>
    <w:uiPriority w:val="9"/>
    <w:qFormat/>
    <w:rsid w:val="009027C5"/>
    <w:pPr>
      <w:pBdr>
        <w:bottom w:val="single" w:sz="12" w:space="1" w:color="65281B" w:themeColor="accent1" w:themeShade="BF"/>
      </w:pBdr>
      <w:spacing w:before="600" w:after="80"/>
      <w:outlineLvl w:val="0"/>
    </w:pPr>
    <w:rPr>
      <w:rFonts w:asciiTheme="majorHAnsi" w:eastAsiaTheme="majorEastAsia" w:hAnsiTheme="majorHAnsi" w:cstheme="majorBidi"/>
      <w:b/>
      <w:bCs/>
      <w:color w:val="65281B" w:themeColor="accent1" w:themeShade="BF"/>
    </w:rPr>
  </w:style>
  <w:style w:type="paragraph" w:styleId="Heading2">
    <w:name w:val="heading 2"/>
    <w:basedOn w:val="Normal"/>
    <w:next w:val="Normal"/>
    <w:link w:val="Heading2Char"/>
    <w:uiPriority w:val="9"/>
    <w:unhideWhenUsed/>
    <w:qFormat/>
    <w:rsid w:val="009027C5"/>
    <w:pPr>
      <w:spacing w:before="200" w:after="80"/>
      <w:outlineLvl w:val="1"/>
    </w:pPr>
    <w:rPr>
      <w:rFonts w:asciiTheme="majorHAnsi" w:eastAsiaTheme="majorEastAsia" w:hAnsiTheme="majorHAnsi" w:cstheme="majorBidi"/>
      <w:color w:val="65281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7C5"/>
    <w:rPr>
      <w:rFonts w:asciiTheme="majorHAnsi" w:eastAsiaTheme="majorEastAsia" w:hAnsiTheme="majorHAnsi" w:cstheme="majorBidi"/>
      <w:b/>
      <w:bCs/>
      <w:color w:val="65281B" w:themeColor="accent1" w:themeShade="BF"/>
    </w:rPr>
  </w:style>
  <w:style w:type="character" w:customStyle="1" w:styleId="Heading2Char">
    <w:name w:val="Heading 2 Char"/>
    <w:basedOn w:val="DefaultParagraphFont"/>
    <w:link w:val="Heading2"/>
    <w:uiPriority w:val="9"/>
    <w:rsid w:val="009027C5"/>
    <w:rPr>
      <w:rFonts w:asciiTheme="majorHAnsi" w:eastAsiaTheme="majorEastAsia" w:hAnsiTheme="majorHAnsi" w:cstheme="majorBidi"/>
      <w:color w:val="65281B" w:themeColor="accent1" w:themeShade="BF"/>
    </w:rPr>
  </w:style>
  <w:style w:type="character" w:styleId="SubtleReference">
    <w:name w:val="Subtle Reference"/>
    <w:uiPriority w:val="31"/>
    <w:qFormat/>
    <w:rsid w:val="009027C5"/>
    <w:rPr>
      <w:color w:val="873624" w:themeColor="accent1"/>
      <w:u w:val="none" w:color="D0BE40" w:themeColor="accent3"/>
    </w:rPr>
  </w:style>
  <w:style w:type="paragraph" w:styleId="BalloonText">
    <w:name w:val="Balloon Text"/>
    <w:basedOn w:val="Normal"/>
    <w:link w:val="BalloonTextChar"/>
    <w:uiPriority w:val="99"/>
    <w:semiHidden/>
    <w:unhideWhenUsed/>
    <w:rsid w:val="009027C5"/>
    <w:rPr>
      <w:rFonts w:ascii="Lucida Grande" w:hAnsi="Lucida Grande"/>
      <w:sz w:val="18"/>
      <w:szCs w:val="18"/>
    </w:rPr>
  </w:style>
  <w:style w:type="character" w:customStyle="1" w:styleId="BalloonTextChar">
    <w:name w:val="Balloon Text Char"/>
    <w:basedOn w:val="DefaultParagraphFont"/>
    <w:link w:val="BalloonText"/>
    <w:uiPriority w:val="99"/>
    <w:semiHidden/>
    <w:rsid w:val="009027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Randall</dc:creator>
  <cp:lastModifiedBy>Foos, Camie L</cp:lastModifiedBy>
  <cp:revision>2</cp:revision>
  <dcterms:created xsi:type="dcterms:W3CDTF">2018-04-11T03:04:00Z</dcterms:created>
  <dcterms:modified xsi:type="dcterms:W3CDTF">2018-04-11T03:04:00Z</dcterms:modified>
</cp:coreProperties>
</file>