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1932" w:rsidRDefault="00661626">
      <w:pPr>
        <w:rPr>
          <w:rFonts w:ascii="Arial" w:hAnsi="Arial" w:cs="Arial"/>
          <w:noProof/>
          <w:sz w:val="20"/>
        </w:rPr>
      </w:pPr>
      <w:bookmarkStart w:id="0" w:name="_GoBack"/>
      <w:bookmarkEnd w:id="0"/>
      <w:r w:rsidRPr="00B04AFB">
        <w:rPr>
          <w:noProof/>
        </w:rPr>
        <w:drawing>
          <wp:inline distT="0" distB="0" distL="0" distR="0">
            <wp:extent cx="5943600" cy="533272"/>
            <wp:effectExtent l="0" t="0" r="0" b="0"/>
            <wp:docPr id="1" name="Picture 1" descr="Human Resource Services Letterhead:  Emma B. Lommasson Center&#10;Room 252&#10;University of Montana&#10;Missoula, MT  59812&#10;Phone:  406-243-6766&#10;Fax:  406-243-6095" title="Human Resource Services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Human Resource Services Letterhead:  Emma B. Lommasson Center&#10;Room 252&#10;University of Montana&#10;Missoula, MT  59812&#10;Phone:  406-243-6766&#10;Fax:  406-243-6095" title="Human Resource Services Letterhea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532765"/>
                    </a:xfrm>
                    <a:prstGeom prst="rect">
                      <a:avLst/>
                    </a:prstGeom>
                    <a:noFill/>
                    <a:ln>
                      <a:noFill/>
                    </a:ln>
                  </pic:spPr>
                </pic:pic>
              </a:graphicData>
            </a:graphic>
          </wp:inline>
        </w:drawing>
      </w:r>
    </w:p>
    <w:p w:rsidR="008F1932" w:rsidRDefault="008F1932">
      <w:pPr>
        <w:rPr>
          <w:rFonts w:ascii="Arial" w:hAnsi="Arial" w:cs="Arial"/>
          <w:noProof/>
          <w:sz w:val="20"/>
        </w:rPr>
      </w:pPr>
    </w:p>
    <w:p w:rsidR="008F1932" w:rsidRPr="00661626" w:rsidRDefault="00AD6001" w:rsidP="00A15A54">
      <w:pPr>
        <w:pStyle w:val="Heading1"/>
        <w:rPr>
          <w:b/>
          <w:sz w:val="22"/>
          <w:szCs w:val="22"/>
        </w:rPr>
      </w:pPr>
      <w:r w:rsidRPr="00661626">
        <w:rPr>
          <w:sz w:val="22"/>
          <w:szCs w:val="22"/>
        </w:rPr>
        <w:t>Procedure</w:t>
      </w:r>
      <w:r w:rsidR="008F1932" w:rsidRPr="00661626">
        <w:rPr>
          <w:sz w:val="22"/>
          <w:szCs w:val="22"/>
        </w:rPr>
        <w:t xml:space="preserve">:  </w:t>
      </w:r>
      <w:r w:rsidRPr="00661626">
        <w:rPr>
          <w:sz w:val="22"/>
          <w:szCs w:val="22"/>
        </w:rPr>
        <w:tab/>
      </w:r>
      <w:r w:rsidRPr="00661626">
        <w:rPr>
          <w:b/>
          <w:sz w:val="22"/>
          <w:szCs w:val="22"/>
        </w:rPr>
        <w:t>Administrative Personnel Leave</w:t>
      </w:r>
    </w:p>
    <w:p w:rsidR="008F1932" w:rsidRPr="00661626" w:rsidRDefault="008F1932">
      <w:pPr>
        <w:rPr>
          <w:rFonts w:ascii="Arial" w:hAnsi="Arial" w:cs="Arial"/>
          <w:b/>
          <w:noProof/>
          <w:sz w:val="22"/>
          <w:szCs w:val="22"/>
        </w:rPr>
      </w:pPr>
      <w:r w:rsidRPr="00661626">
        <w:rPr>
          <w:rFonts w:ascii="Arial" w:hAnsi="Arial" w:cs="Arial"/>
          <w:noProof/>
          <w:sz w:val="22"/>
          <w:szCs w:val="22"/>
        </w:rPr>
        <w:t>Date Adopted:</w:t>
      </w:r>
      <w:r w:rsidRPr="00661626">
        <w:rPr>
          <w:rFonts w:ascii="Arial" w:hAnsi="Arial" w:cs="Arial"/>
          <w:noProof/>
          <w:sz w:val="22"/>
          <w:szCs w:val="22"/>
        </w:rPr>
        <w:tab/>
      </w:r>
      <w:r w:rsidR="00AD6001" w:rsidRPr="00661626">
        <w:rPr>
          <w:rFonts w:ascii="Arial" w:hAnsi="Arial" w:cs="Arial"/>
          <w:noProof/>
          <w:sz w:val="22"/>
          <w:szCs w:val="22"/>
        </w:rPr>
        <w:t>3/25/04</w:t>
      </w:r>
      <w:r w:rsidRPr="00661626">
        <w:rPr>
          <w:rFonts w:ascii="Arial" w:hAnsi="Arial" w:cs="Arial"/>
          <w:noProof/>
          <w:sz w:val="22"/>
          <w:szCs w:val="22"/>
        </w:rPr>
        <w:tab/>
      </w:r>
      <w:r w:rsidRPr="00661626">
        <w:rPr>
          <w:rFonts w:ascii="Arial" w:hAnsi="Arial" w:cs="Arial"/>
          <w:noProof/>
          <w:sz w:val="22"/>
          <w:szCs w:val="22"/>
        </w:rPr>
        <w:tab/>
      </w:r>
      <w:r w:rsidRPr="00661626">
        <w:rPr>
          <w:rFonts w:ascii="Arial" w:hAnsi="Arial" w:cs="Arial"/>
          <w:noProof/>
          <w:sz w:val="22"/>
          <w:szCs w:val="22"/>
        </w:rPr>
        <w:tab/>
      </w:r>
      <w:r w:rsidRPr="00661626">
        <w:rPr>
          <w:rFonts w:ascii="Arial" w:hAnsi="Arial" w:cs="Arial"/>
          <w:noProof/>
          <w:sz w:val="22"/>
          <w:szCs w:val="22"/>
        </w:rPr>
        <w:tab/>
        <w:t xml:space="preserve">   </w:t>
      </w:r>
    </w:p>
    <w:p w:rsidR="008F1932" w:rsidRDefault="008C7189">
      <w:pPr>
        <w:rPr>
          <w:rFonts w:ascii="Arial" w:hAnsi="Arial" w:cs="Arial"/>
          <w:noProof/>
          <w:sz w:val="22"/>
          <w:szCs w:val="22"/>
        </w:rPr>
      </w:pPr>
      <w:r w:rsidRPr="00661626">
        <w:rPr>
          <w:rFonts w:ascii="Arial" w:hAnsi="Arial" w:cs="Arial"/>
          <w:noProof/>
          <w:sz w:val="22"/>
          <w:szCs w:val="22"/>
        </w:rPr>
        <w:t>Date Issued</w:t>
      </w:r>
      <w:r w:rsidR="008F1932" w:rsidRPr="00661626">
        <w:rPr>
          <w:rFonts w:ascii="Arial" w:hAnsi="Arial" w:cs="Arial"/>
          <w:noProof/>
          <w:sz w:val="22"/>
          <w:szCs w:val="22"/>
        </w:rPr>
        <w:t>:</w:t>
      </w:r>
      <w:r w:rsidR="008F1932" w:rsidRPr="00661626">
        <w:rPr>
          <w:rFonts w:ascii="Arial" w:hAnsi="Arial" w:cs="Arial"/>
          <w:noProof/>
          <w:sz w:val="22"/>
          <w:szCs w:val="22"/>
        </w:rPr>
        <w:tab/>
      </w:r>
      <w:r w:rsidR="00AD6001" w:rsidRPr="00661626">
        <w:rPr>
          <w:rFonts w:ascii="Arial" w:hAnsi="Arial" w:cs="Arial"/>
          <w:noProof/>
          <w:sz w:val="22"/>
          <w:szCs w:val="22"/>
        </w:rPr>
        <w:t>4/08/04</w:t>
      </w:r>
    </w:p>
    <w:p w:rsidR="00661626" w:rsidRPr="00661626" w:rsidRDefault="00661626">
      <w:pPr>
        <w:rPr>
          <w:rFonts w:ascii="Arial" w:hAnsi="Arial" w:cs="Arial"/>
          <w:noProof/>
          <w:sz w:val="22"/>
          <w:szCs w:val="22"/>
        </w:rPr>
      </w:pPr>
      <w:r>
        <w:rPr>
          <w:rFonts w:ascii="Arial" w:hAnsi="Arial" w:cs="Arial"/>
          <w:noProof/>
          <w:sz w:val="22"/>
          <w:szCs w:val="22"/>
        </w:rPr>
        <w:t>Accessibility Updated:  8/15/16</w:t>
      </w:r>
    </w:p>
    <w:p w:rsidR="008F1932" w:rsidRPr="00661626" w:rsidRDefault="00A15A54" w:rsidP="00A15A54">
      <w:pPr>
        <w:pStyle w:val="BodyTextIndent2"/>
        <w:tabs>
          <w:tab w:val="left" w:pos="1440"/>
        </w:tabs>
        <w:ind w:left="1530" w:hanging="1530"/>
        <w:rPr>
          <w:rFonts w:ascii="Arial" w:hAnsi="Arial" w:cs="Arial"/>
          <w:sz w:val="22"/>
          <w:szCs w:val="22"/>
        </w:rPr>
      </w:pPr>
      <w:r w:rsidRPr="00661626">
        <w:rPr>
          <w:rFonts w:ascii="Arial" w:hAnsi="Arial" w:cs="Arial"/>
          <w:sz w:val="22"/>
          <w:szCs w:val="22"/>
        </w:rPr>
        <w:t>References:</w:t>
      </w:r>
      <w:r w:rsidRPr="00661626">
        <w:rPr>
          <w:rFonts w:ascii="Arial" w:hAnsi="Arial" w:cs="Arial"/>
          <w:sz w:val="22"/>
          <w:szCs w:val="22"/>
        </w:rPr>
        <w:tab/>
      </w:r>
      <w:r w:rsidR="008F1932" w:rsidRPr="00661626">
        <w:rPr>
          <w:rFonts w:ascii="Arial" w:hAnsi="Arial" w:cs="Arial"/>
          <w:sz w:val="22"/>
          <w:szCs w:val="22"/>
        </w:rPr>
        <w:t xml:space="preserve">Board of Regents Policy </w:t>
      </w:r>
      <w:r w:rsidR="00AD6001" w:rsidRPr="00661626">
        <w:rPr>
          <w:rFonts w:ascii="Arial" w:hAnsi="Arial" w:cs="Arial"/>
          <w:sz w:val="22"/>
          <w:szCs w:val="22"/>
        </w:rPr>
        <w:t>801.2</w:t>
      </w:r>
      <w:r w:rsidR="008F1932" w:rsidRPr="00661626">
        <w:rPr>
          <w:rFonts w:ascii="Arial" w:hAnsi="Arial" w:cs="Arial"/>
          <w:sz w:val="22"/>
          <w:szCs w:val="22"/>
        </w:rPr>
        <w:tab/>
      </w:r>
    </w:p>
    <w:p w:rsidR="00A15A54" w:rsidRPr="00661626" w:rsidRDefault="00A15A54" w:rsidP="00A15A54">
      <w:pPr>
        <w:rPr>
          <w:rFonts w:ascii="Arial" w:hAnsi="Arial" w:cs="Arial"/>
          <w:b/>
          <w:bCs/>
          <w:sz w:val="22"/>
          <w:szCs w:val="22"/>
        </w:rPr>
      </w:pPr>
    </w:p>
    <w:p w:rsidR="00AD6001" w:rsidRPr="00661626" w:rsidRDefault="00AD6001" w:rsidP="00A15A54">
      <w:pPr>
        <w:pStyle w:val="Heading1"/>
        <w:rPr>
          <w:sz w:val="22"/>
          <w:szCs w:val="22"/>
        </w:rPr>
      </w:pPr>
      <w:r w:rsidRPr="00661626">
        <w:rPr>
          <w:b/>
          <w:sz w:val="22"/>
          <w:szCs w:val="22"/>
        </w:rPr>
        <w:t>Procedures</w:t>
      </w:r>
      <w:r w:rsidRPr="00661626">
        <w:rPr>
          <w:sz w:val="22"/>
          <w:szCs w:val="22"/>
        </w:rPr>
        <w:t>:</w:t>
      </w:r>
    </w:p>
    <w:p w:rsidR="00AD6001" w:rsidRPr="00661626" w:rsidRDefault="00AD6001" w:rsidP="00AD6001">
      <w:pPr>
        <w:pStyle w:val="NormalWeb"/>
        <w:rPr>
          <w:rFonts w:ascii="Arial" w:hAnsi="Arial" w:cs="Arial"/>
          <w:sz w:val="22"/>
          <w:szCs w:val="22"/>
        </w:rPr>
      </w:pPr>
      <w:r w:rsidRPr="00661626">
        <w:rPr>
          <w:rFonts w:ascii="Arial" w:hAnsi="Arial" w:cs="Arial"/>
          <w:sz w:val="22"/>
          <w:szCs w:val="22"/>
        </w:rPr>
        <w:t>1. Administrative personnel leaves shall be subject to budget limitations that may exist.</w:t>
      </w:r>
    </w:p>
    <w:p w:rsidR="00AD6001" w:rsidRPr="00661626" w:rsidRDefault="00AD6001" w:rsidP="00AD6001">
      <w:pPr>
        <w:pStyle w:val="NormalWeb"/>
        <w:rPr>
          <w:rFonts w:ascii="Arial" w:hAnsi="Arial" w:cs="Arial"/>
          <w:sz w:val="22"/>
          <w:szCs w:val="22"/>
        </w:rPr>
      </w:pPr>
      <w:r w:rsidRPr="00661626">
        <w:rPr>
          <w:rFonts w:ascii="Arial" w:hAnsi="Arial" w:cs="Arial"/>
          <w:sz w:val="22"/>
          <w:szCs w:val="22"/>
        </w:rPr>
        <w:t xml:space="preserve">2. Satisfactory programs or projects include study, research, travel, related work in other institutions or private or business organizations or other activities which the president, chancellor or Commissioner of Higher Education agree will improve the staff member professionally or which </w:t>
      </w:r>
      <w:proofErr w:type="gramStart"/>
      <w:r w:rsidRPr="00661626">
        <w:rPr>
          <w:rFonts w:ascii="Arial" w:hAnsi="Arial" w:cs="Arial"/>
          <w:sz w:val="22"/>
          <w:szCs w:val="22"/>
        </w:rPr>
        <w:t>directly</w:t>
      </w:r>
      <w:proofErr w:type="gramEnd"/>
      <w:r w:rsidRPr="00661626">
        <w:rPr>
          <w:rFonts w:ascii="Arial" w:hAnsi="Arial" w:cs="Arial"/>
          <w:sz w:val="22"/>
          <w:szCs w:val="22"/>
        </w:rPr>
        <w:t xml:space="preserve"> or indirectly benefit the campus, the university system or the State.</w:t>
      </w:r>
    </w:p>
    <w:p w:rsidR="00AD6001" w:rsidRPr="00661626" w:rsidRDefault="00AD6001" w:rsidP="00AD6001">
      <w:pPr>
        <w:pStyle w:val="NormalWeb"/>
        <w:rPr>
          <w:rFonts w:ascii="Arial" w:hAnsi="Arial" w:cs="Arial"/>
          <w:sz w:val="22"/>
          <w:szCs w:val="22"/>
        </w:rPr>
      </w:pPr>
      <w:r w:rsidRPr="00661626">
        <w:rPr>
          <w:rFonts w:ascii="Arial" w:hAnsi="Arial" w:cs="Arial"/>
          <w:sz w:val="22"/>
          <w:szCs w:val="22"/>
        </w:rPr>
        <w:t>3. Requests for such leave must show value to the respective campus or commissioner's office and cause no impairment of the campus or office programs because of the applicant's absence.</w:t>
      </w:r>
    </w:p>
    <w:p w:rsidR="00AD6001" w:rsidRPr="00661626" w:rsidRDefault="00AD6001" w:rsidP="00AD6001">
      <w:pPr>
        <w:pStyle w:val="NormalWeb"/>
        <w:rPr>
          <w:rFonts w:ascii="Arial" w:hAnsi="Arial" w:cs="Arial"/>
          <w:sz w:val="22"/>
          <w:szCs w:val="22"/>
        </w:rPr>
      </w:pPr>
      <w:r w:rsidRPr="00661626">
        <w:rPr>
          <w:rFonts w:ascii="Arial" w:hAnsi="Arial" w:cs="Arial"/>
          <w:sz w:val="22"/>
          <w:szCs w:val="22"/>
        </w:rPr>
        <w:t>4. Any individual receiving an administrative leave will be expected to return to his or her university system employment for at least one contract period or to repay money received from the university system while on leave.</w:t>
      </w:r>
    </w:p>
    <w:p w:rsidR="00AD6001" w:rsidRPr="00661626" w:rsidRDefault="00AD6001" w:rsidP="00AD6001">
      <w:pPr>
        <w:pStyle w:val="NormalWeb"/>
        <w:rPr>
          <w:rFonts w:ascii="Arial" w:hAnsi="Arial" w:cs="Arial"/>
          <w:sz w:val="22"/>
          <w:szCs w:val="22"/>
        </w:rPr>
      </w:pPr>
      <w:r w:rsidRPr="00661626">
        <w:rPr>
          <w:rFonts w:ascii="Arial" w:hAnsi="Arial" w:cs="Arial"/>
          <w:sz w:val="22"/>
          <w:szCs w:val="22"/>
        </w:rPr>
        <w:t>5. Administrative leave shall not be deemed earned leave time, nor become vested right or interest, nor be, nor become, an implied provision of any contract.</w:t>
      </w:r>
    </w:p>
    <w:p w:rsidR="00AD6001" w:rsidRPr="00661626" w:rsidRDefault="00AD6001" w:rsidP="00AD6001">
      <w:pPr>
        <w:pStyle w:val="NormalWeb"/>
        <w:rPr>
          <w:rFonts w:ascii="Arial" w:hAnsi="Arial" w:cs="Arial"/>
          <w:sz w:val="22"/>
          <w:szCs w:val="22"/>
        </w:rPr>
      </w:pPr>
      <w:r w:rsidRPr="00661626">
        <w:rPr>
          <w:rFonts w:ascii="Arial" w:hAnsi="Arial" w:cs="Arial"/>
          <w:sz w:val="22"/>
          <w:szCs w:val="22"/>
        </w:rPr>
        <w:t xml:space="preserve">6. Each president and chancellor shall submit an annual summary of administrative leaves to the Commissioner of Higher Education and Board of Regents upon request. </w:t>
      </w:r>
    </w:p>
    <w:p w:rsidR="00AD6001" w:rsidRPr="00661626" w:rsidRDefault="00AD6001" w:rsidP="00AD6001">
      <w:pPr>
        <w:pStyle w:val="NormalWeb"/>
        <w:rPr>
          <w:rFonts w:ascii="Arial" w:hAnsi="Arial" w:cs="Arial"/>
          <w:sz w:val="22"/>
          <w:szCs w:val="22"/>
        </w:rPr>
      </w:pPr>
      <w:r w:rsidRPr="00661626">
        <w:rPr>
          <w:rFonts w:ascii="Arial" w:hAnsi="Arial" w:cs="Arial"/>
          <w:sz w:val="22"/>
          <w:szCs w:val="22"/>
        </w:rPr>
        <w:t>7. All applications for administrative leave shall be submitted to the President or Chancellor of the campus, or if applicable to the Commissioner of Higher Education, allowing sufficient time for evaluation prior to the beginning of the leave. Requests for administrative leave for presidents must be recommended by the Commissioner of Higher Education. All leave requests shall be submitted to the Board of Regents through the Commissioner of Higher Education for approval.</w:t>
      </w:r>
    </w:p>
    <w:p w:rsidR="00AF6E2F" w:rsidRPr="00661626" w:rsidRDefault="008C7189" w:rsidP="008C7189">
      <w:pPr>
        <w:autoSpaceDE w:val="0"/>
        <w:autoSpaceDN w:val="0"/>
        <w:adjustRightInd w:val="0"/>
        <w:rPr>
          <w:rFonts w:ascii="Arial" w:hAnsi="Arial" w:cs="Arial"/>
          <w:b/>
          <w:bCs/>
          <w:color w:val="000000"/>
          <w:sz w:val="22"/>
          <w:szCs w:val="22"/>
        </w:rPr>
      </w:pPr>
      <w:r w:rsidRPr="00661626">
        <w:rPr>
          <w:rFonts w:ascii="Arial" w:hAnsi="Arial" w:cs="Arial"/>
          <w:b/>
          <w:bCs/>
          <w:color w:val="000000"/>
          <w:sz w:val="22"/>
          <w:szCs w:val="22"/>
        </w:rPr>
        <w:t xml:space="preserve">History: </w:t>
      </w:r>
    </w:p>
    <w:p w:rsidR="008F1932" w:rsidRPr="00661626" w:rsidRDefault="00AD6001" w:rsidP="00443FCA">
      <w:pPr>
        <w:autoSpaceDE w:val="0"/>
        <w:autoSpaceDN w:val="0"/>
        <w:adjustRightInd w:val="0"/>
        <w:ind w:left="720"/>
        <w:rPr>
          <w:rFonts w:ascii="Arial" w:hAnsi="Arial" w:cs="Arial"/>
          <w:color w:val="000000"/>
          <w:sz w:val="22"/>
          <w:szCs w:val="22"/>
        </w:rPr>
      </w:pPr>
      <w:r w:rsidRPr="00661626">
        <w:rPr>
          <w:rFonts w:ascii="Arial" w:hAnsi="Arial" w:cs="Arial"/>
          <w:sz w:val="22"/>
          <w:szCs w:val="22"/>
        </w:rPr>
        <w:lastRenderedPageBreak/>
        <w:t>Item 204 001, November 27, 1967 as amended October 29, 1976; (The portion of Item 204 001 relating to administrative and supervisory leave is rescinded); Item 20 001 R0478, Leaves, Administrative Personnel, Montana University System, May 31, 1978, as revised July 6, 1995 and November 18, 1999 (</w:t>
      </w:r>
      <w:hyperlink r:id="rId5" w:history="1">
        <w:r w:rsidRPr="00661626">
          <w:rPr>
            <w:rStyle w:val="Hyperlink"/>
            <w:rFonts w:ascii="Arial" w:hAnsi="Arial" w:cs="Arial"/>
            <w:sz w:val="22"/>
            <w:szCs w:val="22"/>
          </w:rPr>
          <w:t>Item 104-103-R0999</w:t>
        </w:r>
      </w:hyperlink>
      <w:r w:rsidRPr="00661626">
        <w:rPr>
          <w:rFonts w:ascii="Arial" w:hAnsi="Arial" w:cs="Arial"/>
          <w:sz w:val="22"/>
          <w:szCs w:val="22"/>
        </w:rPr>
        <w:t>), and March 25, 2004 (</w:t>
      </w:r>
      <w:hyperlink r:id="rId6" w:history="1">
        <w:r w:rsidRPr="00661626">
          <w:rPr>
            <w:rStyle w:val="Hyperlink"/>
            <w:rFonts w:ascii="Arial" w:hAnsi="Arial" w:cs="Arial"/>
            <w:sz w:val="22"/>
            <w:szCs w:val="22"/>
          </w:rPr>
          <w:t>ITEM 122-104-R0304</w:t>
        </w:r>
      </w:hyperlink>
      <w:r w:rsidRPr="00661626">
        <w:rPr>
          <w:rFonts w:ascii="Arial" w:hAnsi="Arial" w:cs="Arial"/>
          <w:sz w:val="22"/>
          <w:szCs w:val="22"/>
        </w:rPr>
        <w:t xml:space="preserve">, see </w:t>
      </w:r>
      <w:hyperlink r:id="rId7" w:history="1">
        <w:r w:rsidRPr="00661626">
          <w:rPr>
            <w:rStyle w:val="Hyperlink"/>
            <w:rFonts w:ascii="Arial" w:hAnsi="Arial" w:cs="Arial"/>
            <w:sz w:val="22"/>
            <w:szCs w:val="22"/>
          </w:rPr>
          <w:t>Attachment 2</w:t>
        </w:r>
      </w:hyperlink>
      <w:r w:rsidRPr="00661626">
        <w:rPr>
          <w:rFonts w:ascii="Arial" w:hAnsi="Arial" w:cs="Arial"/>
          <w:sz w:val="22"/>
          <w:szCs w:val="22"/>
        </w:rPr>
        <w:t>).</w:t>
      </w:r>
    </w:p>
    <w:sectPr w:rsidR="008F1932" w:rsidRPr="00661626">
      <w:pgSz w:w="12240" w:h="15840"/>
      <w:pgMar w:top="1440" w:right="1800" w:bottom="3845"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932"/>
    <w:rsid w:val="000C7773"/>
    <w:rsid w:val="002E7CC2"/>
    <w:rsid w:val="00412D9E"/>
    <w:rsid w:val="00443FCA"/>
    <w:rsid w:val="00661626"/>
    <w:rsid w:val="008C7189"/>
    <w:rsid w:val="008F1932"/>
    <w:rsid w:val="0093799C"/>
    <w:rsid w:val="00A15A54"/>
    <w:rsid w:val="00AD6001"/>
    <w:rsid w:val="00AF6E2F"/>
    <w:rsid w:val="00DC07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59BCDB9-B69A-4212-A9AD-54D2F5932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A15A54"/>
    <w:pPr>
      <w:autoSpaceDE w:val="0"/>
      <w:autoSpaceDN w:val="0"/>
      <w:adjustRightInd w:val="0"/>
      <w:outlineLvl w:val="0"/>
    </w:pPr>
    <w:rPr>
      <w:rFonts w:ascii="Arial" w:hAnsi="Arial" w:cs="Arial"/>
      <w:noProo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pPr>
      <w:ind w:left="2160" w:hanging="2160"/>
    </w:pPr>
    <w:rPr>
      <w:rFonts w:ascii="Century Gothic" w:hAnsi="Century Gothic"/>
      <w:noProof/>
    </w:rPr>
  </w:style>
  <w:style w:type="paragraph" w:styleId="BlockText">
    <w:name w:val="Block Text"/>
    <w:basedOn w:val="Normal"/>
    <w:pPr>
      <w:tabs>
        <w:tab w:val="left" w:pos="-1440"/>
      </w:tabs>
      <w:ind w:left="2160" w:right="450" w:hanging="720"/>
    </w:pPr>
    <w:rPr>
      <w:rFonts w:ascii="Century Gothic" w:hAnsi="Century Gothic"/>
    </w:rPr>
  </w:style>
  <w:style w:type="paragraph" w:styleId="NormalWeb">
    <w:name w:val="Normal (Web)"/>
    <w:basedOn w:val="Normal"/>
    <w:rsid w:val="00AD6001"/>
    <w:pPr>
      <w:spacing w:before="100" w:beforeAutospacing="1" w:after="100" w:afterAutospacing="1"/>
    </w:pPr>
  </w:style>
  <w:style w:type="character" w:styleId="Hyperlink">
    <w:name w:val="Hyperlink"/>
    <w:rsid w:val="00AD6001"/>
    <w:rPr>
      <w:color w:val="0000FF"/>
      <w:u w:val="single"/>
    </w:rPr>
  </w:style>
  <w:style w:type="character" w:customStyle="1" w:styleId="Heading1Char">
    <w:name w:val="Heading 1 Char"/>
    <w:link w:val="Heading1"/>
    <w:rsid w:val="00A15A54"/>
    <w:rPr>
      <w:rFonts w:ascii="Arial" w:hAnsi="Arial" w:cs="Arial"/>
      <w:noProof/>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1238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montana.edu/wwwbor/ITEM122-104-R0304ATT2.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ontana.edu/wwwbor/ITEM122-104-R0304.htm" TargetMode="External"/><Relationship Id="rId5" Type="http://schemas.openxmlformats.org/officeDocument/2006/relationships/hyperlink" Target="http://www.montana.edu/wochelc/"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362</Words>
  <Characters>2065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Personnel Procedures</vt:lpstr>
    </vt:vector>
  </TitlesOfParts>
  <Company>University of Montana</Company>
  <LinksUpToDate>false</LinksUpToDate>
  <CharactersWithSpaces>2423</CharactersWithSpaces>
  <SharedDoc>false</SharedDoc>
  <HLinks>
    <vt:vector size="18" baseType="variant">
      <vt:variant>
        <vt:i4>2883702</vt:i4>
      </vt:variant>
      <vt:variant>
        <vt:i4>6</vt:i4>
      </vt:variant>
      <vt:variant>
        <vt:i4>0</vt:i4>
      </vt:variant>
      <vt:variant>
        <vt:i4>5</vt:i4>
      </vt:variant>
      <vt:variant>
        <vt:lpwstr>http://www.montana.edu/wwwbor/ITEM122-104-R0304ATT2.htm</vt:lpwstr>
      </vt:variant>
      <vt:variant>
        <vt:lpwstr/>
      </vt:variant>
      <vt:variant>
        <vt:i4>3735600</vt:i4>
      </vt:variant>
      <vt:variant>
        <vt:i4>3</vt:i4>
      </vt:variant>
      <vt:variant>
        <vt:i4>0</vt:i4>
      </vt:variant>
      <vt:variant>
        <vt:i4>5</vt:i4>
      </vt:variant>
      <vt:variant>
        <vt:lpwstr>http://www.montana.edu/wwwbor/ITEM122-104-R0304.htm</vt:lpwstr>
      </vt:variant>
      <vt:variant>
        <vt:lpwstr/>
      </vt:variant>
      <vt:variant>
        <vt:i4>2752555</vt:i4>
      </vt:variant>
      <vt:variant>
        <vt:i4>0</vt:i4>
      </vt:variant>
      <vt:variant>
        <vt:i4>0</vt:i4>
      </vt:variant>
      <vt:variant>
        <vt:i4>5</vt:i4>
      </vt:variant>
      <vt:variant>
        <vt:lpwstr>http://www.montana.edu/wochelc/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Personnel Procedures</dc:title>
  <dc:subject/>
  <dc:creator>Ken.Thompson</dc:creator>
  <cp:keywords/>
  <dc:description/>
  <cp:lastModifiedBy>Boies, Cynthia</cp:lastModifiedBy>
  <cp:revision>2</cp:revision>
  <dcterms:created xsi:type="dcterms:W3CDTF">2017-11-16T21:45:00Z</dcterms:created>
  <dcterms:modified xsi:type="dcterms:W3CDTF">2017-11-16T21:45:00Z</dcterms:modified>
</cp:coreProperties>
</file>