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7D8" w:rsidRPr="007347EE" w:rsidRDefault="006207D8" w:rsidP="006207D8">
      <w:pPr>
        <w:pStyle w:val="Default"/>
        <w:rPr>
          <w:color w:val="auto"/>
          <w:sz w:val="22"/>
          <w:szCs w:val="22"/>
        </w:rPr>
      </w:pPr>
      <w:bookmarkStart w:id="0" w:name="_GoBack"/>
      <w:bookmarkEnd w:id="0"/>
    </w:p>
    <w:p w:rsidR="006C59BA" w:rsidRDefault="006C59BA" w:rsidP="006C59BA">
      <w:pPr>
        <w:ind w:left="720"/>
        <w:jc w:val="center"/>
        <w:rPr>
          <w:rFonts w:ascii="Arial" w:hAnsi="Arial" w:cs="Arial"/>
          <w:b/>
          <w:color w:val="003399"/>
          <w:sz w:val="24"/>
          <w:szCs w:val="24"/>
        </w:rPr>
      </w:pPr>
      <w:r>
        <w:rPr>
          <w:rFonts w:ascii="Arial" w:hAnsi="Arial" w:cs="Arial"/>
          <w:b/>
          <w:color w:val="003399"/>
          <w:sz w:val="24"/>
          <w:szCs w:val="24"/>
        </w:rPr>
        <w:t xml:space="preserve">MONTANA UNIVERSITY SYSTEM WORKERS COMPENSATION PROGRAM </w:t>
      </w:r>
    </w:p>
    <w:p w:rsidR="006C59BA" w:rsidRDefault="006C59BA" w:rsidP="006C59BA">
      <w:pPr>
        <w:spacing w:after="0" w:line="240" w:lineRule="auto"/>
        <w:rPr>
          <w:rFonts w:ascii="Arial" w:hAnsi="Arial" w:cs="Arial"/>
          <w:color w:val="003399"/>
          <w:sz w:val="24"/>
          <w:szCs w:val="24"/>
        </w:rPr>
      </w:pPr>
      <w:r w:rsidRPr="006C59BA">
        <w:rPr>
          <w:rFonts w:ascii="Arial" w:hAnsi="Arial" w:cs="Arial"/>
          <w:color w:val="003399"/>
          <w:sz w:val="24"/>
          <w:szCs w:val="24"/>
        </w:rPr>
        <w:t xml:space="preserve">Stay at Work/Return to Work </w:t>
      </w:r>
      <w:r>
        <w:rPr>
          <w:rFonts w:ascii="Arial" w:hAnsi="Arial" w:cs="Arial"/>
          <w:color w:val="003399"/>
          <w:sz w:val="24"/>
          <w:szCs w:val="24"/>
        </w:rPr>
        <w:t xml:space="preserve">(SAW/RTW) Assistance Policy </w:t>
      </w:r>
    </w:p>
    <w:p w:rsidR="006C59BA" w:rsidRDefault="006C59BA" w:rsidP="006C59BA">
      <w:pPr>
        <w:spacing w:after="0" w:line="240" w:lineRule="auto"/>
        <w:rPr>
          <w:rFonts w:ascii="Arial" w:hAnsi="Arial" w:cs="Arial"/>
          <w:color w:val="003399"/>
          <w:sz w:val="24"/>
          <w:szCs w:val="24"/>
        </w:rPr>
      </w:pPr>
      <w:r>
        <w:rPr>
          <w:rFonts w:ascii="Arial" w:hAnsi="Arial" w:cs="Arial"/>
          <w:color w:val="003399"/>
          <w:sz w:val="24"/>
          <w:szCs w:val="24"/>
        </w:rPr>
        <w:t xml:space="preserve">Policy Number:  WC-0003 </w:t>
      </w:r>
    </w:p>
    <w:p w:rsidR="006C59BA" w:rsidRPr="00CA1B32" w:rsidRDefault="006C59BA" w:rsidP="006C59BA">
      <w:pPr>
        <w:spacing w:after="0" w:line="240" w:lineRule="auto"/>
        <w:rPr>
          <w:rFonts w:ascii="Arial" w:hAnsi="Arial" w:cs="Arial"/>
          <w:color w:val="003399"/>
          <w:sz w:val="24"/>
          <w:szCs w:val="24"/>
        </w:rPr>
      </w:pPr>
      <w:r>
        <w:rPr>
          <w:rFonts w:ascii="Arial" w:hAnsi="Arial" w:cs="Arial"/>
          <w:color w:val="003399"/>
          <w:sz w:val="24"/>
          <w:szCs w:val="24"/>
        </w:rPr>
        <w:t>Adopted: September 12, 2012</w:t>
      </w:r>
    </w:p>
    <w:p w:rsidR="006C59BA" w:rsidRDefault="006C59BA" w:rsidP="006C59BA">
      <w:pPr>
        <w:spacing w:after="0" w:line="240" w:lineRule="auto"/>
        <w:rPr>
          <w:rFonts w:ascii="Arial" w:hAnsi="Arial" w:cs="Arial"/>
          <w:color w:val="003399"/>
          <w:sz w:val="24"/>
          <w:szCs w:val="24"/>
        </w:rPr>
      </w:pPr>
      <w:r>
        <w:rPr>
          <w:rFonts w:ascii="Arial" w:hAnsi="Arial" w:cs="Arial"/>
          <w:color w:val="003399"/>
          <w:sz w:val="24"/>
          <w:szCs w:val="24"/>
        </w:rPr>
        <w:t xml:space="preserve">Page </w:t>
      </w:r>
      <w:r w:rsidR="00257030">
        <w:rPr>
          <w:rFonts w:ascii="Arial" w:hAnsi="Arial" w:cs="Arial"/>
          <w:color w:val="003399"/>
          <w:sz w:val="24"/>
          <w:szCs w:val="24"/>
        </w:rPr>
        <w:fldChar w:fldCharType="begin"/>
      </w:r>
      <w:r>
        <w:rPr>
          <w:rFonts w:ascii="Arial" w:hAnsi="Arial" w:cs="Arial"/>
          <w:color w:val="003399"/>
          <w:sz w:val="24"/>
          <w:szCs w:val="24"/>
        </w:rPr>
        <w:instrText xml:space="preserve"> PAGE   \* MERGEFORMAT </w:instrText>
      </w:r>
      <w:r w:rsidR="00257030">
        <w:rPr>
          <w:rFonts w:ascii="Arial" w:hAnsi="Arial" w:cs="Arial"/>
          <w:color w:val="003399"/>
          <w:sz w:val="24"/>
          <w:szCs w:val="24"/>
        </w:rPr>
        <w:fldChar w:fldCharType="separate"/>
      </w:r>
      <w:r w:rsidR="009225C6">
        <w:rPr>
          <w:rFonts w:ascii="Arial" w:hAnsi="Arial" w:cs="Arial"/>
          <w:noProof/>
          <w:color w:val="003399"/>
          <w:sz w:val="24"/>
          <w:szCs w:val="24"/>
        </w:rPr>
        <w:t>1</w:t>
      </w:r>
      <w:r w:rsidR="00257030">
        <w:rPr>
          <w:rFonts w:ascii="Arial" w:hAnsi="Arial" w:cs="Arial"/>
          <w:color w:val="003399"/>
          <w:sz w:val="24"/>
          <w:szCs w:val="24"/>
        </w:rPr>
        <w:fldChar w:fldCharType="end"/>
      </w:r>
      <w:r>
        <w:rPr>
          <w:rFonts w:ascii="Arial" w:hAnsi="Arial" w:cs="Arial"/>
          <w:color w:val="003399"/>
          <w:sz w:val="24"/>
          <w:szCs w:val="24"/>
        </w:rPr>
        <w:t xml:space="preserve"> of 2</w:t>
      </w:r>
    </w:p>
    <w:p w:rsidR="006C59BA" w:rsidRDefault="006C59BA" w:rsidP="006C59BA">
      <w:pPr>
        <w:rPr>
          <w:rFonts w:ascii="Arial" w:hAnsi="Arial" w:cs="Arial"/>
          <w:color w:val="003399"/>
          <w:sz w:val="24"/>
          <w:szCs w:val="24"/>
        </w:rPr>
      </w:pPr>
      <w:r>
        <w:rPr>
          <w:rFonts w:ascii="Arial" w:hAnsi="Arial" w:cs="Arial"/>
          <w:color w:val="003399"/>
          <w:sz w:val="24"/>
          <w:szCs w:val="24"/>
        </w:rPr>
        <w:t>_____________________________________________________________________</w:t>
      </w:r>
    </w:p>
    <w:p w:rsidR="00B2253E" w:rsidRPr="006C59BA" w:rsidRDefault="00C53F09" w:rsidP="006207D8">
      <w:pPr>
        <w:pStyle w:val="Default"/>
        <w:rPr>
          <w:rFonts w:ascii="Arial" w:hAnsi="Arial" w:cs="Arial"/>
          <w:color w:val="auto"/>
          <w:sz w:val="26"/>
          <w:szCs w:val="26"/>
        </w:rPr>
      </w:pPr>
      <w:r w:rsidRPr="006C59BA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r w:rsidR="00B2253E" w:rsidRPr="006C59BA">
        <w:rPr>
          <w:rFonts w:ascii="Arial" w:hAnsi="Arial" w:cs="Arial"/>
          <w:color w:val="auto"/>
          <w:sz w:val="26"/>
          <w:szCs w:val="26"/>
        </w:rPr>
        <w:t xml:space="preserve"> </w:t>
      </w:r>
    </w:p>
    <w:p w:rsidR="006207D8" w:rsidRPr="006C59BA" w:rsidRDefault="006207D8" w:rsidP="006C59BA">
      <w:pPr>
        <w:pStyle w:val="Default"/>
        <w:numPr>
          <w:ilvl w:val="0"/>
          <w:numId w:val="10"/>
        </w:numPr>
        <w:ind w:left="720"/>
        <w:rPr>
          <w:rFonts w:ascii="Arial" w:hAnsi="Arial" w:cs="Arial"/>
          <w:color w:val="auto"/>
          <w:sz w:val="26"/>
          <w:szCs w:val="26"/>
        </w:rPr>
      </w:pPr>
      <w:r w:rsidRPr="006C59BA">
        <w:rPr>
          <w:rFonts w:ascii="Arial" w:hAnsi="Arial" w:cs="Arial"/>
          <w:b/>
          <w:bCs/>
          <w:color w:val="auto"/>
          <w:sz w:val="26"/>
          <w:szCs w:val="26"/>
        </w:rPr>
        <w:t>SAW/RTW</w:t>
      </w:r>
      <w:r w:rsidR="00CF3A87" w:rsidRPr="006C59BA">
        <w:rPr>
          <w:rFonts w:ascii="Arial" w:hAnsi="Arial" w:cs="Arial"/>
          <w:b/>
          <w:bCs/>
          <w:color w:val="auto"/>
          <w:sz w:val="26"/>
          <w:szCs w:val="26"/>
        </w:rPr>
        <w:t xml:space="preserve"> Assistance</w:t>
      </w:r>
      <w:r w:rsidRPr="006C59BA">
        <w:rPr>
          <w:rFonts w:ascii="Arial" w:hAnsi="Arial" w:cs="Arial"/>
          <w:b/>
          <w:bCs/>
          <w:color w:val="auto"/>
          <w:sz w:val="26"/>
          <w:szCs w:val="26"/>
        </w:rPr>
        <w:t xml:space="preserve"> Policy </w:t>
      </w:r>
    </w:p>
    <w:p w:rsidR="00226D2A" w:rsidRPr="00656334" w:rsidRDefault="00226D2A" w:rsidP="006207D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B2253E" w:rsidRPr="00656334" w:rsidRDefault="006207D8" w:rsidP="006207D8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656334">
        <w:rPr>
          <w:rFonts w:ascii="Arial" w:hAnsi="Arial" w:cs="Arial"/>
          <w:color w:val="auto"/>
          <w:sz w:val="22"/>
          <w:szCs w:val="22"/>
        </w:rPr>
        <w:t>It is the policy of the MUS Workers’ Compensation Program</w:t>
      </w:r>
      <w:r w:rsidR="00656334">
        <w:rPr>
          <w:rFonts w:ascii="Arial" w:hAnsi="Arial" w:cs="Arial"/>
          <w:color w:val="auto"/>
          <w:sz w:val="22"/>
          <w:szCs w:val="22"/>
        </w:rPr>
        <w:t xml:space="preserve"> (MUS Work Comp)</w:t>
      </w:r>
      <w:r w:rsidRPr="00656334">
        <w:rPr>
          <w:rFonts w:ascii="Arial" w:hAnsi="Arial" w:cs="Arial"/>
          <w:color w:val="auto"/>
          <w:sz w:val="22"/>
          <w:szCs w:val="22"/>
        </w:rPr>
        <w:t xml:space="preserve"> to provide </w:t>
      </w:r>
      <w:r w:rsidR="00B2253E" w:rsidRPr="00656334">
        <w:rPr>
          <w:rFonts w:ascii="Arial" w:hAnsi="Arial" w:cs="Arial"/>
          <w:color w:val="auto"/>
          <w:sz w:val="22"/>
          <w:szCs w:val="22"/>
        </w:rPr>
        <w:t>Stay-at-Work/Return-to-Work (SAW/RTW)</w:t>
      </w:r>
      <w:r w:rsidRPr="00656334">
        <w:rPr>
          <w:rFonts w:ascii="Arial" w:hAnsi="Arial" w:cs="Arial"/>
          <w:color w:val="auto"/>
          <w:sz w:val="22"/>
          <w:szCs w:val="22"/>
        </w:rPr>
        <w:t xml:space="preserve"> </w:t>
      </w:r>
      <w:r w:rsidR="00B2253E" w:rsidRPr="00656334">
        <w:rPr>
          <w:rFonts w:ascii="Arial" w:hAnsi="Arial" w:cs="Arial"/>
          <w:color w:val="auto"/>
          <w:sz w:val="22"/>
          <w:szCs w:val="22"/>
        </w:rPr>
        <w:t>A</w:t>
      </w:r>
      <w:r w:rsidRPr="00656334">
        <w:rPr>
          <w:rFonts w:ascii="Arial" w:hAnsi="Arial" w:cs="Arial"/>
          <w:color w:val="auto"/>
          <w:sz w:val="22"/>
          <w:szCs w:val="22"/>
        </w:rPr>
        <w:t xml:space="preserve">ssistance to </w:t>
      </w:r>
      <w:r w:rsidR="00307828" w:rsidRPr="00656334">
        <w:rPr>
          <w:rFonts w:ascii="Arial" w:hAnsi="Arial" w:cs="Arial"/>
          <w:color w:val="auto"/>
          <w:sz w:val="22"/>
          <w:szCs w:val="22"/>
        </w:rPr>
        <w:t>help</w:t>
      </w:r>
      <w:r w:rsidR="00B2253E" w:rsidRPr="00656334">
        <w:rPr>
          <w:rFonts w:ascii="Arial" w:hAnsi="Arial" w:cs="Arial"/>
          <w:color w:val="auto"/>
          <w:sz w:val="22"/>
          <w:szCs w:val="22"/>
        </w:rPr>
        <w:t xml:space="preserve"> an employee</w:t>
      </w:r>
      <w:r w:rsidR="00307828" w:rsidRPr="00656334">
        <w:rPr>
          <w:rFonts w:ascii="Arial" w:hAnsi="Arial" w:cs="Arial"/>
          <w:color w:val="auto"/>
          <w:sz w:val="22"/>
          <w:szCs w:val="22"/>
        </w:rPr>
        <w:t xml:space="preserve"> </w:t>
      </w:r>
      <w:r w:rsidRPr="00656334">
        <w:rPr>
          <w:rFonts w:ascii="Arial" w:hAnsi="Arial" w:cs="Arial"/>
          <w:color w:val="auto"/>
          <w:sz w:val="22"/>
          <w:szCs w:val="22"/>
        </w:rPr>
        <w:t xml:space="preserve">return to meaningful, productive employment </w:t>
      </w:r>
      <w:r w:rsidR="00B2253E" w:rsidRPr="00656334">
        <w:rPr>
          <w:rFonts w:ascii="Arial" w:hAnsi="Arial" w:cs="Arial"/>
          <w:color w:val="auto"/>
          <w:sz w:val="22"/>
          <w:szCs w:val="22"/>
        </w:rPr>
        <w:t>as soon as possible following a compensable work-related injury or occupational disease</w:t>
      </w:r>
      <w:r w:rsidRPr="00656334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B2253E" w:rsidRPr="00656334" w:rsidRDefault="00B2253E" w:rsidP="00B2253E">
      <w:pPr>
        <w:spacing w:after="0" w:line="240" w:lineRule="auto"/>
        <w:ind w:left="360"/>
        <w:rPr>
          <w:rFonts w:ascii="Arial" w:eastAsia="Times New Roman" w:hAnsi="Arial" w:cs="Arial"/>
        </w:rPr>
      </w:pPr>
    </w:p>
    <w:p w:rsidR="00B2253E" w:rsidRPr="00656334" w:rsidRDefault="00B2253E" w:rsidP="00B2253E">
      <w:pPr>
        <w:spacing w:after="0" w:line="240" w:lineRule="auto"/>
        <w:rPr>
          <w:rFonts w:ascii="Arial" w:eastAsia="Times New Roman" w:hAnsi="Arial" w:cs="Arial"/>
        </w:rPr>
      </w:pPr>
      <w:r w:rsidRPr="00656334">
        <w:rPr>
          <w:rFonts w:ascii="Arial" w:eastAsia="Times New Roman" w:hAnsi="Arial" w:cs="Arial"/>
        </w:rPr>
        <w:t xml:space="preserve">The SAW/RTW Assistance Policy intends </w:t>
      </w:r>
      <w:r w:rsidRPr="00656334">
        <w:rPr>
          <w:rFonts w:ascii="Arial" w:hAnsi="Arial" w:cs="Arial"/>
        </w:rPr>
        <w:t xml:space="preserve">to facilitate the restoration of health and </w:t>
      </w:r>
      <w:r w:rsidRPr="00656334">
        <w:rPr>
          <w:rFonts w:ascii="Arial" w:eastAsia="Times New Roman" w:hAnsi="Arial" w:cs="Arial"/>
        </w:rPr>
        <w:t>minimize disruption caused by a work-related injury or occupational disease by reintegrating the worker to the same position or to a temporary modified position within the employee’s</w:t>
      </w:r>
      <w:r w:rsidR="00CE1B87">
        <w:rPr>
          <w:rFonts w:ascii="Arial" w:eastAsia="Times New Roman" w:hAnsi="Arial" w:cs="Arial"/>
        </w:rPr>
        <w:t xml:space="preserve"> </w:t>
      </w:r>
      <w:r w:rsidR="00CE1B87" w:rsidRPr="005C5627">
        <w:rPr>
          <w:rFonts w:ascii="Arial" w:eastAsia="Times New Roman" w:hAnsi="Arial" w:cs="Arial"/>
        </w:rPr>
        <w:t>current</w:t>
      </w:r>
      <w:r w:rsidRPr="00F37823">
        <w:rPr>
          <w:rFonts w:ascii="Arial" w:eastAsia="Times New Roman" w:hAnsi="Arial" w:cs="Arial"/>
          <w:color w:val="FF0000"/>
        </w:rPr>
        <w:t xml:space="preserve"> </w:t>
      </w:r>
      <w:r w:rsidRPr="00656334">
        <w:rPr>
          <w:rFonts w:ascii="Arial" w:eastAsia="Times New Roman" w:hAnsi="Arial" w:cs="Arial"/>
        </w:rPr>
        <w:t xml:space="preserve">physical capabilities as soon as possible after an injury or an occupational disease occurs.   </w:t>
      </w:r>
    </w:p>
    <w:p w:rsidR="006207D8" w:rsidRPr="00656334" w:rsidRDefault="00B2253E" w:rsidP="006207D8">
      <w:pPr>
        <w:pStyle w:val="Default"/>
        <w:rPr>
          <w:rFonts w:ascii="Arial" w:hAnsi="Arial" w:cs="Arial"/>
          <w:b/>
          <w:bCs/>
          <w:color w:val="auto"/>
          <w:sz w:val="31"/>
          <w:szCs w:val="31"/>
        </w:rPr>
      </w:pPr>
      <w:r w:rsidRPr="00656334">
        <w:rPr>
          <w:rFonts w:ascii="Arial" w:hAnsi="Arial" w:cs="Arial"/>
          <w:b/>
          <w:bCs/>
          <w:color w:val="auto"/>
          <w:sz w:val="31"/>
          <w:szCs w:val="31"/>
        </w:rPr>
        <w:t xml:space="preserve"> </w:t>
      </w:r>
    </w:p>
    <w:p w:rsidR="006207D8" w:rsidRPr="006C59BA" w:rsidRDefault="006207D8" w:rsidP="006C59BA">
      <w:pPr>
        <w:pStyle w:val="Default"/>
        <w:numPr>
          <w:ilvl w:val="0"/>
          <w:numId w:val="10"/>
        </w:numPr>
        <w:ind w:left="720"/>
        <w:rPr>
          <w:rFonts w:ascii="Arial" w:hAnsi="Arial" w:cs="Arial"/>
          <w:color w:val="auto"/>
          <w:sz w:val="26"/>
          <w:szCs w:val="26"/>
        </w:rPr>
      </w:pPr>
      <w:r w:rsidRPr="006C59BA">
        <w:rPr>
          <w:rFonts w:ascii="Arial" w:hAnsi="Arial" w:cs="Arial"/>
          <w:b/>
          <w:bCs/>
          <w:color w:val="auto"/>
          <w:sz w:val="26"/>
          <w:szCs w:val="26"/>
        </w:rPr>
        <w:t xml:space="preserve">Stay at Work/Return to Work Process </w:t>
      </w:r>
    </w:p>
    <w:p w:rsidR="00B2253E" w:rsidRPr="00656334" w:rsidRDefault="00B2253E" w:rsidP="006207D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6C5267" w:rsidRDefault="006C5267" w:rsidP="006C5267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Each </w:t>
      </w:r>
      <w:r w:rsidRPr="00656334">
        <w:rPr>
          <w:rFonts w:ascii="Arial" w:eastAsia="Times New Roman" w:hAnsi="Arial" w:cs="Arial"/>
        </w:rPr>
        <w:t xml:space="preserve">campus </w:t>
      </w:r>
      <w:r>
        <w:rPr>
          <w:rFonts w:ascii="Arial" w:eastAsia="Times New Roman" w:hAnsi="Arial" w:cs="Arial"/>
        </w:rPr>
        <w:t xml:space="preserve">shall develop </w:t>
      </w:r>
      <w:r w:rsidRPr="00656334">
        <w:rPr>
          <w:rFonts w:ascii="Arial" w:eastAsia="Times New Roman" w:hAnsi="Arial" w:cs="Arial"/>
        </w:rPr>
        <w:t xml:space="preserve">policies and procedures </w:t>
      </w:r>
      <w:r>
        <w:rPr>
          <w:rFonts w:ascii="Arial" w:eastAsia="Times New Roman" w:hAnsi="Arial" w:cs="Arial"/>
        </w:rPr>
        <w:t xml:space="preserve">to assure compliance with </w:t>
      </w:r>
      <w:r w:rsidRPr="00C20789">
        <w:rPr>
          <w:rFonts w:ascii="Arial" w:eastAsia="Times New Roman" w:hAnsi="Arial" w:cs="Arial"/>
        </w:rPr>
        <w:t>the</w:t>
      </w:r>
      <w:r>
        <w:rPr>
          <w:rFonts w:ascii="Arial" w:eastAsia="Times New Roman" w:hAnsi="Arial" w:cs="Arial"/>
        </w:rPr>
        <w:t xml:space="preserve"> SAW/RTW A</w:t>
      </w:r>
      <w:r w:rsidRPr="00656334">
        <w:rPr>
          <w:rFonts w:ascii="Arial" w:eastAsia="Times New Roman" w:hAnsi="Arial" w:cs="Arial"/>
        </w:rPr>
        <w:t>ssistance</w:t>
      </w:r>
      <w:r>
        <w:rPr>
          <w:rFonts w:ascii="Arial" w:eastAsia="Times New Roman" w:hAnsi="Arial" w:cs="Arial"/>
        </w:rPr>
        <w:t xml:space="preserve"> requirements </w:t>
      </w:r>
      <w:r w:rsidR="00F26C13" w:rsidRPr="00C20789">
        <w:rPr>
          <w:rFonts w:ascii="Arial" w:eastAsia="Times New Roman" w:hAnsi="Arial" w:cs="Arial"/>
        </w:rPr>
        <w:t xml:space="preserve">listed </w:t>
      </w:r>
      <w:r w:rsidRPr="00C20789">
        <w:rPr>
          <w:rFonts w:ascii="Arial" w:eastAsia="Times New Roman" w:hAnsi="Arial" w:cs="Arial"/>
        </w:rPr>
        <w:t>in MCA Title 39-Chapter 71 Part 10</w:t>
      </w:r>
      <w:r>
        <w:rPr>
          <w:rFonts w:ascii="Arial" w:eastAsia="Times New Roman" w:hAnsi="Arial" w:cs="Arial"/>
        </w:rPr>
        <w:t xml:space="preserve"> and ARM 24.29.1801-1821.  </w:t>
      </w:r>
    </w:p>
    <w:p w:rsidR="006C5267" w:rsidRPr="00656334" w:rsidRDefault="006C5267" w:rsidP="006C5267">
      <w:pPr>
        <w:spacing w:after="0" w:line="240" w:lineRule="auto"/>
        <w:rPr>
          <w:rFonts w:ascii="Arial" w:eastAsia="Times New Roman" w:hAnsi="Arial" w:cs="Arial"/>
        </w:rPr>
      </w:pPr>
    </w:p>
    <w:p w:rsidR="006C5267" w:rsidRPr="00656334" w:rsidRDefault="006C5267" w:rsidP="006C5267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Campus Procedures for </w:t>
      </w:r>
      <w:r w:rsidRPr="00656334">
        <w:rPr>
          <w:rFonts w:ascii="Arial" w:hAnsi="Arial" w:cs="Arial"/>
          <w:color w:val="auto"/>
          <w:sz w:val="22"/>
          <w:szCs w:val="22"/>
        </w:rPr>
        <w:t>SAW/RTW assistance services will include, but are not limited to, the following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C20789">
        <w:rPr>
          <w:rFonts w:ascii="Arial" w:hAnsi="Arial" w:cs="Arial"/>
          <w:color w:val="auto"/>
          <w:sz w:val="22"/>
          <w:szCs w:val="22"/>
        </w:rPr>
        <w:t>provisions:</w:t>
      </w:r>
      <w:r w:rsidRPr="0065633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C5267" w:rsidRPr="00656334" w:rsidRDefault="006C5267" w:rsidP="006C526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6C5267" w:rsidRPr="00656334" w:rsidRDefault="006C5267" w:rsidP="006C5267">
      <w:pPr>
        <w:pStyle w:val="Default"/>
        <w:numPr>
          <w:ilvl w:val="0"/>
          <w:numId w:val="3"/>
        </w:numPr>
        <w:rPr>
          <w:rFonts w:ascii="Arial" w:hAnsi="Arial" w:cs="Arial"/>
          <w:color w:val="auto"/>
          <w:sz w:val="22"/>
          <w:szCs w:val="22"/>
        </w:rPr>
      </w:pPr>
      <w:r w:rsidRPr="00656334">
        <w:rPr>
          <w:rFonts w:ascii="Arial" w:hAnsi="Arial" w:cs="Arial"/>
          <w:color w:val="auto"/>
          <w:sz w:val="22"/>
          <w:szCs w:val="22"/>
        </w:rPr>
        <w:t xml:space="preserve">Evaluate SAW/RTW </w:t>
      </w:r>
      <w:r w:rsidRPr="00C20789">
        <w:rPr>
          <w:rFonts w:ascii="Arial" w:hAnsi="Arial" w:cs="Arial"/>
          <w:color w:val="auto"/>
          <w:sz w:val="22"/>
          <w:szCs w:val="22"/>
        </w:rPr>
        <w:t>opportunities with at least the following minimum considerations:</w:t>
      </w:r>
      <w:r w:rsidRPr="00656334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C5267" w:rsidRPr="00656334" w:rsidRDefault="006C5267" w:rsidP="006C5267">
      <w:pPr>
        <w:pStyle w:val="ListParagraph"/>
        <w:numPr>
          <w:ilvl w:val="1"/>
          <w:numId w:val="3"/>
        </w:numPr>
        <w:ind w:left="117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Medical</w:t>
      </w:r>
      <w:r w:rsidRPr="00656334">
        <w:rPr>
          <w:rFonts w:ascii="Arial" w:eastAsia="Times New Roman" w:hAnsi="Arial" w:cs="Arial"/>
        </w:rPr>
        <w:t xml:space="preserve"> Status Form and workers’ current ability to safely perform work activities;  </w:t>
      </w:r>
    </w:p>
    <w:p w:rsidR="006C5267" w:rsidRPr="00656334" w:rsidRDefault="006C5267" w:rsidP="006C5267">
      <w:pPr>
        <w:pStyle w:val="ListParagraph"/>
        <w:numPr>
          <w:ilvl w:val="1"/>
          <w:numId w:val="3"/>
        </w:numPr>
        <w:ind w:left="1170"/>
        <w:rPr>
          <w:rFonts w:ascii="Arial" w:eastAsia="Times New Roman" w:hAnsi="Arial" w:cs="Arial"/>
        </w:rPr>
      </w:pPr>
      <w:r w:rsidRPr="00656334">
        <w:rPr>
          <w:rFonts w:ascii="Arial" w:eastAsia="Times New Roman" w:hAnsi="Arial" w:cs="Arial"/>
        </w:rPr>
        <w:t xml:space="preserve">Workers’ skills and qualifications; </w:t>
      </w:r>
    </w:p>
    <w:p w:rsidR="006C5267" w:rsidRPr="00656334" w:rsidRDefault="006C5267" w:rsidP="006C5267">
      <w:pPr>
        <w:pStyle w:val="ListParagraph"/>
        <w:numPr>
          <w:ilvl w:val="1"/>
          <w:numId w:val="3"/>
        </w:numPr>
        <w:ind w:left="1170"/>
        <w:rPr>
          <w:rFonts w:ascii="Arial" w:eastAsia="Times New Roman" w:hAnsi="Arial" w:cs="Arial"/>
        </w:rPr>
      </w:pPr>
      <w:r w:rsidRPr="00656334">
        <w:rPr>
          <w:rFonts w:ascii="Arial" w:eastAsia="Times New Roman" w:hAnsi="Arial" w:cs="Arial"/>
        </w:rPr>
        <w:t xml:space="preserve">Transitional employment opportunities consistent with MUS </w:t>
      </w:r>
      <w:r w:rsidR="00CE1B87" w:rsidRPr="005C5627">
        <w:rPr>
          <w:rFonts w:ascii="Arial" w:eastAsia="Times New Roman" w:hAnsi="Arial" w:cs="Arial"/>
        </w:rPr>
        <w:t>b</w:t>
      </w:r>
      <w:r w:rsidRPr="00656334">
        <w:rPr>
          <w:rFonts w:ascii="Arial" w:eastAsia="Times New Roman" w:hAnsi="Arial" w:cs="Arial"/>
        </w:rPr>
        <w:t>usiness needs;</w:t>
      </w:r>
    </w:p>
    <w:p w:rsidR="005C5627" w:rsidRDefault="00667FDC" w:rsidP="006C5267">
      <w:pPr>
        <w:pStyle w:val="ListParagraph"/>
        <w:numPr>
          <w:ilvl w:val="1"/>
          <w:numId w:val="3"/>
        </w:numPr>
        <w:ind w:left="1170"/>
        <w:rPr>
          <w:rFonts w:ascii="Arial" w:eastAsia="Times New Roman" w:hAnsi="Arial" w:cs="Arial"/>
        </w:rPr>
      </w:pPr>
      <w:r w:rsidRPr="005C5627">
        <w:rPr>
          <w:rFonts w:ascii="Arial" w:eastAsia="Times New Roman" w:hAnsi="Arial" w:cs="Arial"/>
        </w:rPr>
        <w:t xml:space="preserve">Potential strategies to address </w:t>
      </w:r>
      <w:r w:rsidR="006C5267" w:rsidRPr="005C5627">
        <w:rPr>
          <w:rFonts w:ascii="Arial" w:eastAsia="Times New Roman" w:hAnsi="Arial" w:cs="Arial"/>
        </w:rPr>
        <w:t>return to work barriers</w:t>
      </w:r>
      <w:r w:rsidR="005C5627">
        <w:rPr>
          <w:rFonts w:ascii="Arial" w:eastAsia="Times New Roman" w:hAnsi="Arial" w:cs="Arial"/>
        </w:rPr>
        <w:t>;</w:t>
      </w:r>
    </w:p>
    <w:p w:rsidR="006C5267" w:rsidRPr="005C5627" w:rsidRDefault="006C5267" w:rsidP="006C5267">
      <w:pPr>
        <w:pStyle w:val="ListParagraph"/>
        <w:numPr>
          <w:ilvl w:val="1"/>
          <w:numId w:val="3"/>
        </w:numPr>
        <w:ind w:left="1170"/>
        <w:rPr>
          <w:rFonts w:ascii="Arial" w:eastAsia="Times New Roman" w:hAnsi="Arial" w:cs="Arial"/>
        </w:rPr>
      </w:pPr>
      <w:r w:rsidRPr="005C5627">
        <w:rPr>
          <w:rFonts w:ascii="Arial" w:eastAsia="Times New Roman" w:hAnsi="Arial" w:cs="Arial"/>
        </w:rPr>
        <w:t>Conditions for terminating SAW/RTW Assistance.</w:t>
      </w:r>
    </w:p>
    <w:p w:rsidR="006C5267" w:rsidRPr="00656334" w:rsidRDefault="006C5267" w:rsidP="006C5267">
      <w:pPr>
        <w:pStyle w:val="ListParagraph"/>
        <w:ind w:left="1170"/>
        <w:rPr>
          <w:rFonts w:ascii="Arial" w:eastAsia="Times New Roman" w:hAnsi="Arial" w:cs="Arial"/>
        </w:rPr>
      </w:pPr>
      <w:r w:rsidRPr="00656334">
        <w:rPr>
          <w:rFonts w:ascii="Arial" w:eastAsia="Times New Roman" w:hAnsi="Arial" w:cs="Arial"/>
        </w:rPr>
        <w:t xml:space="preserve"> </w:t>
      </w:r>
    </w:p>
    <w:p w:rsidR="006C5267" w:rsidRPr="00656334" w:rsidRDefault="006C5267" w:rsidP="006C5267">
      <w:pPr>
        <w:pStyle w:val="ListParagraph"/>
        <w:ind w:left="768" w:hanging="408"/>
        <w:rPr>
          <w:rFonts w:ascii="Arial" w:hAnsi="Arial" w:cs="Arial"/>
        </w:rPr>
      </w:pPr>
      <w:r w:rsidRPr="00656334">
        <w:rPr>
          <w:rFonts w:ascii="Arial" w:hAnsi="Arial" w:cs="Arial"/>
        </w:rPr>
        <w:t>B.   Facilitate communication between injured worker and employer</w:t>
      </w:r>
      <w:r>
        <w:rPr>
          <w:rFonts w:ascii="Arial" w:hAnsi="Arial" w:cs="Arial"/>
        </w:rPr>
        <w:t>, and others as needed,</w:t>
      </w:r>
      <w:r w:rsidRPr="00656334">
        <w:rPr>
          <w:rFonts w:ascii="Arial" w:hAnsi="Arial" w:cs="Arial"/>
        </w:rPr>
        <w:t xml:space="preserve"> regarding transitional employment;</w:t>
      </w:r>
    </w:p>
    <w:p w:rsidR="006C5267" w:rsidRPr="00656334" w:rsidRDefault="006C5267" w:rsidP="006C5267">
      <w:pPr>
        <w:spacing w:after="0" w:line="240" w:lineRule="auto"/>
        <w:ind w:left="720" w:hanging="360"/>
        <w:rPr>
          <w:rFonts w:ascii="Arial" w:hAnsi="Arial" w:cs="Arial"/>
        </w:rPr>
      </w:pPr>
      <w:r w:rsidRPr="00656334">
        <w:rPr>
          <w:rFonts w:ascii="Arial" w:eastAsia="Times New Roman" w:hAnsi="Arial" w:cs="Arial"/>
        </w:rPr>
        <w:t xml:space="preserve">C.  </w:t>
      </w:r>
      <w:r w:rsidRPr="00656334">
        <w:rPr>
          <w:rFonts w:ascii="Arial" w:hAnsi="Arial" w:cs="Arial"/>
        </w:rPr>
        <w:t xml:space="preserve">Review Transitional Employment assignments periodically to:  </w:t>
      </w:r>
    </w:p>
    <w:p w:rsidR="006C5267" w:rsidRPr="00656334" w:rsidRDefault="006C5267" w:rsidP="006C5267">
      <w:pPr>
        <w:pStyle w:val="ListParagraph"/>
        <w:numPr>
          <w:ilvl w:val="0"/>
          <w:numId w:val="6"/>
        </w:numPr>
        <w:spacing w:after="0" w:line="240" w:lineRule="auto"/>
        <w:ind w:left="1080"/>
        <w:contextualSpacing w:val="0"/>
        <w:rPr>
          <w:rFonts w:ascii="Arial" w:eastAsia="Times New Roman" w:hAnsi="Arial" w:cs="Arial"/>
        </w:rPr>
      </w:pPr>
      <w:r w:rsidRPr="00656334">
        <w:rPr>
          <w:rFonts w:ascii="Arial" w:eastAsia="Times New Roman" w:hAnsi="Arial" w:cs="Arial"/>
        </w:rPr>
        <w:t>Verify that duties assigned and as performed by the injured worker conform to the functional capabilities outlined on the Medical Status Form</w:t>
      </w:r>
    </w:p>
    <w:p w:rsidR="006C5267" w:rsidRDefault="006C5267" w:rsidP="006C526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</w:rPr>
      </w:pPr>
      <w:r w:rsidRPr="00656334">
        <w:rPr>
          <w:rFonts w:ascii="Arial" w:eastAsia="Times New Roman" w:hAnsi="Arial" w:cs="Arial"/>
        </w:rPr>
        <w:t>Monitor the injured worker’s release to increasing functional capabilities, progress toward release to time of injury job and/or claim resolution.</w:t>
      </w:r>
    </w:p>
    <w:p w:rsidR="006C59BA" w:rsidRDefault="006C59BA" w:rsidP="006C5267">
      <w:pPr>
        <w:spacing w:after="0" w:line="240" w:lineRule="auto"/>
        <w:ind w:left="720" w:hanging="360"/>
        <w:rPr>
          <w:rFonts w:ascii="Arial" w:eastAsia="Times New Roman" w:hAnsi="Arial" w:cs="Arial"/>
        </w:rPr>
      </w:pPr>
    </w:p>
    <w:p w:rsidR="006C59BA" w:rsidRDefault="006C59BA" w:rsidP="006C5267">
      <w:pPr>
        <w:spacing w:after="0" w:line="240" w:lineRule="auto"/>
        <w:ind w:left="720" w:hanging="360"/>
        <w:rPr>
          <w:rFonts w:ascii="Arial" w:eastAsia="Times New Roman" w:hAnsi="Arial" w:cs="Arial"/>
        </w:rPr>
      </w:pPr>
    </w:p>
    <w:p w:rsidR="006C5267" w:rsidRPr="008A6A61" w:rsidRDefault="006C5267" w:rsidP="006C5267">
      <w:pPr>
        <w:spacing w:after="0" w:line="240" w:lineRule="auto"/>
        <w:ind w:left="720" w:hanging="3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D.  Timely Notification </w:t>
      </w:r>
      <w:r w:rsidRPr="008A6A61">
        <w:rPr>
          <w:rFonts w:ascii="Arial" w:eastAsia="Times New Roman" w:hAnsi="Arial" w:cs="Arial"/>
        </w:rPr>
        <w:t>to the Claim Examiner and the MUS Work Comp Program Director if/when any of the following occur:</w:t>
      </w:r>
    </w:p>
    <w:p w:rsidR="006C5267" w:rsidRPr="008A6A61" w:rsidRDefault="006C5267" w:rsidP="006C5267">
      <w:pPr>
        <w:pStyle w:val="ListParagraph"/>
        <w:numPr>
          <w:ilvl w:val="0"/>
          <w:numId w:val="8"/>
        </w:numPr>
        <w:spacing w:after="0" w:line="240" w:lineRule="auto"/>
        <w:ind w:left="1170"/>
        <w:rPr>
          <w:rFonts w:ascii="Arial" w:eastAsia="Times New Roman" w:hAnsi="Arial" w:cs="Arial"/>
        </w:rPr>
      </w:pPr>
      <w:r w:rsidRPr="008A6A61">
        <w:rPr>
          <w:rFonts w:ascii="Arial" w:eastAsia="Times New Roman" w:hAnsi="Arial" w:cs="Arial"/>
        </w:rPr>
        <w:t xml:space="preserve">Temporary transitional work start date;  </w:t>
      </w:r>
    </w:p>
    <w:p w:rsidR="006C5267" w:rsidRPr="008A6A61" w:rsidRDefault="006C5267" w:rsidP="006C5267">
      <w:pPr>
        <w:pStyle w:val="ListParagraph"/>
        <w:numPr>
          <w:ilvl w:val="0"/>
          <w:numId w:val="8"/>
        </w:numPr>
        <w:spacing w:after="0" w:line="240" w:lineRule="auto"/>
        <w:ind w:left="1170"/>
        <w:rPr>
          <w:rFonts w:ascii="Arial" w:eastAsia="Times New Roman" w:hAnsi="Arial" w:cs="Arial"/>
        </w:rPr>
      </w:pPr>
      <w:r w:rsidRPr="008A6A61">
        <w:rPr>
          <w:rFonts w:ascii="Arial" w:eastAsia="Times New Roman" w:hAnsi="Arial" w:cs="Arial"/>
        </w:rPr>
        <w:t>Refusal of a Temporary Transitional Employment offer</w:t>
      </w:r>
      <w:r>
        <w:rPr>
          <w:rFonts w:ascii="Arial" w:eastAsia="Times New Roman" w:hAnsi="Arial" w:cs="Arial"/>
        </w:rPr>
        <w:t xml:space="preserve"> by an employee</w:t>
      </w:r>
      <w:r w:rsidRPr="008A6A61">
        <w:rPr>
          <w:rFonts w:ascii="Arial" w:eastAsia="Times New Roman" w:hAnsi="Arial" w:cs="Arial"/>
        </w:rPr>
        <w:t xml:space="preserve">; </w:t>
      </w:r>
    </w:p>
    <w:p w:rsidR="006C5267" w:rsidRPr="008A6A61" w:rsidRDefault="006C5267" w:rsidP="006C5267">
      <w:pPr>
        <w:pStyle w:val="ListParagraph"/>
        <w:numPr>
          <w:ilvl w:val="0"/>
          <w:numId w:val="8"/>
        </w:numPr>
        <w:spacing w:after="0" w:line="240" w:lineRule="auto"/>
        <w:ind w:left="1170"/>
        <w:rPr>
          <w:rFonts w:ascii="Arial" w:eastAsia="Times New Roman" w:hAnsi="Arial" w:cs="Arial"/>
        </w:rPr>
      </w:pPr>
      <w:r w:rsidRPr="008A6A61">
        <w:rPr>
          <w:rFonts w:ascii="Arial" w:eastAsia="Times New Roman" w:hAnsi="Arial" w:cs="Arial"/>
        </w:rPr>
        <w:t>Date released to full duty;</w:t>
      </w:r>
    </w:p>
    <w:p w:rsidR="006C5267" w:rsidRDefault="006C5267" w:rsidP="006C5267">
      <w:pPr>
        <w:pStyle w:val="ListParagraph"/>
        <w:numPr>
          <w:ilvl w:val="0"/>
          <w:numId w:val="8"/>
        </w:numPr>
        <w:spacing w:after="0" w:line="240" w:lineRule="auto"/>
        <w:ind w:left="1170"/>
        <w:rPr>
          <w:rFonts w:ascii="Arial" w:eastAsia="Times New Roman" w:hAnsi="Arial" w:cs="Arial"/>
        </w:rPr>
      </w:pPr>
      <w:r w:rsidRPr="008A6A61">
        <w:rPr>
          <w:rFonts w:ascii="Arial" w:eastAsia="Times New Roman" w:hAnsi="Arial" w:cs="Arial"/>
        </w:rPr>
        <w:t>Termination of SAW/RTW services and reason for termination</w:t>
      </w:r>
      <w:r>
        <w:rPr>
          <w:rFonts w:ascii="Arial" w:eastAsia="Times New Roman" w:hAnsi="Arial" w:cs="Arial"/>
        </w:rPr>
        <w:t>.</w:t>
      </w:r>
      <w:r w:rsidRPr="008A6A61">
        <w:rPr>
          <w:rFonts w:ascii="Arial" w:eastAsia="Times New Roman" w:hAnsi="Arial" w:cs="Arial"/>
        </w:rPr>
        <w:t xml:space="preserve">  </w:t>
      </w:r>
    </w:p>
    <w:p w:rsidR="006C5267" w:rsidRPr="006C5267" w:rsidRDefault="006C5267" w:rsidP="006C5267">
      <w:pPr>
        <w:pStyle w:val="ListParagraph"/>
        <w:spacing w:after="0" w:line="240" w:lineRule="auto"/>
        <w:ind w:left="1170"/>
        <w:rPr>
          <w:rFonts w:ascii="Arial" w:eastAsia="Times New Roman" w:hAnsi="Arial" w:cs="Arial"/>
        </w:rPr>
      </w:pPr>
    </w:p>
    <w:p w:rsidR="00EF028D" w:rsidRDefault="00656334" w:rsidP="00733E95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When </w:t>
      </w:r>
      <w:r w:rsidR="00307828" w:rsidRPr="00656334">
        <w:rPr>
          <w:rFonts w:ascii="Arial" w:eastAsia="Times New Roman" w:hAnsi="Arial" w:cs="Arial"/>
        </w:rPr>
        <w:t>MUS Work Comp receives a req</w:t>
      </w:r>
      <w:r w:rsidRPr="00656334">
        <w:rPr>
          <w:rFonts w:ascii="Arial" w:eastAsia="Times New Roman" w:hAnsi="Arial" w:cs="Arial"/>
        </w:rPr>
        <w:t>uest for SAW/</w:t>
      </w:r>
      <w:r w:rsidR="00307828" w:rsidRPr="00656334">
        <w:rPr>
          <w:rFonts w:ascii="Arial" w:eastAsia="Times New Roman" w:hAnsi="Arial" w:cs="Arial"/>
        </w:rPr>
        <w:t xml:space="preserve">RTW assistance directly or is notified by Montana Department of Labor and Industry (DLI) that </w:t>
      </w:r>
      <w:proofErr w:type="gramStart"/>
      <w:r w:rsidR="00307828" w:rsidRPr="00656334">
        <w:rPr>
          <w:rFonts w:ascii="Arial" w:eastAsia="Times New Roman" w:hAnsi="Arial" w:cs="Arial"/>
        </w:rPr>
        <w:t>an</w:t>
      </w:r>
      <w:proofErr w:type="gramEnd"/>
      <w:r w:rsidR="00307828" w:rsidRPr="00656334">
        <w:rPr>
          <w:rFonts w:ascii="Arial" w:eastAsia="Times New Roman" w:hAnsi="Arial" w:cs="Arial"/>
        </w:rPr>
        <w:t xml:space="preserve"> MUS employee has reques</w:t>
      </w:r>
      <w:r w:rsidR="00226D2A" w:rsidRPr="00656334">
        <w:rPr>
          <w:rFonts w:ascii="Arial" w:eastAsia="Times New Roman" w:hAnsi="Arial" w:cs="Arial"/>
        </w:rPr>
        <w:t xml:space="preserve">ted SAW/RTW assistance from DLI, </w:t>
      </w:r>
      <w:r w:rsidR="00307828" w:rsidRPr="00656334">
        <w:rPr>
          <w:rFonts w:ascii="Arial" w:eastAsia="Times New Roman" w:hAnsi="Arial" w:cs="Arial"/>
        </w:rPr>
        <w:t xml:space="preserve">MUS Work Comp will </w:t>
      </w:r>
      <w:r w:rsidR="0044037D" w:rsidRPr="00656334">
        <w:rPr>
          <w:rFonts w:ascii="Arial" w:eastAsia="Times New Roman" w:hAnsi="Arial" w:cs="Arial"/>
        </w:rPr>
        <w:t xml:space="preserve">notify </w:t>
      </w:r>
      <w:r w:rsidR="00307828" w:rsidRPr="00656334">
        <w:rPr>
          <w:rFonts w:ascii="Arial" w:eastAsia="Times New Roman" w:hAnsi="Arial" w:cs="Arial"/>
        </w:rPr>
        <w:t>the campu</w:t>
      </w:r>
      <w:r>
        <w:rPr>
          <w:rFonts w:ascii="Arial" w:eastAsia="Times New Roman" w:hAnsi="Arial" w:cs="Arial"/>
        </w:rPr>
        <w:t>s-</w:t>
      </w:r>
      <w:r w:rsidR="00307828" w:rsidRPr="00656334">
        <w:rPr>
          <w:rFonts w:ascii="Arial" w:eastAsia="Times New Roman" w:hAnsi="Arial" w:cs="Arial"/>
        </w:rPr>
        <w:t xml:space="preserve">designated workers’ compensation coordinator of the request for </w:t>
      </w:r>
      <w:r w:rsidR="00733E95">
        <w:rPr>
          <w:rFonts w:ascii="Arial" w:eastAsia="Times New Roman" w:hAnsi="Arial" w:cs="Arial"/>
        </w:rPr>
        <w:t>assistance</w:t>
      </w:r>
      <w:r w:rsidR="00EF028D">
        <w:rPr>
          <w:rFonts w:ascii="Arial" w:eastAsia="Times New Roman" w:hAnsi="Arial" w:cs="Arial"/>
        </w:rPr>
        <w:t>.</w:t>
      </w:r>
      <w:r w:rsidR="0044037D" w:rsidRPr="0044037D">
        <w:rPr>
          <w:rFonts w:ascii="Arial" w:eastAsia="Times New Roman" w:hAnsi="Arial" w:cs="Arial"/>
        </w:rPr>
        <w:t xml:space="preserve"> </w:t>
      </w:r>
      <w:r w:rsidR="0044037D">
        <w:rPr>
          <w:rFonts w:ascii="Arial" w:eastAsia="Times New Roman" w:hAnsi="Arial" w:cs="Arial"/>
        </w:rPr>
        <w:t>The Campus Coordinator or designee shall initiate campus policies and procedures for providing SAW/RTW assistance to the injured worker.</w:t>
      </w:r>
    </w:p>
    <w:p w:rsidR="00EF028D" w:rsidRDefault="00EF028D" w:rsidP="00733E95">
      <w:pPr>
        <w:spacing w:after="0" w:line="240" w:lineRule="auto"/>
        <w:rPr>
          <w:rFonts w:ascii="Arial" w:eastAsia="Times New Roman" w:hAnsi="Arial" w:cs="Arial"/>
        </w:rPr>
      </w:pPr>
    </w:p>
    <w:p w:rsidR="00733E95" w:rsidRDefault="00733E95" w:rsidP="00733E95">
      <w:pPr>
        <w:spacing w:after="0" w:line="240" w:lineRule="auto"/>
        <w:rPr>
          <w:rFonts w:ascii="Arial" w:eastAsia="Times New Roman" w:hAnsi="Arial" w:cs="Arial"/>
        </w:rPr>
      </w:pPr>
      <w:r w:rsidRPr="00656334">
        <w:rPr>
          <w:rFonts w:ascii="Arial" w:eastAsia="Times New Roman" w:hAnsi="Arial" w:cs="Arial"/>
        </w:rPr>
        <w:t>MUS Work Comp</w:t>
      </w:r>
      <w:r>
        <w:rPr>
          <w:rFonts w:ascii="Arial" w:eastAsia="Times New Roman" w:hAnsi="Arial" w:cs="Arial"/>
        </w:rPr>
        <w:t xml:space="preserve"> </w:t>
      </w:r>
      <w:r w:rsidRPr="00656334">
        <w:rPr>
          <w:rFonts w:ascii="Arial" w:eastAsia="Times New Roman" w:hAnsi="Arial" w:cs="Arial"/>
        </w:rPr>
        <w:t>reserve</w:t>
      </w:r>
      <w:r>
        <w:rPr>
          <w:rFonts w:ascii="Arial" w:eastAsia="Times New Roman" w:hAnsi="Arial" w:cs="Arial"/>
        </w:rPr>
        <w:t xml:space="preserve">s </w:t>
      </w:r>
      <w:r w:rsidR="00EF028D">
        <w:rPr>
          <w:rFonts w:ascii="Arial" w:eastAsia="Times New Roman" w:hAnsi="Arial" w:cs="Arial"/>
        </w:rPr>
        <w:t xml:space="preserve">the right, with the concurrence of the Campus, </w:t>
      </w:r>
      <w:r w:rsidRPr="00656334">
        <w:rPr>
          <w:rFonts w:ascii="Arial" w:eastAsia="Times New Roman" w:hAnsi="Arial" w:cs="Arial"/>
        </w:rPr>
        <w:t xml:space="preserve">to </w:t>
      </w:r>
      <w:r w:rsidR="00F96745">
        <w:rPr>
          <w:rFonts w:ascii="Arial" w:eastAsia="Times New Roman" w:hAnsi="Arial" w:cs="Arial"/>
        </w:rPr>
        <w:t>d</w:t>
      </w:r>
      <w:r w:rsidRPr="00656334">
        <w:rPr>
          <w:rFonts w:ascii="Arial" w:eastAsia="Times New Roman" w:hAnsi="Arial" w:cs="Arial"/>
        </w:rPr>
        <w:t xml:space="preserve">efer </w:t>
      </w:r>
      <w:r w:rsidR="00F96745">
        <w:rPr>
          <w:rFonts w:ascii="Arial" w:eastAsia="Times New Roman" w:hAnsi="Arial" w:cs="Arial"/>
        </w:rPr>
        <w:t xml:space="preserve">to DLI for the provision of assistive services </w:t>
      </w:r>
      <w:r w:rsidRPr="00656334">
        <w:rPr>
          <w:rFonts w:ascii="Arial" w:eastAsia="Times New Roman" w:hAnsi="Arial" w:cs="Arial"/>
        </w:rPr>
        <w:t>if liability has not yet been determined</w:t>
      </w:r>
      <w:r w:rsidR="00EF028D">
        <w:rPr>
          <w:rFonts w:ascii="Arial" w:eastAsia="Times New Roman" w:hAnsi="Arial" w:cs="Arial"/>
        </w:rPr>
        <w:t xml:space="preserve">. </w:t>
      </w:r>
    </w:p>
    <w:p w:rsidR="008A6A61" w:rsidRPr="006C59BA" w:rsidRDefault="008A6A61" w:rsidP="006C59BA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720"/>
        <w:rPr>
          <w:rFonts w:ascii="Arial" w:hAnsi="Arial" w:cs="Arial"/>
          <w:b/>
          <w:bCs/>
          <w:sz w:val="26"/>
          <w:szCs w:val="26"/>
        </w:rPr>
      </w:pPr>
      <w:r w:rsidRPr="006C59BA">
        <w:rPr>
          <w:rFonts w:ascii="Arial" w:hAnsi="Arial" w:cs="Arial"/>
          <w:b/>
          <w:bCs/>
          <w:sz w:val="26"/>
          <w:szCs w:val="26"/>
        </w:rPr>
        <w:t>Limits</w:t>
      </w:r>
    </w:p>
    <w:p w:rsidR="008A6A61" w:rsidRPr="008A6A61" w:rsidRDefault="008A6A61" w:rsidP="00C53F09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0"/>
          <w:szCs w:val="20"/>
        </w:rPr>
      </w:pPr>
      <w:r w:rsidRPr="008A6A61">
        <w:rPr>
          <w:rFonts w:ascii="Arial" w:eastAsia="Times New Roman" w:hAnsi="Arial" w:cs="Arial"/>
        </w:rPr>
        <w:t>MUS endeavors to provide a safe and healthy working environment for all employees at all times. In the event of a work-related injury or occupational disease, MUS Work Comp will facilitate return to work opportunities</w:t>
      </w:r>
      <w:r w:rsidR="00175558">
        <w:rPr>
          <w:rFonts w:ascii="Arial" w:eastAsia="Times New Roman" w:hAnsi="Arial" w:cs="Arial"/>
        </w:rPr>
        <w:t xml:space="preserve"> with the employing campus</w:t>
      </w:r>
      <w:r w:rsidRPr="008A6A61">
        <w:rPr>
          <w:rFonts w:ascii="Arial" w:eastAsia="Times New Roman" w:hAnsi="Arial" w:cs="Arial"/>
        </w:rPr>
        <w:t xml:space="preserve"> to the extent practical.  </w:t>
      </w:r>
      <w:r w:rsidR="00175558">
        <w:rPr>
          <w:rFonts w:ascii="Arial" w:eastAsia="Times New Roman" w:hAnsi="Arial" w:cs="Arial"/>
        </w:rPr>
        <w:t>All employment decisions are made by the campus on a case-by-case basis and t</w:t>
      </w:r>
      <w:r w:rsidRPr="008A6A61">
        <w:rPr>
          <w:rFonts w:ascii="Arial" w:eastAsia="Times New Roman" w:hAnsi="Arial" w:cs="Arial"/>
        </w:rPr>
        <w:t xml:space="preserve">here is no guarantee that transitional employment will be available, offered or continued.  </w:t>
      </w:r>
      <w:r>
        <w:rPr>
          <w:rFonts w:ascii="Arial" w:eastAsia="Times New Roman" w:hAnsi="Arial" w:cs="Arial"/>
        </w:rPr>
        <w:t xml:space="preserve"> </w:t>
      </w:r>
    </w:p>
    <w:p w:rsidR="006207D8" w:rsidRPr="006C59BA" w:rsidRDefault="006207D8" w:rsidP="006C59BA">
      <w:pPr>
        <w:pStyle w:val="Default"/>
        <w:numPr>
          <w:ilvl w:val="0"/>
          <w:numId w:val="10"/>
        </w:numPr>
        <w:ind w:left="720"/>
        <w:rPr>
          <w:rFonts w:ascii="Arial" w:hAnsi="Arial" w:cs="Arial"/>
          <w:color w:val="auto"/>
          <w:sz w:val="26"/>
          <w:szCs w:val="26"/>
        </w:rPr>
      </w:pPr>
      <w:r w:rsidRPr="006C59BA">
        <w:rPr>
          <w:rFonts w:ascii="Arial" w:hAnsi="Arial" w:cs="Arial"/>
          <w:b/>
          <w:bCs/>
          <w:color w:val="auto"/>
          <w:sz w:val="26"/>
          <w:szCs w:val="26"/>
        </w:rPr>
        <w:t xml:space="preserve">Reporting </w:t>
      </w:r>
    </w:p>
    <w:p w:rsidR="008A6A61" w:rsidRPr="008A6A61" w:rsidRDefault="008A6A61" w:rsidP="008A6A6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8A6A61">
        <w:rPr>
          <w:rFonts w:ascii="Arial" w:eastAsia="Times New Roman" w:hAnsi="Arial" w:cs="Arial"/>
        </w:rPr>
        <w:t xml:space="preserve">MUS Work Comp Program designates the MUS Work Comp Program Director to be the single point of contact to DLI for coordination of all DLI requests for SAW/RWT Assistance.  </w:t>
      </w:r>
    </w:p>
    <w:p w:rsidR="00F46E1F" w:rsidRDefault="006207D8" w:rsidP="006207D8">
      <w:pPr>
        <w:rPr>
          <w:rFonts w:ascii="Arial" w:hAnsi="Arial" w:cs="Arial"/>
        </w:rPr>
      </w:pPr>
      <w:r w:rsidRPr="008A6A61">
        <w:rPr>
          <w:rFonts w:ascii="Arial" w:hAnsi="Arial" w:cs="Arial"/>
        </w:rPr>
        <w:t>MUS Workers’ Compensation Program will comply with any SAW/RTW reporting required by the Department of Labor and Industry.</w:t>
      </w:r>
    </w:p>
    <w:p w:rsidR="006C59BA" w:rsidRDefault="006C59BA" w:rsidP="006207D8">
      <w:pPr>
        <w:rPr>
          <w:rFonts w:ascii="Arial" w:hAnsi="Arial" w:cs="Arial"/>
        </w:rPr>
      </w:pPr>
    </w:p>
    <w:p w:rsidR="006C59BA" w:rsidRDefault="006C59BA" w:rsidP="006207D8">
      <w:pPr>
        <w:rPr>
          <w:rFonts w:ascii="Arial" w:hAnsi="Arial" w:cs="Arial"/>
        </w:rPr>
      </w:pPr>
    </w:p>
    <w:p w:rsidR="006C59BA" w:rsidRDefault="006C59BA" w:rsidP="006207D8">
      <w:pPr>
        <w:rPr>
          <w:rFonts w:ascii="Arial" w:hAnsi="Arial" w:cs="Arial"/>
        </w:rPr>
      </w:pPr>
    </w:p>
    <w:p w:rsidR="006C59BA" w:rsidRDefault="006C59BA" w:rsidP="006207D8">
      <w:pPr>
        <w:rPr>
          <w:rFonts w:ascii="Arial" w:hAnsi="Arial" w:cs="Arial"/>
        </w:rPr>
      </w:pPr>
    </w:p>
    <w:p w:rsidR="006C59BA" w:rsidRDefault="006C59BA" w:rsidP="006207D8">
      <w:pPr>
        <w:rPr>
          <w:rFonts w:ascii="Arial" w:hAnsi="Arial" w:cs="Arial"/>
        </w:rPr>
      </w:pPr>
    </w:p>
    <w:p w:rsidR="006C59BA" w:rsidRDefault="006C59BA" w:rsidP="006207D8">
      <w:pPr>
        <w:rPr>
          <w:rFonts w:ascii="Arial" w:hAnsi="Arial" w:cs="Arial"/>
        </w:rPr>
      </w:pPr>
    </w:p>
    <w:p w:rsidR="006C59BA" w:rsidRDefault="006C59BA" w:rsidP="006207D8">
      <w:pPr>
        <w:rPr>
          <w:rFonts w:ascii="Arial" w:hAnsi="Arial" w:cs="Arial"/>
        </w:rPr>
      </w:pPr>
    </w:p>
    <w:p w:rsidR="006C59BA" w:rsidRDefault="006C59BA" w:rsidP="006207D8">
      <w:pPr>
        <w:rPr>
          <w:rFonts w:ascii="Arial" w:hAnsi="Arial" w:cs="Arial"/>
        </w:rPr>
      </w:pPr>
    </w:p>
    <w:p w:rsidR="006C59BA" w:rsidRPr="006C59BA" w:rsidRDefault="006C59BA" w:rsidP="006207D8">
      <w:pPr>
        <w:rPr>
          <w:rFonts w:ascii="Arial" w:hAnsi="Arial" w:cs="Arial"/>
          <w:sz w:val="14"/>
          <w:szCs w:val="14"/>
        </w:rPr>
      </w:pPr>
      <w:r w:rsidRPr="006C59BA">
        <w:rPr>
          <w:rFonts w:ascii="Arial" w:hAnsi="Arial" w:cs="Arial"/>
          <w:sz w:val="14"/>
          <w:szCs w:val="14"/>
        </w:rPr>
        <w:t>History:  MUS Workers’ Compensation Policy WC-0003 adopted September 12, 2012.  See also BOR Policy 713.2 Revised September 20, 2012</w:t>
      </w:r>
    </w:p>
    <w:sectPr w:rsidR="006C59BA" w:rsidRPr="006C59BA" w:rsidSect="00F46E1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37D" w:rsidRDefault="0044037D" w:rsidP="008A6A61">
      <w:pPr>
        <w:spacing w:after="0" w:line="240" w:lineRule="auto"/>
      </w:pPr>
      <w:r>
        <w:separator/>
      </w:r>
    </w:p>
  </w:endnote>
  <w:endnote w:type="continuationSeparator" w:id="0">
    <w:p w:rsidR="0044037D" w:rsidRDefault="0044037D" w:rsidP="008A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37D" w:rsidRDefault="006C59BA">
    <w:pPr>
      <w:pStyle w:val="Footer"/>
    </w:pPr>
    <w:r>
      <w:t>September 12, 2012</w:t>
    </w:r>
    <w:r w:rsidR="0044037D">
      <w:tab/>
    </w:r>
    <w:sdt>
      <w:sdtPr>
        <w:id w:val="10565496"/>
        <w:docPartObj>
          <w:docPartGallery w:val="Page Numbers (Bottom of Page)"/>
          <w:docPartUnique/>
        </w:docPartObj>
      </w:sdtPr>
      <w:sdtEndPr/>
      <w:sdtContent>
        <w:r w:rsidR="00C116AB">
          <w:fldChar w:fldCharType="begin"/>
        </w:r>
        <w:r w:rsidR="00C116AB">
          <w:instrText xml:space="preserve"> PAGE   \* MERGEFORMAT </w:instrText>
        </w:r>
        <w:r w:rsidR="00C116AB">
          <w:fldChar w:fldCharType="separate"/>
        </w:r>
        <w:r w:rsidR="009225C6">
          <w:rPr>
            <w:noProof/>
          </w:rPr>
          <w:t>1</w:t>
        </w:r>
        <w:r w:rsidR="00C116AB">
          <w:rPr>
            <w:noProof/>
          </w:rPr>
          <w:fldChar w:fldCharType="end"/>
        </w:r>
      </w:sdtContent>
    </w:sdt>
    <w:r w:rsidR="0044037D">
      <w:tab/>
    </w:r>
    <w:r>
      <w:t xml:space="preserve"> </w:t>
    </w:r>
  </w:p>
  <w:p w:rsidR="00C20789" w:rsidRDefault="008F425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37D" w:rsidRDefault="0044037D" w:rsidP="008A6A61">
      <w:pPr>
        <w:spacing w:after="0" w:line="240" w:lineRule="auto"/>
      </w:pPr>
      <w:r>
        <w:separator/>
      </w:r>
    </w:p>
  </w:footnote>
  <w:footnote w:type="continuationSeparator" w:id="0">
    <w:p w:rsidR="0044037D" w:rsidRDefault="0044037D" w:rsidP="008A6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9BA" w:rsidRDefault="006C59BA">
    <w:pPr>
      <w:pStyle w:val="Header"/>
    </w:pPr>
  </w:p>
  <w:p w:rsidR="0044037D" w:rsidRDefault="004403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922DC"/>
    <w:multiLevelType w:val="hybridMultilevel"/>
    <w:tmpl w:val="457AD5A8"/>
    <w:lvl w:ilvl="0" w:tplc="073857C0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C0767E9"/>
    <w:multiLevelType w:val="hybridMultilevel"/>
    <w:tmpl w:val="408248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D65A7"/>
    <w:multiLevelType w:val="hybridMultilevel"/>
    <w:tmpl w:val="C644C250"/>
    <w:lvl w:ilvl="0" w:tplc="C11CEF1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4F11"/>
    <w:multiLevelType w:val="hybridMultilevel"/>
    <w:tmpl w:val="79ECD61E"/>
    <w:lvl w:ilvl="0" w:tplc="E506D3B0">
      <w:start w:val="1"/>
      <w:numFmt w:val="upperLetter"/>
      <w:lvlText w:val="%1."/>
      <w:lvlJc w:val="left"/>
      <w:pPr>
        <w:ind w:left="768" w:hanging="408"/>
      </w:pPr>
      <w:rPr>
        <w:rFonts w:ascii="Tahoma" w:eastAsiaTheme="minorHAnsi" w:hAnsi="Tahoma" w:cs="Tahom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57910"/>
    <w:multiLevelType w:val="hybridMultilevel"/>
    <w:tmpl w:val="457E7604"/>
    <w:lvl w:ilvl="0" w:tplc="01A08F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F0672"/>
    <w:multiLevelType w:val="hybridMultilevel"/>
    <w:tmpl w:val="D89A09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0912364"/>
    <w:multiLevelType w:val="hybridMultilevel"/>
    <w:tmpl w:val="F920E7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E17E38"/>
    <w:multiLevelType w:val="hybridMultilevel"/>
    <w:tmpl w:val="9EDA7858"/>
    <w:lvl w:ilvl="0" w:tplc="BE7EA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33541D"/>
    <w:multiLevelType w:val="hybridMultilevel"/>
    <w:tmpl w:val="9872E1A0"/>
    <w:lvl w:ilvl="0" w:tplc="7B6A1076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AA1D73"/>
    <w:multiLevelType w:val="hybridMultilevel"/>
    <w:tmpl w:val="37B8ECCA"/>
    <w:lvl w:ilvl="0" w:tplc="E1A4E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7D8"/>
    <w:rsid w:val="00090994"/>
    <w:rsid w:val="00175558"/>
    <w:rsid w:val="00202DA7"/>
    <w:rsid w:val="002038EA"/>
    <w:rsid w:val="00214584"/>
    <w:rsid w:val="00226D2A"/>
    <w:rsid w:val="00247E95"/>
    <w:rsid w:val="00254912"/>
    <w:rsid w:val="00257030"/>
    <w:rsid w:val="00292852"/>
    <w:rsid w:val="002938CA"/>
    <w:rsid w:val="00307828"/>
    <w:rsid w:val="0044037D"/>
    <w:rsid w:val="00446B96"/>
    <w:rsid w:val="00575064"/>
    <w:rsid w:val="005C5627"/>
    <w:rsid w:val="006207D8"/>
    <w:rsid w:val="00656334"/>
    <w:rsid w:val="00667FDC"/>
    <w:rsid w:val="00685674"/>
    <w:rsid w:val="006856A1"/>
    <w:rsid w:val="006A0A89"/>
    <w:rsid w:val="006A0B74"/>
    <w:rsid w:val="006C5267"/>
    <w:rsid w:val="006C59BA"/>
    <w:rsid w:val="0071637D"/>
    <w:rsid w:val="00733E95"/>
    <w:rsid w:val="007347EE"/>
    <w:rsid w:val="00876BE5"/>
    <w:rsid w:val="008A6A61"/>
    <w:rsid w:val="008A75E7"/>
    <w:rsid w:val="008D3A80"/>
    <w:rsid w:val="008F33A0"/>
    <w:rsid w:val="008F425A"/>
    <w:rsid w:val="009225C6"/>
    <w:rsid w:val="009A2FFF"/>
    <w:rsid w:val="00A44C46"/>
    <w:rsid w:val="00B2253E"/>
    <w:rsid w:val="00BB5A22"/>
    <w:rsid w:val="00C116AB"/>
    <w:rsid w:val="00C20789"/>
    <w:rsid w:val="00C53F09"/>
    <w:rsid w:val="00C77CBD"/>
    <w:rsid w:val="00CE1B87"/>
    <w:rsid w:val="00CF3A87"/>
    <w:rsid w:val="00D7018B"/>
    <w:rsid w:val="00DA6BEA"/>
    <w:rsid w:val="00E13445"/>
    <w:rsid w:val="00E56F9D"/>
    <w:rsid w:val="00E849E1"/>
    <w:rsid w:val="00EE44D1"/>
    <w:rsid w:val="00EF028D"/>
    <w:rsid w:val="00F26C13"/>
    <w:rsid w:val="00F33BFB"/>
    <w:rsid w:val="00F37823"/>
    <w:rsid w:val="00F46E1F"/>
    <w:rsid w:val="00F96745"/>
    <w:rsid w:val="00FB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9FBBF05-388B-4F61-9897-24AFEDBF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207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7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6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A61"/>
  </w:style>
  <w:style w:type="paragraph" w:styleId="Footer">
    <w:name w:val="footer"/>
    <w:basedOn w:val="Normal"/>
    <w:link w:val="FooterChar"/>
    <w:uiPriority w:val="99"/>
    <w:unhideWhenUsed/>
    <w:rsid w:val="008A6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A61"/>
  </w:style>
  <w:style w:type="paragraph" w:styleId="BalloonText">
    <w:name w:val="Balloon Text"/>
    <w:basedOn w:val="Normal"/>
    <w:link w:val="BalloonTextChar"/>
    <w:uiPriority w:val="99"/>
    <w:semiHidden/>
    <w:unhideWhenUsed/>
    <w:rsid w:val="00FB4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D9D276637A40458EE692E8766DAB64" ma:contentTypeVersion="0" ma:contentTypeDescription="Create a new document." ma:contentTypeScope="" ma:versionID="247b7d265e8c3a4a6e5115dbba1358e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D542C85-8036-418B-A8CB-2EFD0750E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7B044CF-41ED-4A1F-A1E9-6CEFED70BB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C8FC3-A6B2-487D-BB43-33EAA838111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 Tietz</dc:creator>
  <cp:lastModifiedBy>Tucker, Bonnie</cp:lastModifiedBy>
  <cp:revision>2</cp:revision>
  <cp:lastPrinted>2012-10-22T15:29:00Z</cp:lastPrinted>
  <dcterms:created xsi:type="dcterms:W3CDTF">2021-07-16T22:15:00Z</dcterms:created>
  <dcterms:modified xsi:type="dcterms:W3CDTF">2021-07-16T22:15:00Z</dcterms:modified>
</cp:coreProperties>
</file>