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42267968"/>
        <w:docPartObj>
          <w:docPartGallery w:val="Cover Pages"/>
          <w:docPartUnique/>
        </w:docPartObj>
      </w:sdtPr>
      <w:sdtEndPr/>
      <w:sdtContent>
        <w:p w14:paraId="20828C2A" w14:textId="6020C559" w:rsidR="00454316" w:rsidRDefault="00EB5BD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B47DF3B" wp14:editId="5D79BCC9">
                    <wp:simplePos x="0" y="0"/>
                    <wp:positionH relativeFrom="page">
                      <wp:posOffset>460858</wp:posOffset>
                    </wp:positionH>
                    <wp:positionV relativeFrom="page">
                      <wp:posOffset>1199693</wp:posOffset>
                    </wp:positionV>
                    <wp:extent cx="6858000" cy="6972300"/>
                    <wp:effectExtent l="0" t="0" r="0" b="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6972300"/>
                              <a:chOff x="0" y="0"/>
                              <a:chExt cx="6858000" cy="796290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769702"/>
                                <a:ext cx="6858000" cy="1931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808080" w:themeColor="background1" w:themeShade="80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EFDD9D6" w14:textId="581E11C4" w:rsidR="00454316" w:rsidRPr="007563EF" w:rsidRDefault="00B23B6D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808080" w:themeColor="background1" w:themeShade="80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7563EF">
                                        <w:rPr>
                                          <w:rFonts w:asciiTheme="majorHAnsi" w:eastAsiaTheme="majorEastAsia" w:hAnsiTheme="majorHAnsi" w:cstheme="majorBidi"/>
                                          <w:color w:val="808080" w:themeColor="background1" w:themeShade="80"/>
                                          <w:sz w:val="72"/>
                                          <w:szCs w:val="72"/>
                                        </w:rPr>
                                        <w:t>Enterprise Risk Management Report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808080" w:themeColor="background1" w:themeShade="80"/>
                                      <w:sz w:val="44"/>
                                      <w:szCs w:val="44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B9AC3CD" w14:textId="6061FD08" w:rsidR="00454316" w:rsidRPr="007563EF" w:rsidRDefault="00A03E30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caps/>
                                          <w:color w:val="808080" w:themeColor="background1" w:themeShade="80"/>
                                          <w:sz w:val="44"/>
                                          <w:szCs w:val="44"/>
                                        </w:rPr>
                                      </w:pPr>
                                      <w:r w:rsidRPr="007563EF">
                                        <w:rPr>
                                          <w:caps/>
                                          <w:color w:val="808080" w:themeColor="background1" w:themeShade="80"/>
                                          <w:sz w:val="44"/>
                                          <w:szCs w:val="44"/>
                                        </w:rPr>
                                        <w:t xml:space="preserve">September </w:t>
                                      </w:r>
                                      <w:r w:rsidR="00B23B6D" w:rsidRPr="007563EF">
                                        <w:rPr>
                                          <w:caps/>
                                          <w:color w:val="808080" w:themeColor="background1" w:themeShade="80"/>
                                          <w:sz w:val="44"/>
                                          <w:szCs w:val="44"/>
                                        </w:rPr>
                                        <w:t>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group w14:anchorId="4B47DF3B" id="Group 119" o:spid="_x0000_s1026" style="position:absolute;margin-left:36.3pt;margin-top:94.45pt;width:540pt;height:549pt;z-index:-251657216;mso-position-horizontal-relative:page;mso-position-vertical-relative:page" coordsize="68580,7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">
                    <v:rect id="Rectangle 120" o:spid="_x0000_s1027" style="position:absolute;top:77697;width:68580;height:1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" fillcolor="#747070 [1614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8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808080" w:themeColor="background1" w:themeShade="80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EFDD9D6" w14:textId="581E11C4" w:rsidR="00454316" w:rsidRPr="007563EF" w:rsidRDefault="00B23B6D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808080" w:themeColor="background1" w:themeShade="80"/>
                                    <w:sz w:val="72"/>
                                    <w:szCs w:val="72"/>
                                  </w:rPr>
                                </w:pPr>
                                <w:r w:rsidRPr="007563EF">
                                  <w:rPr>
                                    <w:rFonts w:asciiTheme="majorHAnsi" w:eastAsiaTheme="majorEastAsia" w:hAnsiTheme="majorHAnsi" w:cstheme="majorBidi"/>
                                    <w:color w:val="808080" w:themeColor="background1" w:themeShade="80"/>
                                    <w:sz w:val="72"/>
                                    <w:szCs w:val="72"/>
                                  </w:rPr>
                                  <w:t>Enterprise Risk Management Report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B9AC3CD" w14:textId="6061FD08" w:rsidR="00454316" w:rsidRPr="007563EF" w:rsidRDefault="00A03E30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808080" w:themeColor="background1" w:themeShade="80"/>
                                    <w:sz w:val="44"/>
                                    <w:szCs w:val="44"/>
                                  </w:rPr>
                                </w:pPr>
                                <w:r w:rsidRPr="007563EF">
                                  <w:rPr>
                                    <w:caps/>
                                    <w:color w:val="808080" w:themeColor="background1" w:themeShade="80"/>
                                    <w:sz w:val="44"/>
                                    <w:szCs w:val="44"/>
                                  </w:rPr>
                                  <w:t xml:space="preserve">September </w:t>
                                </w:r>
                                <w:r w:rsidR="00B23B6D" w:rsidRPr="007563EF">
                                  <w:rPr>
                                    <w:caps/>
                                    <w:color w:val="808080" w:themeColor="background1" w:themeShade="80"/>
                                    <w:sz w:val="44"/>
                                    <w:szCs w:val="44"/>
                                  </w:rPr>
                                  <w:t>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="00370384" w:rsidRPr="00695C62">
            <w:rPr>
              <w:noProof/>
              <w:sz w:val="28"/>
              <w:szCs w:val="28"/>
            </w:rPr>
            <w:drawing>
              <wp:anchor distT="0" distB="0" distL="114300" distR="114300" simplePos="0" relativeHeight="251661312" behindDoc="0" locked="0" layoutInCell="1" allowOverlap="1" wp14:anchorId="0264DA69" wp14:editId="0F6BC448">
                <wp:simplePos x="0" y="0"/>
                <wp:positionH relativeFrom="column">
                  <wp:posOffset>4362450</wp:posOffset>
                </wp:positionH>
                <wp:positionV relativeFrom="paragraph">
                  <wp:posOffset>-323696</wp:posOffset>
                </wp:positionV>
                <wp:extent cx="1732754" cy="561975"/>
                <wp:effectExtent l="0" t="0" r="1270" b="0"/>
                <wp:wrapNone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2754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56901A2" w14:textId="568E906A" w:rsidR="00454316" w:rsidRDefault="008756B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64727C6" wp14:editId="42C37E4B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6972300</wp:posOffset>
                    </wp:positionV>
                    <wp:extent cx="6848475" cy="1047750"/>
                    <wp:effectExtent l="0" t="0" r="28575" b="19050"/>
                    <wp:wrapNone/>
                    <wp:docPr id="1567319005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48475" cy="10477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14:paraId="4CC5AD1A" w14:textId="60D0DE48" w:rsidR="008756BB" w:rsidRPr="00A03E30" w:rsidRDefault="008756BB" w:rsidP="00A03E30">
                                <w:pPr>
                                  <w:spacing w:after="0" w:line="240" w:lineRule="auto"/>
                                  <w:rPr>
                                    <w:rFonts w:eastAsiaTheme="minorEastAsia"/>
                                    <w:bCs/>
                                    <w:color w:val="082A75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 w:rsidRPr="00A03E30">
                                  <w:rPr>
                                    <w:rFonts w:eastAsiaTheme="minorEastAsia"/>
                                    <w:b/>
                                    <w:color w:val="082A75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Prepared by:</w:t>
                                </w:r>
                                <w:r w:rsidRPr="00A03E30">
                                  <w:rPr>
                                    <w:rFonts w:eastAsiaTheme="minorEastAsia"/>
                                    <w:bCs/>
                                    <w:color w:val="082A75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Margaret Wallace</w:t>
                                </w:r>
                                <w:r w:rsidR="00A03E30">
                                  <w:rPr>
                                    <w:rFonts w:eastAsiaTheme="minorEastAsia"/>
                                    <w:bCs/>
                                    <w:color w:val="082A75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,</w:t>
                                </w:r>
                                <w:r w:rsidRPr="00A03E30">
                                  <w:rPr>
                                    <w:rFonts w:eastAsiaTheme="minorEastAsia"/>
                                    <w:bCs/>
                                    <w:color w:val="082A75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Director of Assurance and Enterprise Risk </w:t>
                                </w:r>
                              </w:p>
                              <w:p w14:paraId="64162026" w14:textId="77777777" w:rsidR="00A03E30" w:rsidRDefault="00A03E30" w:rsidP="00A03E30">
                                <w:pPr>
                                  <w:spacing w:after="0" w:line="240" w:lineRule="auto"/>
                                  <w:rPr>
                                    <w:rFonts w:eastAsiaTheme="minorEastAsia"/>
                                    <w:bCs/>
                                    <w:color w:val="082A75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</w:p>
                              <w:p w14:paraId="127C0C6B" w14:textId="7F322BB3" w:rsidR="008756BB" w:rsidRPr="00A03E30" w:rsidRDefault="008756BB" w:rsidP="00A03E30">
                                <w:pPr>
                                  <w:spacing w:after="0" w:line="240" w:lineRule="auto"/>
                                  <w:rPr>
                                    <w:rFonts w:eastAsiaTheme="minorEastAsia"/>
                                    <w:bCs/>
                                    <w:color w:val="082A75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 w:rsidRPr="00A03E30">
                                  <w:rPr>
                                    <w:rFonts w:eastAsiaTheme="minorEastAsia"/>
                                    <w:b/>
                                    <w:color w:val="082A75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Campus Risk Officers</w:t>
                                </w:r>
                                <w:r w:rsidRPr="00A03E30">
                                  <w:rPr>
                                    <w:rFonts w:eastAsiaTheme="minorEastAsia"/>
                                    <w:bCs/>
                                    <w:color w:val="082A75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: Camie Bechtold (MSU), Anta Coulibaly (UM &amp;Tech), Carmen Roberts (GFC), Monique Schofield (</w:t>
                                </w:r>
                                <w:r w:rsidR="002B4CDB" w:rsidRPr="00A03E30">
                                  <w:rPr>
                                    <w:rFonts w:eastAsiaTheme="minorEastAsia"/>
                                    <w:bCs/>
                                    <w:color w:val="082A75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UM</w:t>
                                </w:r>
                                <w:r w:rsidRPr="00A03E30">
                                  <w:rPr>
                                    <w:rFonts w:eastAsiaTheme="minorEastAsia"/>
                                    <w:bCs/>
                                    <w:color w:val="082A75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W)</w:t>
                                </w:r>
                                <w:r w:rsidR="002B4CDB" w:rsidRPr="00A03E30">
                                  <w:rPr>
                                    <w:rFonts w:eastAsiaTheme="minorEastAsia"/>
                                    <w:bCs/>
                                    <w:color w:val="082A75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, Eva Stokes (MSUN), Kelley Turner (HC), Leslie Weldon (MSUB)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 w14:anchorId="364727C6" id="Text Box 1" o:spid="_x0000_s1029" type="#_x0000_t202" style="position:absolute;margin-left:-36pt;margin-top:549pt;width:539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" fillcolor="#f2f2f2 [3052]" strokecolor="#f2f2f2 [3052]" strokeweight=".5pt">
                    <v:textbox>
                      <w:txbxContent>
                        <w:p w14:paraId="4CC5AD1A" w14:textId="60D0DE48" w:rsidR="008756BB" w:rsidRPr="00A03E30" w:rsidRDefault="008756BB" w:rsidP="00A03E30">
                          <w:pPr>
                            <w:spacing w:after="0" w:line="240" w:lineRule="auto"/>
                            <w:rPr>
                              <w:rFonts w:eastAsiaTheme="minorEastAsia"/>
                              <w:bCs/>
                              <w:color w:val="082A75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A03E30">
                            <w:rPr>
                              <w:rFonts w:eastAsiaTheme="minorEastAsia"/>
                              <w:b/>
                              <w:color w:val="082A75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Prepared by:</w:t>
                          </w:r>
                          <w:r w:rsidRPr="00A03E30">
                            <w:rPr>
                              <w:rFonts w:eastAsiaTheme="minorEastAsia"/>
                              <w:bCs/>
                              <w:color w:val="082A75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Margaret Wallace</w:t>
                          </w:r>
                          <w:r w:rsidR="00A03E30">
                            <w:rPr>
                              <w:rFonts w:eastAsiaTheme="minorEastAsia"/>
                              <w:bCs/>
                              <w:color w:val="082A75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,</w:t>
                          </w:r>
                          <w:r w:rsidRPr="00A03E30">
                            <w:rPr>
                              <w:rFonts w:eastAsiaTheme="minorEastAsia"/>
                              <w:bCs/>
                              <w:color w:val="082A75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Director of Assurance and Enterprise Risk </w:t>
                          </w:r>
                        </w:p>
                        <w:p w14:paraId="64162026" w14:textId="77777777" w:rsidR="00A03E30" w:rsidRDefault="00A03E30" w:rsidP="00A03E30">
                          <w:pPr>
                            <w:spacing w:after="0" w:line="240" w:lineRule="auto"/>
                            <w:rPr>
                              <w:rFonts w:eastAsiaTheme="minorEastAsia"/>
                              <w:bCs/>
                              <w:color w:val="082A75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</w:p>
                        <w:p w14:paraId="127C0C6B" w14:textId="7F322BB3" w:rsidR="008756BB" w:rsidRPr="00A03E30" w:rsidRDefault="008756BB" w:rsidP="00A03E30">
                          <w:pPr>
                            <w:spacing w:after="0" w:line="240" w:lineRule="auto"/>
                            <w:rPr>
                              <w:rFonts w:eastAsiaTheme="minorEastAsia"/>
                              <w:bCs/>
                              <w:color w:val="082A75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A03E30">
                            <w:rPr>
                              <w:rFonts w:eastAsiaTheme="minorEastAsia"/>
                              <w:b/>
                              <w:color w:val="082A75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Campus Risk Officers</w:t>
                          </w:r>
                          <w:r w:rsidRPr="00A03E30">
                            <w:rPr>
                              <w:rFonts w:eastAsiaTheme="minorEastAsia"/>
                              <w:bCs/>
                              <w:color w:val="082A75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: Camie Bechtold (MSU), Anta Coulibaly (UM &amp;Tech), Carmen Roberts (GFC), Monique Schofield (</w:t>
                          </w:r>
                          <w:r w:rsidR="002B4CDB" w:rsidRPr="00A03E30">
                            <w:rPr>
                              <w:rFonts w:eastAsiaTheme="minorEastAsia"/>
                              <w:bCs/>
                              <w:color w:val="082A75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UM</w:t>
                          </w:r>
                          <w:r w:rsidRPr="00A03E30">
                            <w:rPr>
                              <w:rFonts w:eastAsiaTheme="minorEastAsia"/>
                              <w:bCs/>
                              <w:color w:val="082A75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W)</w:t>
                          </w:r>
                          <w:r w:rsidR="002B4CDB" w:rsidRPr="00A03E30">
                            <w:rPr>
                              <w:rFonts w:eastAsiaTheme="minorEastAsia"/>
                              <w:bCs/>
                              <w:color w:val="082A75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, Eva Stokes (MSUN), Kelley Turner (HC), Leslie Weldon (MSUB)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54316">
            <w:br w:type="page"/>
          </w:r>
        </w:p>
      </w:sdtContent>
    </w:sdt>
    <w:p w14:paraId="1361358D" w14:textId="26675679" w:rsidR="00CB48A6" w:rsidRPr="004E2459" w:rsidRDefault="004E2459" w:rsidP="002379DC">
      <w:pPr>
        <w:pStyle w:val="TOCHeading"/>
        <w:rPr>
          <w:rStyle w:val="IntenseReference"/>
        </w:rPr>
      </w:pPr>
      <w:bookmarkStart w:id="0" w:name="_Toc138765620"/>
      <w:r w:rsidRPr="004E2459">
        <w:rPr>
          <w:rStyle w:val="IntenseReference"/>
        </w:rPr>
        <w:lastRenderedPageBreak/>
        <w:t>FY23 ERM Funding</w:t>
      </w:r>
      <w:bookmarkEnd w:id="0"/>
      <w:r w:rsidRPr="004E2459">
        <w:rPr>
          <w:rStyle w:val="IntenseReference"/>
        </w:rPr>
        <w:t xml:space="preserve"> </w:t>
      </w:r>
    </w:p>
    <w:p w14:paraId="04A7AB52" w14:textId="77777777" w:rsidR="00CB48A6" w:rsidRDefault="00CB48A6"/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1065"/>
        <w:gridCol w:w="2297"/>
        <w:gridCol w:w="5368"/>
        <w:gridCol w:w="1170"/>
      </w:tblGrid>
      <w:tr w:rsidR="004E2459" w:rsidRPr="0076494A" w14:paraId="1C2B0804" w14:textId="77777777" w:rsidTr="004E2459">
        <w:trPr>
          <w:trHeight w:val="305"/>
        </w:trPr>
        <w:tc>
          <w:tcPr>
            <w:tcW w:w="1065" w:type="dxa"/>
            <w:shd w:val="clear" w:color="auto" w:fill="0000CC"/>
          </w:tcPr>
          <w:p w14:paraId="30216CB9" w14:textId="77777777" w:rsidR="004E2459" w:rsidRPr="0076494A" w:rsidRDefault="004E2459" w:rsidP="002307D7">
            <w:pPr>
              <w:rPr>
                <w:b/>
                <w:bCs/>
              </w:rPr>
            </w:pPr>
            <w:r w:rsidRPr="0076494A">
              <w:rPr>
                <w:b/>
                <w:bCs/>
              </w:rPr>
              <w:t>Campus</w:t>
            </w:r>
          </w:p>
        </w:tc>
        <w:tc>
          <w:tcPr>
            <w:tcW w:w="2297" w:type="dxa"/>
            <w:shd w:val="clear" w:color="auto" w:fill="0000CC"/>
          </w:tcPr>
          <w:p w14:paraId="0D54C3A9" w14:textId="77777777" w:rsidR="004E2459" w:rsidRPr="0076494A" w:rsidRDefault="004E2459" w:rsidP="002307D7">
            <w:pPr>
              <w:rPr>
                <w:b/>
                <w:bCs/>
              </w:rPr>
            </w:pPr>
            <w:r w:rsidRPr="004E2459">
              <w:rPr>
                <w:b/>
                <w:bCs/>
                <w:color w:val="FFFFFF" w:themeColor="background1"/>
              </w:rPr>
              <w:t>Funding Area</w:t>
            </w:r>
          </w:p>
        </w:tc>
        <w:tc>
          <w:tcPr>
            <w:tcW w:w="5368" w:type="dxa"/>
            <w:shd w:val="clear" w:color="auto" w:fill="0000CC"/>
          </w:tcPr>
          <w:p w14:paraId="07E2E4B1" w14:textId="77777777" w:rsidR="004E2459" w:rsidRPr="0076494A" w:rsidRDefault="004E2459" w:rsidP="002307D7">
            <w:pPr>
              <w:rPr>
                <w:b/>
                <w:bCs/>
              </w:rPr>
            </w:pPr>
            <w:r w:rsidRPr="004E2459">
              <w:rPr>
                <w:b/>
                <w:bCs/>
                <w:color w:val="FFFFFF" w:themeColor="background1"/>
              </w:rPr>
              <w:t>Risks/Opportunities Identified</w:t>
            </w:r>
            <w:r w:rsidRPr="0076494A">
              <w:rPr>
                <w:b/>
                <w:bCs/>
              </w:rPr>
              <w:t xml:space="preserve"> </w:t>
            </w:r>
          </w:p>
        </w:tc>
        <w:tc>
          <w:tcPr>
            <w:tcW w:w="1170" w:type="dxa"/>
            <w:shd w:val="clear" w:color="auto" w:fill="0000CC"/>
            <w:noWrap/>
          </w:tcPr>
          <w:p w14:paraId="266C19EB" w14:textId="3BD1DFE1" w:rsidR="004E2459" w:rsidRPr="0076494A" w:rsidRDefault="004E2459" w:rsidP="002307D7">
            <w:pPr>
              <w:rPr>
                <w:b/>
                <w:bCs/>
              </w:rPr>
            </w:pPr>
            <w:r w:rsidRPr="0076494A">
              <w:rPr>
                <w:b/>
                <w:bCs/>
              </w:rPr>
              <w:t xml:space="preserve"> Amount </w:t>
            </w:r>
          </w:p>
        </w:tc>
      </w:tr>
      <w:tr w:rsidR="004E2459" w:rsidRPr="0076494A" w14:paraId="5716A9B3" w14:textId="77777777" w:rsidTr="004E2459">
        <w:trPr>
          <w:trHeight w:val="600"/>
        </w:trPr>
        <w:tc>
          <w:tcPr>
            <w:tcW w:w="1065" w:type="dxa"/>
            <w:shd w:val="clear" w:color="auto" w:fill="D9E2F3" w:themeFill="accent1" w:themeFillTint="33"/>
            <w:hideMark/>
          </w:tcPr>
          <w:p w14:paraId="39DF4B68" w14:textId="77777777" w:rsidR="004E2459" w:rsidRPr="0076494A" w:rsidRDefault="004E2459" w:rsidP="002307D7">
            <w:r w:rsidRPr="0076494A">
              <w:t>MSU Bozeman</w:t>
            </w:r>
          </w:p>
        </w:tc>
        <w:tc>
          <w:tcPr>
            <w:tcW w:w="2297" w:type="dxa"/>
            <w:shd w:val="clear" w:color="auto" w:fill="D9E2F3" w:themeFill="accent1" w:themeFillTint="33"/>
            <w:hideMark/>
          </w:tcPr>
          <w:p w14:paraId="465CB956" w14:textId="77777777" w:rsidR="004E2459" w:rsidRPr="0076494A" w:rsidRDefault="004E2459" w:rsidP="002307D7">
            <w:r w:rsidRPr="0076494A">
              <w:t>UIT Campus Guard risk treatment recommendation</w:t>
            </w:r>
          </w:p>
        </w:tc>
        <w:tc>
          <w:tcPr>
            <w:tcW w:w="5368" w:type="dxa"/>
            <w:shd w:val="clear" w:color="auto" w:fill="D9E2F3" w:themeFill="accent1" w:themeFillTint="33"/>
            <w:hideMark/>
          </w:tcPr>
          <w:p w14:paraId="6E3EE8F0" w14:textId="77777777" w:rsidR="004E2459" w:rsidRPr="0076494A" w:rsidRDefault="004E2459" w:rsidP="002307D7">
            <w:r w:rsidRPr="0076494A">
              <w:t>Expand endpoint support and 3rd party patching system, Ivanti, to three affiliate campuses, MSU Billings, Great Falls College, and MSU Northern.</w:t>
            </w:r>
            <w:r>
              <w:t xml:space="preserve"> </w:t>
            </w:r>
            <w:r w:rsidRPr="0076494A">
              <w:rPr>
                <w:b/>
                <w:bCs/>
              </w:rPr>
              <w:t xml:space="preserve">Addresses need across the </w:t>
            </w:r>
            <w:r>
              <w:rPr>
                <w:b/>
                <w:bCs/>
              </w:rPr>
              <w:t xml:space="preserve">MSU </w:t>
            </w:r>
            <w:r w:rsidRPr="0076494A">
              <w:rPr>
                <w:b/>
                <w:bCs/>
              </w:rPr>
              <w:t xml:space="preserve">affiliation. </w:t>
            </w:r>
          </w:p>
        </w:tc>
        <w:tc>
          <w:tcPr>
            <w:tcW w:w="1170" w:type="dxa"/>
            <w:shd w:val="clear" w:color="auto" w:fill="D9E2F3" w:themeFill="accent1" w:themeFillTint="33"/>
            <w:noWrap/>
            <w:hideMark/>
          </w:tcPr>
          <w:p w14:paraId="7E7B3113" w14:textId="77777777" w:rsidR="004E2459" w:rsidRPr="0076494A" w:rsidRDefault="004E2459" w:rsidP="002307D7">
            <w:r w:rsidRPr="0076494A">
              <w:t xml:space="preserve"> $ 50,000 </w:t>
            </w:r>
          </w:p>
        </w:tc>
      </w:tr>
      <w:tr w:rsidR="004E2459" w:rsidRPr="0076494A" w14:paraId="7A76F2E0" w14:textId="77777777" w:rsidTr="004E2459">
        <w:trPr>
          <w:trHeight w:val="900"/>
        </w:trPr>
        <w:tc>
          <w:tcPr>
            <w:tcW w:w="1065" w:type="dxa"/>
            <w:hideMark/>
          </w:tcPr>
          <w:p w14:paraId="1B79255A" w14:textId="77777777" w:rsidR="004E2459" w:rsidRPr="0076494A" w:rsidRDefault="004E2459" w:rsidP="002307D7">
            <w:r w:rsidRPr="0076494A">
              <w:t>MSU Bozeman</w:t>
            </w:r>
          </w:p>
        </w:tc>
        <w:tc>
          <w:tcPr>
            <w:tcW w:w="2297" w:type="dxa"/>
            <w:hideMark/>
          </w:tcPr>
          <w:p w14:paraId="119AA1B3" w14:textId="77777777" w:rsidR="004E2459" w:rsidRPr="0076494A" w:rsidRDefault="004E2459" w:rsidP="002307D7">
            <w:r w:rsidRPr="0076494A">
              <w:t>BIT Training (MUS)</w:t>
            </w:r>
          </w:p>
        </w:tc>
        <w:tc>
          <w:tcPr>
            <w:tcW w:w="5368" w:type="dxa"/>
            <w:hideMark/>
          </w:tcPr>
          <w:p w14:paraId="743A05C0" w14:textId="77777777" w:rsidR="004E2459" w:rsidRPr="0076494A" w:rsidRDefault="004E2459" w:rsidP="002307D7">
            <w:r w:rsidRPr="0076494A">
              <w:t>As a result of increasing student and employee mental health crisis and unsafe behaviors leading to harm, suicide or homicide, many MUS campuses have created Behavioral Intervention Teams (BITs)</w:t>
            </w:r>
            <w:r>
              <w:t xml:space="preserve">. </w:t>
            </w:r>
            <w:r w:rsidRPr="0076494A">
              <w:rPr>
                <w:b/>
                <w:bCs/>
              </w:rPr>
              <w:t>Addresses s</w:t>
            </w:r>
            <w:r>
              <w:rPr>
                <w:b/>
                <w:bCs/>
              </w:rPr>
              <w:t>yste</w:t>
            </w:r>
            <w:r w:rsidRPr="0076494A">
              <w:rPr>
                <w:b/>
                <w:bCs/>
              </w:rPr>
              <w:t>mwide need.</w:t>
            </w:r>
          </w:p>
        </w:tc>
        <w:tc>
          <w:tcPr>
            <w:tcW w:w="1170" w:type="dxa"/>
            <w:noWrap/>
            <w:hideMark/>
          </w:tcPr>
          <w:p w14:paraId="70FB79A7" w14:textId="77777777" w:rsidR="004E2459" w:rsidRPr="0076494A" w:rsidRDefault="004E2459" w:rsidP="002307D7">
            <w:r w:rsidRPr="0076494A">
              <w:t xml:space="preserve"> $ 10,000 </w:t>
            </w:r>
          </w:p>
        </w:tc>
      </w:tr>
      <w:tr w:rsidR="004E2459" w:rsidRPr="0076494A" w14:paraId="090AB142" w14:textId="77777777" w:rsidTr="004E2459">
        <w:trPr>
          <w:trHeight w:val="885"/>
        </w:trPr>
        <w:tc>
          <w:tcPr>
            <w:tcW w:w="1065" w:type="dxa"/>
            <w:shd w:val="clear" w:color="auto" w:fill="D9E2F3" w:themeFill="accent1" w:themeFillTint="33"/>
            <w:hideMark/>
          </w:tcPr>
          <w:p w14:paraId="40507B47" w14:textId="77777777" w:rsidR="004E2459" w:rsidRPr="0076494A" w:rsidRDefault="004E2459" w:rsidP="002307D7">
            <w:r w:rsidRPr="0076494A">
              <w:t>MSU Bozeman</w:t>
            </w:r>
          </w:p>
        </w:tc>
        <w:tc>
          <w:tcPr>
            <w:tcW w:w="2297" w:type="dxa"/>
            <w:shd w:val="clear" w:color="auto" w:fill="D9E2F3" w:themeFill="accent1" w:themeFillTint="33"/>
            <w:hideMark/>
          </w:tcPr>
          <w:p w14:paraId="6A962F07" w14:textId="77777777" w:rsidR="004E2459" w:rsidRPr="0076494A" w:rsidRDefault="004E2459" w:rsidP="002307D7">
            <w:r w:rsidRPr="0076494A">
              <w:t xml:space="preserve">Research Compliance </w:t>
            </w:r>
          </w:p>
        </w:tc>
        <w:tc>
          <w:tcPr>
            <w:tcW w:w="5368" w:type="dxa"/>
            <w:shd w:val="clear" w:color="auto" w:fill="D9E2F3" w:themeFill="accent1" w:themeFillTint="33"/>
            <w:hideMark/>
          </w:tcPr>
          <w:p w14:paraId="1E971063" w14:textId="3646BF6B" w:rsidR="004E2459" w:rsidRPr="0076494A" w:rsidRDefault="004E2459" w:rsidP="002307D7">
            <w:r w:rsidRPr="0076494A">
              <w:t xml:space="preserve">MSU </w:t>
            </w:r>
            <w:r>
              <w:t xml:space="preserve">organized </w:t>
            </w:r>
            <w:r w:rsidRPr="0076494A">
              <w:t xml:space="preserve">a statewide research integrity and compliance conference. This is the first of its kind and fills a needed compliance training gap. </w:t>
            </w:r>
            <w:r w:rsidR="004E0594" w:rsidRPr="004E0594">
              <w:rPr>
                <w:b/>
                <w:bCs/>
              </w:rPr>
              <w:t>Addresses systemwide need.</w:t>
            </w:r>
          </w:p>
        </w:tc>
        <w:tc>
          <w:tcPr>
            <w:tcW w:w="1170" w:type="dxa"/>
            <w:shd w:val="clear" w:color="auto" w:fill="D9E2F3" w:themeFill="accent1" w:themeFillTint="33"/>
            <w:noWrap/>
            <w:hideMark/>
          </w:tcPr>
          <w:p w14:paraId="245C6E93" w14:textId="77777777" w:rsidR="004E2459" w:rsidRPr="0076494A" w:rsidRDefault="004E2459" w:rsidP="002307D7">
            <w:r w:rsidRPr="0076494A">
              <w:t xml:space="preserve"> $ 3,000 </w:t>
            </w:r>
          </w:p>
        </w:tc>
      </w:tr>
      <w:tr w:rsidR="004E2459" w:rsidRPr="0076494A" w14:paraId="36A1139F" w14:textId="77777777" w:rsidTr="004E2459">
        <w:trPr>
          <w:trHeight w:val="900"/>
        </w:trPr>
        <w:tc>
          <w:tcPr>
            <w:tcW w:w="1065" w:type="dxa"/>
            <w:hideMark/>
          </w:tcPr>
          <w:p w14:paraId="7A3ED8C3" w14:textId="77777777" w:rsidR="004E2459" w:rsidRPr="0076494A" w:rsidRDefault="004E2459" w:rsidP="002307D7">
            <w:r w:rsidRPr="0076494A">
              <w:t>Northern</w:t>
            </w:r>
          </w:p>
        </w:tc>
        <w:tc>
          <w:tcPr>
            <w:tcW w:w="2297" w:type="dxa"/>
            <w:hideMark/>
          </w:tcPr>
          <w:p w14:paraId="580E9BFC" w14:textId="77777777" w:rsidR="004E2459" w:rsidRPr="0076494A" w:rsidRDefault="004E2459" w:rsidP="002307D7">
            <w:r w:rsidRPr="0076494A">
              <w:t>Fire Alarm Plans</w:t>
            </w:r>
          </w:p>
        </w:tc>
        <w:tc>
          <w:tcPr>
            <w:tcW w:w="5368" w:type="dxa"/>
            <w:hideMark/>
          </w:tcPr>
          <w:p w14:paraId="43830929" w14:textId="77777777" w:rsidR="004E2459" w:rsidRPr="0076494A" w:rsidRDefault="004E2459" w:rsidP="002307D7">
            <w:r>
              <w:t xml:space="preserve">The </w:t>
            </w:r>
            <w:r w:rsidRPr="0076494A">
              <w:t xml:space="preserve">1955 fire alarm </w:t>
            </w:r>
            <w:r>
              <w:t xml:space="preserve">system is </w:t>
            </w:r>
            <w:r w:rsidRPr="0076494A">
              <w:t>no longer functional</w:t>
            </w:r>
            <w:r>
              <w:t xml:space="preserve"> and should be </w:t>
            </w:r>
            <w:r w:rsidRPr="0076494A">
              <w:t>brought up to code</w:t>
            </w:r>
            <w:r>
              <w:t>.</w:t>
            </w:r>
          </w:p>
        </w:tc>
        <w:tc>
          <w:tcPr>
            <w:tcW w:w="1170" w:type="dxa"/>
            <w:noWrap/>
            <w:hideMark/>
          </w:tcPr>
          <w:p w14:paraId="150331FA" w14:textId="77777777" w:rsidR="004E2459" w:rsidRPr="0076494A" w:rsidRDefault="004E2459" w:rsidP="002307D7">
            <w:r w:rsidRPr="0076494A">
              <w:t xml:space="preserve"> $ 15,000 </w:t>
            </w:r>
          </w:p>
        </w:tc>
      </w:tr>
      <w:tr w:rsidR="004E2459" w:rsidRPr="0076494A" w14:paraId="6EA38112" w14:textId="77777777" w:rsidTr="004E2459">
        <w:trPr>
          <w:trHeight w:val="900"/>
        </w:trPr>
        <w:tc>
          <w:tcPr>
            <w:tcW w:w="1065" w:type="dxa"/>
            <w:shd w:val="clear" w:color="auto" w:fill="D9E2F3" w:themeFill="accent1" w:themeFillTint="33"/>
            <w:hideMark/>
          </w:tcPr>
          <w:p w14:paraId="5C7A7F65" w14:textId="2D83BB93" w:rsidR="004E2459" w:rsidRPr="0076494A" w:rsidRDefault="004E2459" w:rsidP="002307D7">
            <w:r w:rsidRPr="0076494A">
              <w:t xml:space="preserve">MSU </w:t>
            </w:r>
            <w:r w:rsidR="002A082B">
              <w:t>–</w:t>
            </w:r>
            <w:r w:rsidRPr="0076494A">
              <w:t xml:space="preserve"> B</w:t>
            </w:r>
          </w:p>
        </w:tc>
        <w:tc>
          <w:tcPr>
            <w:tcW w:w="2297" w:type="dxa"/>
            <w:shd w:val="clear" w:color="auto" w:fill="D9E2F3" w:themeFill="accent1" w:themeFillTint="33"/>
            <w:hideMark/>
          </w:tcPr>
          <w:p w14:paraId="62762E37" w14:textId="77777777" w:rsidR="004E2459" w:rsidRPr="0076494A" w:rsidRDefault="004E2459" w:rsidP="002307D7">
            <w:r w:rsidRPr="0076494A">
              <w:t>Surveillance cameras</w:t>
            </w:r>
          </w:p>
        </w:tc>
        <w:tc>
          <w:tcPr>
            <w:tcW w:w="5368" w:type="dxa"/>
            <w:shd w:val="clear" w:color="auto" w:fill="D9E2F3" w:themeFill="accent1" w:themeFillTint="33"/>
            <w:hideMark/>
          </w:tcPr>
          <w:p w14:paraId="6AD7DCBA" w14:textId="77777777" w:rsidR="004E2459" w:rsidRPr="0076494A" w:rsidRDefault="004E2459" w:rsidP="002307D7">
            <w:r w:rsidRPr="0076494A">
              <w:t>MSU Billings's City College campus currently does not have any internal or external cameras to provide the necessary security and surveillance measures required by a modern university.</w:t>
            </w:r>
          </w:p>
        </w:tc>
        <w:tc>
          <w:tcPr>
            <w:tcW w:w="1170" w:type="dxa"/>
            <w:shd w:val="clear" w:color="auto" w:fill="D9E2F3" w:themeFill="accent1" w:themeFillTint="33"/>
            <w:noWrap/>
            <w:hideMark/>
          </w:tcPr>
          <w:p w14:paraId="763BC939" w14:textId="77777777" w:rsidR="004E2459" w:rsidRPr="0076494A" w:rsidRDefault="004E2459" w:rsidP="002307D7">
            <w:r w:rsidRPr="0076494A">
              <w:t xml:space="preserve"> $ 30,000 </w:t>
            </w:r>
          </w:p>
        </w:tc>
      </w:tr>
      <w:tr w:rsidR="004E2459" w:rsidRPr="0076494A" w14:paraId="6CAAB3CE" w14:textId="77777777" w:rsidTr="004E2459">
        <w:trPr>
          <w:trHeight w:val="900"/>
        </w:trPr>
        <w:tc>
          <w:tcPr>
            <w:tcW w:w="1065" w:type="dxa"/>
            <w:hideMark/>
          </w:tcPr>
          <w:p w14:paraId="119B8900" w14:textId="77777777" w:rsidR="004E2459" w:rsidRPr="0076494A" w:rsidRDefault="004E2459" w:rsidP="002307D7">
            <w:r w:rsidRPr="0076494A">
              <w:t>Tech</w:t>
            </w:r>
          </w:p>
        </w:tc>
        <w:tc>
          <w:tcPr>
            <w:tcW w:w="2297" w:type="dxa"/>
            <w:hideMark/>
          </w:tcPr>
          <w:p w14:paraId="16E3896A" w14:textId="77777777" w:rsidR="004E2459" w:rsidRPr="0076494A" w:rsidRDefault="004E2459" w:rsidP="002307D7">
            <w:r w:rsidRPr="0076494A">
              <w:t>Emergency Preparedness</w:t>
            </w:r>
          </w:p>
        </w:tc>
        <w:tc>
          <w:tcPr>
            <w:tcW w:w="5368" w:type="dxa"/>
            <w:hideMark/>
          </w:tcPr>
          <w:p w14:paraId="321B54C4" w14:textId="05B9E494" w:rsidR="004E2459" w:rsidRPr="0076494A" w:rsidRDefault="004E2459" w:rsidP="002307D7">
            <w:r w:rsidRPr="0076494A">
              <w:t xml:space="preserve">Campus safety and emergency preparedness/crisis response were identified as top risks by three campuses across the </w:t>
            </w:r>
            <w:r w:rsidRPr="00C004D8">
              <w:t>UM affiliation</w:t>
            </w:r>
            <w:r w:rsidR="00C004D8">
              <w:t xml:space="preserve">. </w:t>
            </w:r>
            <w:r w:rsidRPr="0076494A">
              <w:rPr>
                <w:b/>
                <w:bCs/>
              </w:rPr>
              <w:t xml:space="preserve">Addresses need across the </w:t>
            </w:r>
            <w:r>
              <w:rPr>
                <w:b/>
                <w:bCs/>
              </w:rPr>
              <w:t xml:space="preserve">UM </w:t>
            </w:r>
            <w:r w:rsidRPr="0076494A">
              <w:rPr>
                <w:b/>
                <w:bCs/>
              </w:rPr>
              <w:t>affiliation.</w:t>
            </w:r>
          </w:p>
        </w:tc>
        <w:tc>
          <w:tcPr>
            <w:tcW w:w="1170" w:type="dxa"/>
            <w:noWrap/>
            <w:hideMark/>
          </w:tcPr>
          <w:p w14:paraId="5D8FB1F4" w14:textId="77777777" w:rsidR="004E2459" w:rsidRPr="0076494A" w:rsidRDefault="004E2459" w:rsidP="002307D7">
            <w:r w:rsidRPr="0076494A">
              <w:t xml:space="preserve"> $ 25,000 </w:t>
            </w:r>
          </w:p>
        </w:tc>
      </w:tr>
      <w:tr w:rsidR="004E2459" w:rsidRPr="0076494A" w14:paraId="5CC0118D" w14:textId="77777777" w:rsidTr="004E2459">
        <w:trPr>
          <w:trHeight w:val="701"/>
        </w:trPr>
        <w:tc>
          <w:tcPr>
            <w:tcW w:w="1065" w:type="dxa"/>
            <w:shd w:val="clear" w:color="auto" w:fill="D9E2F3" w:themeFill="accent1" w:themeFillTint="33"/>
            <w:hideMark/>
          </w:tcPr>
          <w:p w14:paraId="6BC0E1B1" w14:textId="77777777" w:rsidR="004E2459" w:rsidRPr="0076494A" w:rsidRDefault="004E2459" w:rsidP="002307D7">
            <w:r w:rsidRPr="0076494A">
              <w:t>Tech</w:t>
            </w:r>
          </w:p>
        </w:tc>
        <w:tc>
          <w:tcPr>
            <w:tcW w:w="2297" w:type="dxa"/>
            <w:shd w:val="clear" w:color="auto" w:fill="D9E2F3" w:themeFill="accent1" w:themeFillTint="33"/>
            <w:hideMark/>
          </w:tcPr>
          <w:p w14:paraId="619F26E1" w14:textId="77777777" w:rsidR="004E2459" w:rsidRPr="0076494A" w:rsidRDefault="004E2459" w:rsidP="002307D7">
            <w:r w:rsidRPr="0076494A">
              <w:t>Multi-factor authentication</w:t>
            </w:r>
          </w:p>
        </w:tc>
        <w:tc>
          <w:tcPr>
            <w:tcW w:w="5368" w:type="dxa"/>
            <w:shd w:val="clear" w:color="auto" w:fill="D9E2F3" w:themeFill="accent1" w:themeFillTint="33"/>
            <w:hideMark/>
          </w:tcPr>
          <w:p w14:paraId="31A36F04" w14:textId="77777777" w:rsidR="004E2459" w:rsidRPr="0076494A" w:rsidRDefault="004E2459" w:rsidP="002307D7">
            <w:r w:rsidRPr="0076494A">
              <w:t>Reduce risks of ransomware/viruses/phishing attacks</w:t>
            </w:r>
          </w:p>
        </w:tc>
        <w:tc>
          <w:tcPr>
            <w:tcW w:w="1170" w:type="dxa"/>
            <w:shd w:val="clear" w:color="auto" w:fill="D9E2F3" w:themeFill="accent1" w:themeFillTint="33"/>
            <w:noWrap/>
            <w:hideMark/>
          </w:tcPr>
          <w:p w14:paraId="65E6A7CB" w14:textId="77777777" w:rsidR="004E2459" w:rsidRPr="0076494A" w:rsidRDefault="004E2459" w:rsidP="002307D7">
            <w:r w:rsidRPr="0076494A">
              <w:t xml:space="preserve"> $ 10,000 </w:t>
            </w:r>
          </w:p>
        </w:tc>
      </w:tr>
      <w:tr w:rsidR="004E2459" w:rsidRPr="0076494A" w14:paraId="3B72D6B5" w14:textId="77777777" w:rsidTr="004E2459">
        <w:trPr>
          <w:trHeight w:val="900"/>
        </w:trPr>
        <w:tc>
          <w:tcPr>
            <w:tcW w:w="1065" w:type="dxa"/>
            <w:hideMark/>
          </w:tcPr>
          <w:p w14:paraId="4F6E4343" w14:textId="77777777" w:rsidR="004E2459" w:rsidRPr="0076494A" w:rsidRDefault="004E2459" w:rsidP="002307D7">
            <w:r w:rsidRPr="0076494A">
              <w:t>Western</w:t>
            </w:r>
          </w:p>
        </w:tc>
        <w:tc>
          <w:tcPr>
            <w:tcW w:w="2297" w:type="dxa"/>
            <w:hideMark/>
          </w:tcPr>
          <w:p w14:paraId="5417308A" w14:textId="77777777" w:rsidR="004E2459" w:rsidRPr="0076494A" w:rsidRDefault="004E2459" w:rsidP="002307D7">
            <w:r w:rsidRPr="0076494A">
              <w:t>Surveillance cameras</w:t>
            </w:r>
          </w:p>
        </w:tc>
        <w:tc>
          <w:tcPr>
            <w:tcW w:w="5368" w:type="dxa"/>
            <w:hideMark/>
          </w:tcPr>
          <w:p w14:paraId="18ADF7C0" w14:textId="77777777" w:rsidR="004E2459" w:rsidRPr="0076494A" w:rsidRDefault="004E2459" w:rsidP="002307D7">
            <w:r>
              <w:t>I</w:t>
            </w:r>
            <w:r w:rsidRPr="0076494A">
              <w:t xml:space="preserve">n our ongoing efforts to improve overall campus safety and security, </w:t>
            </w:r>
            <w:r>
              <w:t>Western</w:t>
            </w:r>
            <w:r w:rsidRPr="0076494A">
              <w:t xml:space="preserve"> identified the need to strategically install surveillance cameras across campus.  </w:t>
            </w:r>
          </w:p>
        </w:tc>
        <w:tc>
          <w:tcPr>
            <w:tcW w:w="1170" w:type="dxa"/>
            <w:noWrap/>
            <w:hideMark/>
          </w:tcPr>
          <w:p w14:paraId="65063D84" w14:textId="77777777" w:rsidR="004E2459" w:rsidRPr="0076494A" w:rsidRDefault="004E2459" w:rsidP="002307D7">
            <w:r w:rsidRPr="0076494A">
              <w:t xml:space="preserve"> $ 20,000 </w:t>
            </w:r>
          </w:p>
        </w:tc>
      </w:tr>
      <w:tr w:rsidR="004E2459" w:rsidRPr="0076494A" w14:paraId="0C0C5511" w14:textId="77777777" w:rsidTr="004E2459">
        <w:trPr>
          <w:trHeight w:val="600"/>
        </w:trPr>
        <w:tc>
          <w:tcPr>
            <w:tcW w:w="1065" w:type="dxa"/>
            <w:shd w:val="clear" w:color="auto" w:fill="D9E2F3" w:themeFill="accent1" w:themeFillTint="33"/>
            <w:hideMark/>
          </w:tcPr>
          <w:p w14:paraId="3FA3AADB" w14:textId="77777777" w:rsidR="004E2459" w:rsidRPr="0076494A" w:rsidRDefault="004E2459" w:rsidP="002307D7">
            <w:r w:rsidRPr="0076494A">
              <w:t>Helena College</w:t>
            </w:r>
          </w:p>
        </w:tc>
        <w:tc>
          <w:tcPr>
            <w:tcW w:w="2297" w:type="dxa"/>
            <w:shd w:val="clear" w:color="auto" w:fill="D9E2F3" w:themeFill="accent1" w:themeFillTint="33"/>
            <w:hideMark/>
          </w:tcPr>
          <w:p w14:paraId="04DE69E1" w14:textId="77777777" w:rsidR="004E2459" w:rsidRPr="0076494A" w:rsidRDefault="004E2459" w:rsidP="002307D7">
            <w:r w:rsidRPr="0076494A">
              <w:t xml:space="preserve">Surveillance cameras and parking lot lighting </w:t>
            </w:r>
          </w:p>
        </w:tc>
        <w:tc>
          <w:tcPr>
            <w:tcW w:w="5368" w:type="dxa"/>
            <w:shd w:val="clear" w:color="auto" w:fill="D9E2F3" w:themeFill="accent1" w:themeFillTint="33"/>
            <w:hideMark/>
          </w:tcPr>
          <w:p w14:paraId="639099CE" w14:textId="77777777" w:rsidR="004E2459" w:rsidRPr="0076494A" w:rsidRDefault="004E2459" w:rsidP="002307D7">
            <w:r w:rsidRPr="0076494A">
              <w:t xml:space="preserve">Enhanced safety and security through video surveillance and exterior parking lot lighting. </w:t>
            </w:r>
          </w:p>
        </w:tc>
        <w:tc>
          <w:tcPr>
            <w:tcW w:w="1170" w:type="dxa"/>
            <w:shd w:val="clear" w:color="auto" w:fill="D9E2F3" w:themeFill="accent1" w:themeFillTint="33"/>
            <w:noWrap/>
            <w:hideMark/>
          </w:tcPr>
          <w:p w14:paraId="3D694F19" w14:textId="77777777" w:rsidR="004E2459" w:rsidRPr="0076494A" w:rsidRDefault="004E2459" w:rsidP="002307D7">
            <w:r w:rsidRPr="0076494A">
              <w:t xml:space="preserve"> $ 18,000 </w:t>
            </w:r>
          </w:p>
        </w:tc>
      </w:tr>
      <w:tr w:rsidR="004E2459" w:rsidRPr="0076494A" w14:paraId="13A37114" w14:textId="77777777" w:rsidTr="004E2459">
        <w:trPr>
          <w:trHeight w:val="1538"/>
        </w:trPr>
        <w:tc>
          <w:tcPr>
            <w:tcW w:w="1065" w:type="dxa"/>
            <w:hideMark/>
          </w:tcPr>
          <w:p w14:paraId="50281EA1" w14:textId="77777777" w:rsidR="004E2459" w:rsidRPr="0076494A" w:rsidRDefault="004E2459" w:rsidP="002307D7">
            <w:r w:rsidRPr="0076494A">
              <w:t>UM</w:t>
            </w:r>
          </w:p>
        </w:tc>
        <w:tc>
          <w:tcPr>
            <w:tcW w:w="2297" w:type="dxa"/>
            <w:hideMark/>
          </w:tcPr>
          <w:p w14:paraId="2E2BDBD5" w14:textId="77777777" w:rsidR="004E2459" w:rsidRPr="0076494A" w:rsidRDefault="004E2459" w:rsidP="002307D7">
            <w:proofErr w:type="spellStart"/>
            <w:r w:rsidRPr="0076494A">
              <w:t>Readerboards</w:t>
            </w:r>
            <w:proofErr w:type="spellEnd"/>
            <w:r w:rsidRPr="0076494A">
              <w:t xml:space="preserve"> in priority buildings</w:t>
            </w:r>
          </w:p>
        </w:tc>
        <w:tc>
          <w:tcPr>
            <w:tcW w:w="5368" w:type="dxa"/>
            <w:hideMark/>
          </w:tcPr>
          <w:p w14:paraId="639D4FF2" w14:textId="77777777" w:rsidR="004E2459" w:rsidRPr="0076494A" w:rsidRDefault="004E2459" w:rsidP="002307D7">
            <w:r>
              <w:t>Our current messaging system is 30 years old and no longer supported. UM’s</w:t>
            </w:r>
            <w:r w:rsidRPr="0076494A">
              <w:t xml:space="preserve"> ability to instantaneously message the campus in an emergency is vital to </w:t>
            </w:r>
            <w:r>
              <w:t>student and employee</w:t>
            </w:r>
            <w:r w:rsidRPr="0076494A">
              <w:t xml:space="preserve"> safety.</w:t>
            </w:r>
          </w:p>
        </w:tc>
        <w:tc>
          <w:tcPr>
            <w:tcW w:w="1170" w:type="dxa"/>
            <w:noWrap/>
            <w:hideMark/>
          </w:tcPr>
          <w:p w14:paraId="2510E164" w14:textId="77777777" w:rsidR="004E2459" w:rsidRPr="0076494A" w:rsidRDefault="004E2459" w:rsidP="002307D7">
            <w:r w:rsidRPr="0076494A">
              <w:t xml:space="preserve"> $ 36,000 </w:t>
            </w:r>
          </w:p>
        </w:tc>
      </w:tr>
      <w:tr w:rsidR="004E2459" w:rsidRPr="0076494A" w14:paraId="7727272E" w14:textId="77777777" w:rsidTr="004E2459">
        <w:trPr>
          <w:trHeight w:val="323"/>
        </w:trPr>
        <w:tc>
          <w:tcPr>
            <w:tcW w:w="8730" w:type="dxa"/>
            <w:gridSpan w:val="3"/>
            <w:shd w:val="clear" w:color="auto" w:fill="0000CC"/>
            <w:hideMark/>
          </w:tcPr>
          <w:p w14:paraId="0035C524" w14:textId="77777777" w:rsidR="004E2459" w:rsidRPr="0076494A" w:rsidRDefault="004E2459" w:rsidP="002307D7">
            <w:pPr>
              <w:rPr>
                <w:b/>
                <w:bCs/>
              </w:rPr>
            </w:pPr>
            <w:r w:rsidRPr="0076494A">
              <w:t>  </w:t>
            </w:r>
            <w:r>
              <w:t xml:space="preserve">                 </w:t>
            </w:r>
            <w:r w:rsidRPr="0076494A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ERM Funding </w:t>
            </w:r>
            <w:r w:rsidRPr="0076494A">
              <w:rPr>
                <w:b/>
                <w:bCs/>
              </w:rPr>
              <w:t xml:space="preserve"> </w:t>
            </w:r>
          </w:p>
        </w:tc>
        <w:tc>
          <w:tcPr>
            <w:tcW w:w="1170" w:type="dxa"/>
            <w:shd w:val="clear" w:color="auto" w:fill="0000CC"/>
            <w:noWrap/>
            <w:hideMark/>
          </w:tcPr>
          <w:p w14:paraId="29D8A463" w14:textId="77777777" w:rsidR="004E2459" w:rsidRPr="0076494A" w:rsidRDefault="004E2459" w:rsidP="002307D7">
            <w:pPr>
              <w:rPr>
                <w:b/>
                <w:bCs/>
              </w:rPr>
            </w:pPr>
            <w:r w:rsidRPr="0076494A">
              <w:rPr>
                <w:b/>
                <w:bCs/>
              </w:rPr>
              <w:t xml:space="preserve"> $ 217,000 </w:t>
            </w:r>
          </w:p>
        </w:tc>
      </w:tr>
    </w:tbl>
    <w:p w14:paraId="2F0A6976" w14:textId="77777777" w:rsidR="00CB48A6" w:rsidRDefault="00CB48A6"/>
    <w:sectPr w:rsidR="00CB48A6" w:rsidSect="00C55A62">
      <w:footerReference w:type="default" r:id="rId9"/>
      <w:headerReference w:type="first" r:id="rId10"/>
      <w:footerReference w:type="first" r:id="rId11"/>
      <w:pgSz w:w="12240" w:h="15840"/>
      <w:pgMar w:top="1440" w:right="1152" w:bottom="1440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EC5E" w14:textId="77777777" w:rsidR="00BE5BAD" w:rsidRDefault="00BE5BAD" w:rsidP="00567D57">
      <w:pPr>
        <w:spacing w:after="0" w:line="240" w:lineRule="auto"/>
      </w:pPr>
      <w:r>
        <w:separator/>
      </w:r>
    </w:p>
  </w:endnote>
  <w:endnote w:type="continuationSeparator" w:id="0">
    <w:p w14:paraId="62E950B2" w14:textId="77777777" w:rsidR="00BE5BAD" w:rsidRDefault="00BE5BAD" w:rsidP="00567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4864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13235F" w14:textId="01398440" w:rsidR="00CB48A6" w:rsidRDefault="00CB48A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DCF25C1" w14:textId="77777777" w:rsidR="00CB48A6" w:rsidRDefault="00CB4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9764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576F25" w14:textId="77777777" w:rsidR="00CB48A6" w:rsidRDefault="00CB48A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64F7F57" w14:textId="77777777" w:rsidR="00CB48A6" w:rsidRDefault="00CB4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5FF3" w14:textId="77777777" w:rsidR="00BE5BAD" w:rsidRDefault="00BE5BAD" w:rsidP="00567D57">
      <w:pPr>
        <w:spacing w:after="0" w:line="240" w:lineRule="auto"/>
      </w:pPr>
      <w:r>
        <w:separator/>
      </w:r>
    </w:p>
  </w:footnote>
  <w:footnote w:type="continuationSeparator" w:id="0">
    <w:p w14:paraId="61DE732A" w14:textId="77777777" w:rsidR="00BE5BAD" w:rsidRDefault="00BE5BAD" w:rsidP="00567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E30A" w14:textId="77777777" w:rsidR="00CB48A6" w:rsidRDefault="00CB4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5A0"/>
    <w:multiLevelType w:val="hybridMultilevel"/>
    <w:tmpl w:val="47A4DED8"/>
    <w:lvl w:ilvl="0" w:tplc="B90EBF2C">
      <w:start w:val="1"/>
      <w:numFmt w:val="upperLetter"/>
      <w:lvlText w:val="%1."/>
      <w:lvlJc w:val="left"/>
      <w:pPr>
        <w:ind w:left="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A051790"/>
    <w:multiLevelType w:val="hybridMultilevel"/>
    <w:tmpl w:val="480EB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A1381"/>
    <w:multiLevelType w:val="hybridMultilevel"/>
    <w:tmpl w:val="2E62DFFE"/>
    <w:lvl w:ilvl="0" w:tplc="72081BBA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6AFE"/>
    <w:multiLevelType w:val="hybridMultilevel"/>
    <w:tmpl w:val="9B2698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C97011"/>
    <w:multiLevelType w:val="hybridMultilevel"/>
    <w:tmpl w:val="B1D499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B04F3"/>
    <w:multiLevelType w:val="hybridMultilevel"/>
    <w:tmpl w:val="EC202856"/>
    <w:lvl w:ilvl="0" w:tplc="018E2446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73400"/>
    <w:multiLevelType w:val="hybridMultilevel"/>
    <w:tmpl w:val="42A6321A"/>
    <w:lvl w:ilvl="0" w:tplc="45183A62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97CFD"/>
    <w:multiLevelType w:val="hybridMultilevel"/>
    <w:tmpl w:val="A00A1D3E"/>
    <w:lvl w:ilvl="0" w:tplc="567EA9AC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52763"/>
    <w:multiLevelType w:val="hybridMultilevel"/>
    <w:tmpl w:val="DB480378"/>
    <w:lvl w:ilvl="0" w:tplc="9DDEF912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009D8"/>
    <w:multiLevelType w:val="hybridMultilevel"/>
    <w:tmpl w:val="7B0CDF1A"/>
    <w:lvl w:ilvl="0" w:tplc="D73A723A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43685"/>
    <w:multiLevelType w:val="hybridMultilevel"/>
    <w:tmpl w:val="378A0FBC"/>
    <w:lvl w:ilvl="0" w:tplc="F02C69F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C71192"/>
    <w:multiLevelType w:val="hybridMultilevel"/>
    <w:tmpl w:val="696CCD9C"/>
    <w:lvl w:ilvl="0" w:tplc="E79E34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81967"/>
    <w:multiLevelType w:val="hybridMultilevel"/>
    <w:tmpl w:val="423A04C6"/>
    <w:lvl w:ilvl="0" w:tplc="3864B6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F07B95"/>
    <w:multiLevelType w:val="hybridMultilevel"/>
    <w:tmpl w:val="1BD05704"/>
    <w:lvl w:ilvl="0" w:tplc="4E4C4AF6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C577E"/>
    <w:multiLevelType w:val="hybridMultilevel"/>
    <w:tmpl w:val="77660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4C25F6"/>
    <w:multiLevelType w:val="hybridMultilevel"/>
    <w:tmpl w:val="7592FEF2"/>
    <w:lvl w:ilvl="0" w:tplc="A4524850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43461"/>
    <w:multiLevelType w:val="hybridMultilevel"/>
    <w:tmpl w:val="8CC49D16"/>
    <w:lvl w:ilvl="0" w:tplc="A254EA28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30F20"/>
    <w:multiLevelType w:val="hybridMultilevel"/>
    <w:tmpl w:val="E5E29C34"/>
    <w:lvl w:ilvl="0" w:tplc="E5F0BBC4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B6ECE"/>
    <w:multiLevelType w:val="hybridMultilevel"/>
    <w:tmpl w:val="9BEC23A4"/>
    <w:lvl w:ilvl="0" w:tplc="A3E2A3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E677C0"/>
    <w:multiLevelType w:val="hybridMultilevel"/>
    <w:tmpl w:val="C8B6717E"/>
    <w:lvl w:ilvl="0" w:tplc="9C94741C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A00C6"/>
    <w:multiLevelType w:val="hybridMultilevel"/>
    <w:tmpl w:val="94D6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23818"/>
    <w:multiLevelType w:val="hybridMultilevel"/>
    <w:tmpl w:val="5CCA45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0DE782C"/>
    <w:multiLevelType w:val="hybridMultilevel"/>
    <w:tmpl w:val="DAD82D82"/>
    <w:lvl w:ilvl="0" w:tplc="720EEDF8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37FBC"/>
    <w:multiLevelType w:val="hybridMultilevel"/>
    <w:tmpl w:val="D0AC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66878"/>
    <w:multiLevelType w:val="hybridMultilevel"/>
    <w:tmpl w:val="FD820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A73EB"/>
    <w:multiLevelType w:val="hybridMultilevel"/>
    <w:tmpl w:val="7F9E566E"/>
    <w:lvl w:ilvl="0" w:tplc="6380B9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1542D0"/>
    <w:multiLevelType w:val="hybridMultilevel"/>
    <w:tmpl w:val="FF12E5A6"/>
    <w:lvl w:ilvl="0" w:tplc="33D830FE">
      <w:start w:val="1"/>
      <w:numFmt w:val="upperLetter"/>
      <w:lvlText w:val="%1."/>
      <w:lvlJc w:val="left"/>
      <w:pPr>
        <w:ind w:left="1020" w:hanging="660"/>
      </w:pPr>
      <w:rPr>
        <w:rFonts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4"/>
  </w:num>
  <w:num w:numId="4">
    <w:abstractNumId w:val="0"/>
  </w:num>
  <w:num w:numId="5">
    <w:abstractNumId w:val="20"/>
  </w:num>
  <w:num w:numId="6">
    <w:abstractNumId w:val="23"/>
  </w:num>
  <w:num w:numId="7">
    <w:abstractNumId w:val="22"/>
  </w:num>
  <w:num w:numId="8">
    <w:abstractNumId w:val="3"/>
  </w:num>
  <w:num w:numId="9">
    <w:abstractNumId w:val="14"/>
  </w:num>
  <w:num w:numId="10">
    <w:abstractNumId w:val="11"/>
  </w:num>
  <w:num w:numId="11">
    <w:abstractNumId w:val="21"/>
  </w:num>
  <w:num w:numId="12">
    <w:abstractNumId w:val="18"/>
  </w:num>
  <w:num w:numId="13">
    <w:abstractNumId w:val="25"/>
  </w:num>
  <w:num w:numId="14">
    <w:abstractNumId w:val="10"/>
  </w:num>
  <w:num w:numId="15">
    <w:abstractNumId w:val="8"/>
  </w:num>
  <w:num w:numId="16">
    <w:abstractNumId w:val="16"/>
  </w:num>
  <w:num w:numId="17">
    <w:abstractNumId w:val="19"/>
  </w:num>
  <w:num w:numId="18">
    <w:abstractNumId w:val="15"/>
  </w:num>
  <w:num w:numId="19">
    <w:abstractNumId w:val="1"/>
  </w:num>
  <w:num w:numId="20">
    <w:abstractNumId w:val="7"/>
  </w:num>
  <w:num w:numId="21">
    <w:abstractNumId w:val="13"/>
  </w:num>
  <w:num w:numId="22">
    <w:abstractNumId w:val="26"/>
  </w:num>
  <w:num w:numId="23">
    <w:abstractNumId w:val="17"/>
  </w:num>
  <w:num w:numId="24">
    <w:abstractNumId w:val="5"/>
  </w:num>
  <w:num w:numId="25">
    <w:abstractNumId w:val="6"/>
  </w:num>
  <w:num w:numId="26">
    <w:abstractNumId w:val="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16"/>
    <w:rsid w:val="00002FEB"/>
    <w:rsid w:val="00044EE5"/>
    <w:rsid w:val="00063E11"/>
    <w:rsid w:val="000871B1"/>
    <w:rsid w:val="00090D11"/>
    <w:rsid w:val="000C537C"/>
    <w:rsid w:val="000F0DDF"/>
    <w:rsid w:val="00136639"/>
    <w:rsid w:val="00155B43"/>
    <w:rsid w:val="00173026"/>
    <w:rsid w:val="00193F53"/>
    <w:rsid w:val="001B604C"/>
    <w:rsid w:val="001B7313"/>
    <w:rsid w:val="001D0DCC"/>
    <w:rsid w:val="00210FFF"/>
    <w:rsid w:val="00214E96"/>
    <w:rsid w:val="00223B48"/>
    <w:rsid w:val="002379DC"/>
    <w:rsid w:val="002475D6"/>
    <w:rsid w:val="002A082B"/>
    <w:rsid w:val="002B4CDB"/>
    <w:rsid w:val="002E3923"/>
    <w:rsid w:val="00370384"/>
    <w:rsid w:val="003B3847"/>
    <w:rsid w:val="003C2695"/>
    <w:rsid w:val="003C34C3"/>
    <w:rsid w:val="00454316"/>
    <w:rsid w:val="00486264"/>
    <w:rsid w:val="004A10F4"/>
    <w:rsid w:val="004D23CE"/>
    <w:rsid w:val="004E0594"/>
    <w:rsid w:val="004E2459"/>
    <w:rsid w:val="00506706"/>
    <w:rsid w:val="0056404D"/>
    <w:rsid w:val="00567D57"/>
    <w:rsid w:val="00573FD1"/>
    <w:rsid w:val="005A5995"/>
    <w:rsid w:val="005B2853"/>
    <w:rsid w:val="005C7CC3"/>
    <w:rsid w:val="005D6F1A"/>
    <w:rsid w:val="006175FF"/>
    <w:rsid w:val="00626AC5"/>
    <w:rsid w:val="00681E6F"/>
    <w:rsid w:val="0068592A"/>
    <w:rsid w:val="00700FD2"/>
    <w:rsid w:val="00714C7A"/>
    <w:rsid w:val="007245C0"/>
    <w:rsid w:val="007563EF"/>
    <w:rsid w:val="00777FFD"/>
    <w:rsid w:val="007B3E78"/>
    <w:rsid w:val="007B653E"/>
    <w:rsid w:val="007F6683"/>
    <w:rsid w:val="00806915"/>
    <w:rsid w:val="00855A94"/>
    <w:rsid w:val="00861800"/>
    <w:rsid w:val="008756BB"/>
    <w:rsid w:val="008A1716"/>
    <w:rsid w:val="009145AA"/>
    <w:rsid w:val="009A068A"/>
    <w:rsid w:val="009B3DF6"/>
    <w:rsid w:val="009E170E"/>
    <w:rsid w:val="009E47C1"/>
    <w:rsid w:val="00A03E30"/>
    <w:rsid w:val="00A235B1"/>
    <w:rsid w:val="00A67011"/>
    <w:rsid w:val="00A911EB"/>
    <w:rsid w:val="00A9496E"/>
    <w:rsid w:val="00AA4242"/>
    <w:rsid w:val="00AB44FA"/>
    <w:rsid w:val="00AC7CE8"/>
    <w:rsid w:val="00B22CD2"/>
    <w:rsid w:val="00B23B6D"/>
    <w:rsid w:val="00B42560"/>
    <w:rsid w:val="00B61691"/>
    <w:rsid w:val="00B70811"/>
    <w:rsid w:val="00BE5BAD"/>
    <w:rsid w:val="00BE6C47"/>
    <w:rsid w:val="00C004D8"/>
    <w:rsid w:val="00C00CA5"/>
    <w:rsid w:val="00C349E9"/>
    <w:rsid w:val="00C55A62"/>
    <w:rsid w:val="00CB48A6"/>
    <w:rsid w:val="00CC3F01"/>
    <w:rsid w:val="00CE52B1"/>
    <w:rsid w:val="00D535B3"/>
    <w:rsid w:val="00D71870"/>
    <w:rsid w:val="00D93302"/>
    <w:rsid w:val="00D95DB7"/>
    <w:rsid w:val="00DA7FBC"/>
    <w:rsid w:val="00E46EB8"/>
    <w:rsid w:val="00E9572A"/>
    <w:rsid w:val="00EB5BDB"/>
    <w:rsid w:val="00ED3F7C"/>
    <w:rsid w:val="00ED4AC9"/>
    <w:rsid w:val="00EF50E5"/>
    <w:rsid w:val="00F21288"/>
    <w:rsid w:val="00F25FEB"/>
    <w:rsid w:val="00F554B0"/>
    <w:rsid w:val="00FC29DB"/>
    <w:rsid w:val="00FE7FA2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1D8C6"/>
  <w15:chartTrackingRefBased/>
  <w15:docId w15:val="{8549D7A4-574F-4E5A-82FC-0F06BF41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F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4316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54316"/>
    <w:rPr>
      <w:rFonts w:eastAsiaTheme="minorEastAsia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54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54316"/>
    <w:pPr>
      <w:outlineLvl w:val="9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54316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454316"/>
    <w:rPr>
      <w:smallCaps/>
      <w:color w:val="5A5A5A" w:themeColor="text1" w:themeTint="A5"/>
    </w:rPr>
  </w:style>
  <w:style w:type="paragraph" w:styleId="TOC2">
    <w:name w:val="toc 2"/>
    <w:basedOn w:val="Normal"/>
    <w:next w:val="Normal"/>
    <w:autoRedefine/>
    <w:uiPriority w:val="39"/>
    <w:unhideWhenUsed/>
    <w:rsid w:val="00E46EB8"/>
    <w:pPr>
      <w:tabs>
        <w:tab w:val="left" w:pos="660"/>
        <w:tab w:val="right" w:leader="dot" w:pos="9350"/>
      </w:tabs>
      <w:spacing w:after="100"/>
    </w:pPr>
    <w:rPr>
      <w:rFonts w:eastAsiaTheme="minorEastAsia" w:cs="Times New Roman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B653E"/>
    <w:pPr>
      <w:tabs>
        <w:tab w:val="left" w:pos="630"/>
        <w:tab w:val="right" w:leader="dot" w:pos="9350"/>
      </w:tabs>
      <w:spacing w:after="100"/>
    </w:pPr>
    <w:rPr>
      <w:rFonts w:eastAsiaTheme="minorEastAsia"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C29DB"/>
    <w:pPr>
      <w:spacing w:after="100"/>
      <w:ind w:left="440"/>
    </w:pPr>
    <w:rPr>
      <w:rFonts w:eastAsiaTheme="minorEastAsia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93F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193F53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193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5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3E1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D57"/>
  </w:style>
  <w:style w:type="paragraph" w:styleId="Footer">
    <w:name w:val="footer"/>
    <w:basedOn w:val="Normal"/>
    <w:link w:val="FooterChar"/>
    <w:uiPriority w:val="99"/>
    <w:unhideWhenUsed/>
    <w:rsid w:val="00567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D57"/>
  </w:style>
  <w:style w:type="table" w:styleId="TableGrid">
    <w:name w:val="Table Grid"/>
    <w:basedOn w:val="TableNormal"/>
    <w:uiPriority w:val="39"/>
    <w:rsid w:val="00CB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4ACE7-0303-425B-9A74-536C0FDC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Risk Management Report</vt:lpstr>
    </vt:vector>
  </TitlesOfParts>
  <Company>Director of Assurance and Enterprise Risk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Risk Management Report</dc:title>
  <dc:subject>September 2023</dc:subject>
  <dc:creator>Compiled by: Margaret Wallace</dc:creator>
  <cp:keywords/>
  <dc:description/>
  <cp:lastModifiedBy>Froemming, Ben</cp:lastModifiedBy>
  <cp:revision>2</cp:revision>
  <cp:lastPrinted>2023-06-27T19:45:00Z</cp:lastPrinted>
  <dcterms:created xsi:type="dcterms:W3CDTF">2024-03-05T21:25:00Z</dcterms:created>
  <dcterms:modified xsi:type="dcterms:W3CDTF">2024-03-05T21:25:00Z</dcterms:modified>
</cp:coreProperties>
</file>