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MONTANA’S LAW SCHOOL</w:t>
      </w:r>
    </w:p>
    <w:p>
      <w:r>
        <w:t>Experience excellence: Hands-on legal education with a mountain view</w:t>
      </w:r>
    </w:p>
    <w:p>
      <w:r>
        <w:t>Alexander Blewett III School of Law | University of Montana</w:t>
      </w:r>
    </w:p>
    <w:p>
      <w:r>
        <w:t>Accessible text edition of the 2026 recruitment brochure. Content follows the original brochure’s page sequence; charts and designed layouts are reproduced as readable text and tables.</w:t>
      </w:r>
    </w:p>
    <w:p>
      <w:pPr>
        <w:pStyle w:val="Caption"/>
      </w:pPr>
      <w:r>
        <w:t>Image description: Cover photograph: A University of Montana Griz flag flies above Missoula at sunset, with the city and surrounding mountains in the background.</w:t>
      </w:r>
    </w:p>
    <w:p>
      <w:pPr>
        <w:pStyle w:val="Heading1"/>
      </w:pPr>
      <w:r>
        <w:t>Find Yourself in Montana</w:t>
      </w:r>
    </w:p>
    <w:p>
      <w:pPr>
        <w:pStyle w:val="Caption"/>
      </w:pPr>
      <w:r>
        <w:t>Image description: Students rafting on a Montana lake, with the mountainous shoreline behind them. The facing landscape photograph features Lake McDonald in Glacier National Park, described as 2.5 hours north.</w:t>
      </w:r>
    </w:p>
    <w:p>
      <w:pPr>
        <w:pStyle w:val="Heading1"/>
      </w:pPr>
      <w:r>
        <w:t>Contents</w:t>
      </w:r>
    </w:p>
    <w:p>
      <w:pPr>
        <w:pStyle w:val="ListBullet"/>
      </w:pPr>
      <w:r>
        <w:t>About the Alexander Blewett III School of Law — original pages 4–5</w:t>
      </w:r>
    </w:p>
    <w:p>
      <w:pPr>
        <w:pStyle w:val="ListBullet"/>
      </w:pPr>
      <w:r>
        <w:t>Getting In — pages 6–7</w:t>
      </w:r>
    </w:p>
    <w:p>
      <w:pPr>
        <w:pStyle w:val="ListBullet"/>
      </w:pPr>
      <w:r>
        <w:t>Life in Zootown (Missoula, Montana) — pages 8–9</w:t>
      </w:r>
    </w:p>
    <w:p>
      <w:pPr>
        <w:pStyle w:val="ListBullet"/>
      </w:pPr>
      <w:r>
        <w:t>Our Three-Year Curriculum — page 10</w:t>
      </w:r>
    </w:p>
    <w:p>
      <w:pPr>
        <w:pStyle w:val="ListBullet"/>
      </w:pPr>
      <w:r>
        <w:t>Special Programs — page 11</w:t>
      </w:r>
    </w:p>
    <w:p>
      <w:pPr>
        <w:pStyle w:val="ListBullet"/>
      </w:pPr>
      <w:r>
        <w:t>Life After Graduation — page 12</w:t>
      </w:r>
    </w:p>
    <w:p>
      <w:pPr>
        <w:pStyle w:val="ListBullet"/>
      </w:pPr>
      <w:r>
        <w:t>Bar Passage and Employment Outcomes — page 13</w:t>
      </w:r>
    </w:p>
    <w:p>
      <w:pPr>
        <w:pStyle w:val="ListBullet"/>
      </w:pPr>
      <w:r>
        <w:t>Faculty Profiles — pages 14–15</w:t>
      </w:r>
    </w:p>
    <w:p>
      <w:pPr>
        <w:pStyle w:val="ListBullet"/>
      </w:pPr>
      <w:r>
        <w:t>Admissions Contact and Disclosure — page 16</w:t>
      </w:r>
    </w:p>
    <w:p>
      <w:pPr>
        <w:pStyle w:val="Heading1"/>
      </w:pPr>
      <w:r>
        <w:t>About the Alexander Blewett III School of Law</w:t>
      </w:r>
    </w:p>
    <w:p>
      <w:pPr>
        <w:pStyle w:val="Heading2"/>
      </w:pPr>
      <w:r>
        <w:t>By the Numbers</w:t>
      </w:r>
    </w:p>
    <w:tbl>
      <w:tblPr>
        <w:tblStyle w:val="LightShading-Accent1"/>
        <w:tblW w:type="auto" w:w="0"/>
        <w:jc w:val="center"/>
        <w:tblLook w:firstColumn="1" w:firstRow="1" w:lastColumn="0" w:lastRow="0" w:noHBand="0" w:noVBand="1" w:val="04A0"/>
      </w:tblPr>
      <w:tblGrid>
        <w:gridCol w:w="4320"/>
        <w:gridCol w:w="4320"/>
      </w:tblGrid>
      <w:tr>
        <w:trPr>
          <w:tblHeader w:val="true"/>
        </w:trPr>
        <w:tc>
          <w:tcPr>
            <w:tcW w:type="dxa" w:w="4320"/>
          </w:tcPr>
          <w:p>
            <w:r>
              <w:t>Measure</w:t>
            </w:r>
          </w:p>
        </w:tc>
        <w:tc>
          <w:tcPr>
            <w:tcW w:type="dxa" w:w="4320"/>
          </w:tcPr>
          <w:p>
            <w:r>
              <w:t>Reported figure</w:t>
            </w:r>
          </w:p>
        </w:tc>
      </w:tr>
      <w:tr>
        <w:tc>
          <w:tcPr>
            <w:tcW w:type="dxa" w:w="4320"/>
          </w:tcPr>
          <w:p>
            <w:r>
              <w:t>Clinical placements for every third-year student</w:t>
            </w:r>
          </w:p>
        </w:tc>
        <w:tc>
          <w:tcPr>
            <w:tcW w:type="dxa" w:w="4320"/>
          </w:tcPr>
          <w:p>
            <w:r>
              <w:t>25+</w:t>
            </w:r>
          </w:p>
        </w:tc>
      </w:tr>
      <w:tr>
        <w:tc>
          <w:tcPr>
            <w:tcW w:type="dxa" w:w="4320"/>
          </w:tcPr>
          <w:p>
            <w:r>
              <w:t>Specialty area concentrations</w:t>
            </w:r>
          </w:p>
        </w:tc>
        <w:tc>
          <w:tcPr>
            <w:tcW w:type="dxa" w:w="4320"/>
          </w:tcPr>
          <w:p>
            <w:r>
              <w:t>3</w:t>
            </w:r>
          </w:p>
        </w:tc>
      </w:tr>
      <w:tr>
        <w:tc>
          <w:tcPr>
            <w:tcW w:type="dxa" w:w="4320"/>
          </w:tcPr>
          <w:p>
            <w:r>
              <w:t>Years of empowering legal minds to serve society</w:t>
            </w:r>
          </w:p>
        </w:tc>
        <w:tc>
          <w:tcPr>
            <w:tcW w:type="dxa" w:w="4320"/>
          </w:tcPr>
          <w:p>
            <w:r>
              <w:t>100+</w:t>
            </w:r>
          </w:p>
        </w:tc>
      </w:tr>
      <w:tr>
        <w:tc>
          <w:tcPr>
            <w:tcW w:type="dxa" w:w="4320"/>
          </w:tcPr>
          <w:p>
            <w:r>
              <w:t>Dual degree options</w:t>
            </w:r>
          </w:p>
        </w:tc>
        <w:tc>
          <w:tcPr>
            <w:tcW w:type="dxa" w:w="4320"/>
          </w:tcPr>
          <w:p>
            <w:r>
              <w:t>5</w:t>
            </w:r>
          </w:p>
        </w:tc>
      </w:tr>
      <w:tr>
        <w:tc>
          <w:tcPr>
            <w:tcW w:type="dxa" w:w="4320"/>
          </w:tcPr>
          <w:p>
            <w:r>
              <w:t>Clerkship placement</w:t>
            </w:r>
          </w:p>
        </w:tc>
        <w:tc>
          <w:tcPr>
            <w:tcW w:type="dxa" w:w="4320"/>
          </w:tcPr>
          <w:p>
            <w:r>
              <w:t>22.4%</w:t>
            </w:r>
          </w:p>
        </w:tc>
      </w:tr>
      <w:tr>
        <w:tc>
          <w:tcPr>
            <w:tcW w:type="dxa" w:w="4320"/>
          </w:tcPr>
          <w:p>
            <w:r>
              <w:t>Ultimate (2-year) bar passage rate</w:t>
            </w:r>
          </w:p>
        </w:tc>
        <w:tc>
          <w:tcPr>
            <w:tcW w:type="dxa" w:w="4320"/>
          </w:tcPr>
          <w:p>
            <w:r>
              <w:t>94.7%</w:t>
            </w:r>
          </w:p>
        </w:tc>
      </w:tr>
      <w:tr>
        <w:tc>
          <w:tcPr>
            <w:tcW w:type="dxa" w:w="4320"/>
          </w:tcPr>
          <w:p>
            <w:r>
              <w:t>States represented on average per year</w:t>
            </w:r>
          </w:p>
        </w:tc>
        <w:tc>
          <w:tcPr>
            <w:tcW w:type="dxa" w:w="4320"/>
          </w:tcPr>
          <w:p>
            <w:r>
              <w:t>20</w:t>
            </w:r>
          </w:p>
        </w:tc>
      </w:tr>
      <w:tr>
        <w:tc>
          <w:tcPr>
            <w:tcW w:type="dxa" w:w="4320"/>
          </w:tcPr>
          <w:p>
            <w:r>
              <w:t>Average incoming class size</w:t>
            </w:r>
          </w:p>
        </w:tc>
        <w:tc>
          <w:tcPr>
            <w:tcW w:type="dxa" w:w="4320"/>
          </w:tcPr>
          <w:p>
            <w:r>
              <w:t>95</w:t>
            </w:r>
          </w:p>
        </w:tc>
      </w:tr>
      <w:tr>
        <w:tc>
          <w:tcPr>
            <w:tcW w:type="dxa" w:w="4320"/>
          </w:tcPr>
          <w:p>
            <w:r>
              <w:t>Law reviews</w:t>
            </w:r>
          </w:p>
        </w:tc>
        <w:tc>
          <w:tcPr>
            <w:tcW w:type="dxa" w:w="4320"/>
          </w:tcPr>
          <w:p>
            <w:r>
              <w:t>2</w:t>
            </w:r>
          </w:p>
        </w:tc>
      </w:tr>
    </w:tbl>
    <w:p>
      <w:r>
        <w:t>We are Montana’s academic legal center, fostering astute legal minds since 1911. Our foundation is built upon preparing students for the people-oriented practice of law.</w:t>
      </w:r>
    </w:p>
    <w:p>
      <w:r>
        <w:t>We integrate theory and practice and contribute to national, state, and tribal law and legal institutions through teaching, scholarship, and service.</w:t>
      </w:r>
    </w:p>
    <w:p>
      <w:pPr>
        <w:pStyle w:val="Heading2"/>
      </w:pPr>
      <w:r>
        <w:t>Montana’s Law School Is:</w:t>
      </w:r>
    </w:p>
    <w:p>
      <w:pPr>
        <w:pStyle w:val="Heading3"/>
      </w:pPr>
      <w:r>
        <w:t>Practice Ready</w:t>
      </w:r>
    </w:p>
    <w:p>
      <w:r>
        <w:t>At Montana’s law school, our students master the transition from reading about the law to actively engaging with it through practical skills classes and experiential learning. All students in their 3L year (not just the top few) represent clients in clinical placements for 8–40 hours per week, choosing from over 25 government and non-profit legal experiences. Our students bring strong litigation and transactional skills to their clinic experience.</w:t>
      </w:r>
    </w:p>
    <w:p>
      <w:pPr>
        <w:pStyle w:val="Heading3"/>
      </w:pPr>
      <w:r>
        <w:t>Place-Based</w:t>
      </w:r>
    </w:p>
    <w:p>
      <w:r>
        <w:t>Our students engage directly with critical issues like environmental protection and working with sovereign nations. Situated in a region rich with natural resources and tribal heritage, students interact with the communities and landscapes they will serve. Students experience laws in action through field trips to dam restoration projects, public lands, watershed protection areas, and tribal cultural sites.</w:t>
      </w:r>
    </w:p>
    <w:p>
      <w:pPr>
        <w:pStyle w:val="Heading3"/>
      </w:pPr>
      <w:r>
        <w:t>People-Oriented</w:t>
      </w:r>
    </w:p>
    <w:p>
      <w:r>
        <w:t>Blewett Law prepares students for a people-oriented practice of law, addressing the legal needs of everyday Montanans. Our graduates confidently excel in client interactions and their roles as counselors-at-law. Our supportive setting fosters community and belonging while celebrating diversity and promoting a safe and intellectually stimulating environment.</w:t>
      </w:r>
    </w:p>
    <w:p>
      <w:pPr>
        <w:pStyle w:val="Heading3"/>
      </w:pPr>
      <w:r>
        <w:t>High Value</w:t>
      </w:r>
    </w:p>
    <w:p>
      <w:r>
        <w:t>We believe in accessible quality legal education for all students. Blewett Law is consistently ranked as one of America’s most high-value law schools, offering impressive outcomes with less student debt. Our graduates pass the bar exam and secure meaningful employment at competitive levels, with lower tuition prices.</w:t>
      </w:r>
    </w:p>
    <w:p>
      <w:pPr>
        <w:pStyle w:val="Heading1"/>
      </w:pPr>
      <w:r>
        <w:t>Getting In</w:t>
      </w:r>
    </w:p>
    <w:p>
      <w:pPr>
        <w:pStyle w:val="Heading2"/>
      </w:pPr>
      <w:r>
        <w:t>Application Requirements</w:t>
      </w:r>
    </w:p>
    <w:p>
      <w:r>
        <w:t>To apply for admission at Montana’s Law School you’ll need:</w:t>
      </w:r>
    </w:p>
    <w:p>
      <w:pPr>
        <w:pStyle w:val="ListBullet"/>
      </w:pPr>
      <w:r>
        <w:t>An LSAT or GRE score from the last five years</w:t>
      </w:r>
    </w:p>
    <w:p>
      <w:pPr>
        <w:pStyle w:val="ListBullet"/>
      </w:pPr>
      <w:r>
        <w:t>A bachelor’s degree from an accredited college or university</w:t>
      </w:r>
    </w:p>
    <w:p>
      <w:pPr>
        <w:pStyle w:val="ListBullet"/>
      </w:pPr>
      <w:r>
        <w:t>A personal statement and resume</w:t>
      </w:r>
    </w:p>
    <w:p>
      <w:pPr>
        <w:pStyle w:val="ListBullet"/>
      </w:pPr>
      <w:r>
        <w:t>Your electronic application on LSAC.org</w:t>
      </w:r>
    </w:p>
    <w:p>
      <w:pPr>
        <w:pStyle w:val="ListBullet"/>
      </w:pPr>
      <w:r>
        <w:t>Full official transcripts via the LSAC CAS report</w:t>
      </w:r>
    </w:p>
    <w:p>
      <w:pPr>
        <w:pStyle w:val="ListBullet"/>
      </w:pPr>
      <w:r>
        <w:t>Two letters of recommendation</w:t>
      </w:r>
    </w:p>
    <w:p>
      <w:pPr>
        <w:pStyle w:val="Heading2"/>
      </w:pPr>
      <w:r>
        <w:t>How to Make Your Application Sparkle</w:t>
      </w:r>
    </w:p>
    <w:p>
      <w:pPr>
        <w:pStyle w:val="ListBullet"/>
      </w:pPr>
      <w:r>
        <w:t>Make sure Blewett Law is the right school for you! Visit us to experience our vibrant student community and explore Missoula.</w:t>
      </w:r>
    </w:p>
    <w:p>
      <w:pPr>
        <w:pStyle w:val="ListBullet"/>
      </w:pPr>
      <w:r>
        <w:t>Pay close attention to our LSAT and GPA disclosures. We meticulously screen our applicants and track our students’ success to better predict your likelihood of success using these time-tested criteria.</w:t>
      </w:r>
    </w:p>
    <w:p>
      <w:pPr>
        <w:pStyle w:val="ListBullet"/>
      </w:pPr>
      <w:r>
        <w:t>Use the optional addendums to explain your circumstances. It’s always better to over-explain than to leave us guessing. If you have a bad grade, a gap in employment, or a semester where you weren’t at your best, tell us about it!</w:t>
      </w:r>
    </w:p>
    <w:p>
      <w:r>
        <w:t>Blewett Law only offers a full-time in-person JD program. We also have special application programs for students at select schools.</w:t>
      </w:r>
    </w:p>
    <w:p>
      <w:pPr>
        <w:pStyle w:val="Heading2"/>
      </w:pPr>
      <w:r>
        <w:t>Application Window and 2026 Incoming Class Profile</w:t>
      </w:r>
    </w:p>
    <w:p>
      <w:r>
        <w:t>Application window: September 1 through July 15 for a fall start.</w:t>
      </w:r>
    </w:p>
    <w:tbl>
      <w:tblPr>
        <w:tblStyle w:val="LightShading-Accent1"/>
        <w:tblW w:type="auto" w:w="0"/>
        <w:jc w:val="center"/>
        <w:tblLook w:firstColumn="1" w:firstRow="1" w:lastColumn="0" w:lastRow="0" w:noHBand="0" w:noVBand="1" w:val="04A0"/>
      </w:tblPr>
      <w:tblGrid>
        <w:gridCol w:w="4320"/>
        <w:gridCol w:w="4320"/>
      </w:tblGrid>
      <w:tr>
        <w:trPr>
          <w:tblHeader w:val="true"/>
        </w:trPr>
        <w:tc>
          <w:tcPr>
            <w:tcW w:type="dxa" w:w="4320"/>
          </w:tcPr>
          <w:p>
            <w:r>
              <w:t>2026 incoming class profile measure</w:t>
            </w:r>
          </w:p>
        </w:tc>
        <w:tc>
          <w:tcPr>
            <w:tcW w:type="dxa" w:w="4320"/>
          </w:tcPr>
          <w:p>
            <w:r>
              <w:t>Reported value</w:t>
            </w:r>
          </w:p>
        </w:tc>
      </w:tr>
      <w:tr>
        <w:tc>
          <w:tcPr>
            <w:tcW w:type="dxa" w:w="4320"/>
          </w:tcPr>
          <w:p>
            <w:r>
              <w:t>Applications</w:t>
            </w:r>
          </w:p>
        </w:tc>
        <w:tc>
          <w:tcPr>
            <w:tcW w:type="dxa" w:w="4320"/>
          </w:tcPr>
          <w:p>
            <w:r>
              <w:t>610</w:t>
            </w:r>
          </w:p>
        </w:tc>
      </w:tr>
      <w:tr>
        <w:tc>
          <w:tcPr>
            <w:tcW w:type="dxa" w:w="4320"/>
          </w:tcPr>
          <w:p>
            <w:r>
              <w:t>Students</w:t>
            </w:r>
          </w:p>
        </w:tc>
        <w:tc>
          <w:tcPr>
            <w:tcW w:type="dxa" w:w="4320"/>
          </w:tcPr>
          <w:p>
            <w:r>
              <w:t>98</w:t>
            </w:r>
          </w:p>
        </w:tc>
      </w:tr>
      <w:tr>
        <w:tc>
          <w:tcPr>
            <w:tcW w:type="dxa" w:w="4320"/>
          </w:tcPr>
          <w:p>
            <w:r>
              <w:t>In-state / out-of-state</w:t>
            </w:r>
          </w:p>
        </w:tc>
        <w:tc>
          <w:tcPr>
            <w:tcW w:type="dxa" w:w="4320"/>
          </w:tcPr>
          <w:p>
            <w:r>
              <w:t>62% / 38%</w:t>
            </w:r>
          </w:p>
        </w:tc>
      </w:tr>
      <w:tr>
        <w:tc>
          <w:tcPr>
            <w:tcW w:type="dxa" w:w="4320"/>
          </w:tcPr>
          <w:p>
            <w:r>
              <w:t>States represented</w:t>
            </w:r>
          </w:p>
        </w:tc>
        <w:tc>
          <w:tcPr>
            <w:tcW w:type="dxa" w:w="4320"/>
          </w:tcPr>
          <w:p>
            <w:r>
              <w:t>20</w:t>
            </w:r>
          </w:p>
        </w:tc>
      </w:tr>
      <w:tr>
        <w:tc>
          <w:tcPr>
            <w:tcW w:type="dxa" w:w="4320"/>
          </w:tcPr>
          <w:p>
            <w:r>
              <w:t>Countries represented</w:t>
            </w:r>
          </w:p>
        </w:tc>
        <w:tc>
          <w:tcPr>
            <w:tcW w:type="dxa" w:w="4320"/>
          </w:tcPr>
          <w:p>
            <w:r>
              <w:t>3</w:t>
            </w:r>
          </w:p>
        </w:tc>
      </w:tr>
      <w:tr>
        <w:tc>
          <w:tcPr>
            <w:tcW w:type="dxa" w:w="4320"/>
          </w:tcPr>
          <w:p>
            <w:r>
              <w:t>Receiving scholarships</w:t>
            </w:r>
          </w:p>
        </w:tc>
        <w:tc>
          <w:tcPr>
            <w:tcW w:type="dxa" w:w="4320"/>
          </w:tcPr>
          <w:p>
            <w:r>
              <w:t>74%</w:t>
            </w:r>
          </w:p>
        </w:tc>
      </w:tr>
      <w:tr>
        <w:tc>
          <w:tcPr>
            <w:tcW w:type="dxa" w:w="4320"/>
          </w:tcPr>
          <w:p>
            <w:r>
              <w:t>Average age</w:t>
            </w:r>
          </w:p>
        </w:tc>
        <w:tc>
          <w:tcPr>
            <w:tcW w:type="dxa" w:w="4320"/>
          </w:tcPr>
          <w:p>
            <w:r>
              <w:t>25</w:t>
            </w:r>
          </w:p>
        </w:tc>
      </w:tr>
      <w:tr>
        <w:tc>
          <w:tcPr>
            <w:tcW w:type="dxa" w:w="4320"/>
          </w:tcPr>
          <w:p>
            <w:r>
              <w:t>Age midpoint</w:t>
            </w:r>
          </w:p>
        </w:tc>
        <w:tc>
          <w:tcPr>
            <w:tcW w:type="dxa" w:w="4320"/>
          </w:tcPr>
          <w:p>
            <w:r>
              <w:t>33</w:t>
            </w:r>
          </w:p>
        </w:tc>
      </w:tr>
      <w:tr>
        <w:tc>
          <w:tcPr>
            <w:tcW w:type="dxa" w:w="4320"/>
          </w:tcPr>
          <w:p>
            <w:r>
              <w:t>Female</w:t>
            </w:r>
          </w:p>
        </w:tc>
        <w:tc>
          <w:tcPr>
            <w:tcW w:type="dxa" w:w="4320"/>
          </w:tcPr>
          <w:p>
            <w:r>
              <w:t>52%</w:t>
            </w:r>
          </w:p>
        </w:tc>
      </w:tr>
      <w:tr>
        <w:tc>
          <w:tcPr>
            <w:tcW w:type="dxa" w:w="4320"/>
          </w:tcPr>
          <w:p>
            <w:r>
              <w:t>LSAT scores (25th–50th–75th percentile)</w:t>
            </w:r>
          </w:p>
        </w:tc>
        <w:tc>
          <w:tcPr>
            <w:tcW w:type="dxa" w:w="4320"/>
          </w:tcPr>
          <w:p>
            <w:r>
              <w:t>152 – 156 – 159</w:t>
            </w:r>
          </w:p>
        </w:tc>
      </w:tr>
    </w:tbl>
    <w:p>
      <w:r>
        <w:t>Some GPA and additional profile figures appear in the original brochure infographic but are too small to transcribe confidently from the provided PDF. Consult the original page 7 graphic for those precise values.</w:t>
      </w:r>
    </w:p>
    <w:p>
      <w:pPr>
        <w:pStyle w:val="Heading2"/>
      </w:pPr>
      <w:r>
        <w:t>Personal Statement Criteria</w:t>
      </w:r>
    </w:p>
    <w:tbl>
      <w:tblPr>
        <w:tblStyle w:val="LightShading-Accent1"/>
        <w:tblW w:type="auto" w:w="0"/>
        <w:jc w:val="center"/>
        <w:tblLook w:firstColumn="1" w:firstRow="1" w:lastColumn="0" w:lastRow="0" w:noHBand="0" w:noVBand="1" w:val="04A0"/>
      </w:tblPr>
      <w:tblGrid>
        <w:gridCol w:w="2880"/>
        <w:gridCol w:w="2880"/>
        <w:gridCol w:w="2880"/>
      </w:tblGrid>
      <w:tr>
        <w:trPr>
          <w:tblHeader w:val="true"/>
        </w:trPr>
        <w:tc>
          <w:tcPr>
            <w:tcW w:type="dxa" w:w="2880"/>
          </w:tcPr>
          <w:p>
            <w:r>
              <w:t>Good</w:t>
            </w:r>
          </w:p>
        </w:tc>
        <w:tc>
          <w:tcPr>
            <w:tcW w:type="dxa" w:w="2880"/>
          </w:tcPr>
          <w:p>
            <w:r>
              <w:t>Better</w:t>
            </w:r>
          </w:p>
        </w:tc>
        <w:tc>
          <w:tcPr>
            <w:tcW w:type="dxa" w:w="2880"/>
          </w:tcPr>
          <w:p>
            <w:r>
              <w:t>Best</w:t>
            </w:r>
          </w:p>
        </w:tc>
      </w:tr>
      <w:tr>
        <w:tc>
          <w:tcPr>
            <w:tcW w:type="dxa" w:w="2880"/>
          </w:tcPr>
          <w:p>
            <w:r>
              <w:t>Your statement is well-organized, uses correct grammar, and responds to the prompt.</w:t>
            </w:r>
          </w:p>
        </w:tc>
        <w:tc>
          <w:tcPr>
            <w:tcW w:type="dxa" w:w="2880"/>
          </w:tcPr>
          <w:p>
            <w:r>
              <w:t>Don’t tell us what you would do if you could live out your personal values—show us what you have done to uphold your ethics and contribute to society.</w:t>
            </w:r>
          </w:p>
        </w:tc>
        <w:tc>
          <w:tcPr>
            <w:tcW w:type="dxa" w:w="2880"/>
          </w:tcPr>
          <w:p>
            <w:r>
              <w:t>Uses literary skills to express authenticity and tell us your story. Captures the essence of who you are with vivid language and literary sparkle.</w:t>
            </w:r>
          </w:p>
        </w:tc>
      </w:tr>
    </w:tbl>
    <w:p>
      <w:r>
        <w:t>Schedule Your Visit Today. The printed brochure includes a QR code for scheduling.</w:t>
      </w:r>
    </w:p>
    <w:p>
      <w:pPr>
        <w:pStyle w:val="Heading1"/>
      </w:pPr>
      <w:r>
        <w:t>Life in Zootown: Missoula, Montana</w:t>
      </w:r>
    </w:p>
    <w:p>
      <w:pPr>
        <w:pStyle w:val="Heading2"/>
      </w:pPr>
      <w:r>
        <w:t>Study Law in the Great Outdoors</w:t>
      </w:r>
    </w:p>
    <w:p>
      <w:r>
        <w:t>Law School With a View</w:t>
      </w:r>
    </w:p>
    <w:p>
      <w:r>
        <w:t>Missoula, Montana. It’s more than a place. It’s a community of kind-hearted people who love the great outdoors in many ways. From floating down the river to weekend ski trips, hunting, fishing and stellar sunsets under our Big Sky, there’s no landscape limit for recharging and connecting with nature.</w:t>
      </w:r>
    </w:p>
    <w:p>
      <w:pPr>
        <w:pStyle w:val="Caption"/>
      </w:pPr>
      <w:r>
        <w:t>Image description: Two-page panorama of the University of Montana campus, with Mount Sentinel and its large white M above the buildings. Small recreation symbols show skiing, horseback riding, camping and cycling.</w:t>
      </w:r>
    </w:p>
    <w:p>
      <w:pPr>
        <w:pStyle w:val="Heading1"/>
      </w:pPr>
      <w:r>
        <w:t>Our Curriculum: Your Pathway to Success</w:t>
      </w:r>
    </w:p>
    <w:p>
      <w:r>
        <w:t>Our students leave Blewett Law comfortable in the courtroom and at the negotiation table, ready to solve problems with a lawyer’s mindset. Our curriculum transitions from foundational knowledge to practical skill-building and culminates in hands-on clinical training.</w:t>
      </w:r>
    </w:p>
    <w:p>
      <w:pPr>
        <w:pStyle w:val="Heading2"/>
      </w:pPr>
      <w:r>
        <w:t>First Year (1L)</w:t>
      </w:r>
    </w:p>
    <w:p>
      <w:r>
        <w:t>The first-year curriculum focuses on foundational legal concepts through required classes, integrating theory and practice with robust classroom discussions. First-year students join small groups called “Law Firms,” led by upper-class student leaders. In these sessions, they engage in legal simulations, academic success strategies, and research and writing instruction.</w:t>
      </w:r>
    </w:p>
    <w:p>
      <w:pPr>
        <w:pStyle w:val="Heading2"/>
      </w:pPr>
      <w:r>
        <w:t>Second Year (2L)</w:t>
      </w:r>
    </w:p>
    <w:p>
      <w:r>
        <w:t>Second-year students choose electives while continuing required courses. Practical skills like evidence, professional responsibility, business transactions, and pre-trial experiences are built into the second-year curriculum. Students graduate with practice-focused litigation and transaction business skills. Electives include specialty areas and subjects relevant to the bar exam or their particular area of interest.</w:t>
      </w:r>
    </w:p>
    <w:p>
      <w:pPr>
        <w:pStyle w:val="Heading2"/>
      </w:pPr>
      <w:r>
        <w:t>Third Year (3L)</w:t>
      </w:r>
    </w:p>
    <w:p>
      <w:r>
        <w:t>Third-year students engage in hands-on legal practice during required clinics. We offer over 25 placements in government and non-profit institutions, where students gain practical experience in everything from jury trials to environmental advocacy. Depending on course load, they spend 8 to 40 hours per week in clinic work while preparing for the bar exam through electives and online courses.</w:t>
      </w:r>
    </w:p>
    <w:p>
      <w:r>
        <w:t>Students thrive in a collaborative and supportive environment throughout their three years, celebrating each other’s successes and recognizing their peers as future professional colleagues. Our culture of belonging is instilled from day one.</w:t>
      </w:r>
    </w:p>
    <w:p>
      <w:pPr>
        <w:pStyle w:val="Heading1"/>
      </w:pPr>
      <w:r>
        <w:t>Special Programs</w:t>
      </w:r>
    </w:p>
    <w:p>
      <w:pPr>
        <w:pStyle w:val="Heading2"/>
      </w:pPr>
      <w:r>
        <w:t>Dual Degree Programs</w:t>
      </w:r>
    </w:p>
    <w:p>
      <w:r>
        <w:t>Students can earn a second Master’s degree alongside their J.D., gaining a distinct employment advantage and cost savings. Dual degrees are offered in:</w:t>
      </w:r>
    </w:p>
    <w:p>
      <w:pPr>
        <w:pStyle w:val="ListBullet"/>
      </w:pPr>
      <w:r>
        <w:t>JD/Master of Public Administration</w:t>
      </w:r>
    </w:p>
    <w:p>
      <w:pPr>
        <w:pStyle w:val="ListBullet"/>
      </w:pPr>
      <w:r>
        <w:t>JD/Master of Business Administration</w:t>
      </w:r>
    </w:p>
    <w:p>
      <w:pPr>
        <w:pStyle w:val="ListBullet"/>
      </w:pPr>
      <w:r>
        <w:t>JD/Master of Environmental Studies or Environmental Conservation</w:t>
      </w:r>
    </w:p>
    <w:p>
      <w:pPr>
        <w:pStyle w:val="ListBullet"/>
      </w:pPr>
      <w:r>
        <w:t>JD/Master of Social Work (4-year program)</w:t>
      </w:r>
    </w:p>
    <w:p>
      <w:pPr>
        <w:pStyle w:val="Heading2"/>
      </w:pPr>
      <w:r>
        <w:t>Certificate Programs</w:t>
      </w:r>
    </w:p>
    <w:p>
      <w:r>
        <w:t>Students can also specialize in environmental law or American Indian law with our certificate programs. These demonstrate a deeper knowledge and more practical skills beyond the JD core curriculum. Certificates are offered in:</w:t>
      </w:r>
    </w:p>
    <w:p>
      <w:pPr>
        <w:pStyle w:val="ListBullet"/>
      </w:pPr>
      <w:r>
        <w:t>American Indian Law</w:t>
      </w:r>
    </w:p>
    <w:p>
      <w:pPr>
        <w:pStyle w:val="ListBullet"/>
      </w:pPr>
      <w:r>
        <w:t>Natural Resources and Environmental Law</w:t>
      </w:r>
    </w:p>
    <w:p>
      <w:pPr>
        <w:pStyle w:val="ListBullet"/>
      </w:pPr>
      <w:r>
        <w:t>Natural Resources Conflict Resolution</w:t>
      </w:r>
    </w:p>
    <w:p>
      <w:pPr>
        <w:pStyle w:val="Heading2"/>
      </w:pPr>
      <w:r>
        <w:t>Specialty Areas</w:t>
      </w:r>
    </w:p>
    <w:p>
      <w:r>
        <w:t>Montana has long been known as an innovator and leader in Natural Resource, Environmental, and Indian Law:</w:t>
      </w:r>
    </w:p>
    <w:p>
      <w:pPr>
        <w:pStyle w:val="Heading3"/>
      </w:pPr>
      <w:r>
        <w:t>NREP</w:t>
      </w:r>
    </w:p>
    <w:p>
      <w:r>
        <w:t>Our Natural Resources and Environmental Law Program (NREP) offers nationally recognized, place-based learning and clinical opportunities. We collaborate with partners in Forestry, Conservation, Wildlife Biology, and Environmental Studies to gain a strong foundation for practice.</w:t>
      </w:r>
    </w:p>
    <w:p>
      <w:pPr>
        <w:pStyle w:val="Heading3"/>
      </w:pPr>
      <w:r>
        <w:t>Indian Law</w:t>
      </w:r>
    </w:p>
    <w:p>
      <w:r>
        <w:t>The Indian Law Program covers complex principles and the unique tribal-state-federal relationship. Participate in the Margery Hunter Brown Indian Law Clinic, the first in-house Indian Law Clinic in the nation, to address real-time issues for Montana’s tribal governments.</w:t>
      </w:r>
    </w:p>
    <w:p>
      <w:pPr>
        <w:pStyle w:val="Heading2"/>
      </w:pPr>
      <w:r>
        <w:t>Summer Programs</w:t>
      </w:r>
    </w:p>
    <w:p>
      <w:r>
        <w:t>In cooperation with the the Baucus Institute, students can study abroad in Ireland, engaging in cultural exchanges and people-to-people diplomacy.</w:t>
      </w:r>
    </w:p>
    <w:p>
      <w:pPr>
        <w:pStyle w:val="Caption"/>
      </w:pPr>
      <w:r>
        <w:t>Image description: A tipi stands against a Montana landscape behind the Special Programs content.</w:t>
      </w:r>
    </w:p>
    <w:p>
      <w:pPr>
        <w:pStyle w:val="Heading1"/>
      </w:pPr>
      <w:r>
        <w:t>Life After Graduation: Transforming Knowledge Into Practice</w:t>
      </w:r>
    </w:p>
    <w:p>
      <w:r>
        <w:t>Our Career Development Office is committed to supporting students through each step of the job search process. Our Assistant Dean of Career Development works closely with employers to find the legal talent they need through online job postings, events, and on-campus interviews.</w:t>
      </w:r>
    </w:p>
    <w:p>
      <w:r>
        <w:t>To ensure the best possible outcomes for our students, our Career Development Office offers support in:</w:t>
      </w:r>
    </w:p>
    <w:p>
      <w:pPr>
        <w:pStyle w:val="ListBullet"/>
      </w:pPr>
      <w:r>
        <w:t>Defining and realizing career goals through one-on-one coaching</w:t>
      </w:r>
    </w:p>
    <w:p>
      <w:pPr>
        <w:pStyle w:val="ListBullet"/>
      </w:pPr>
      <w:r>
        <w:t>Reviewing applications and resumes</w:t>
      </w:r>
    </w:p>
    <w:p>
      <w:pPr>
        <w:pStyle w:val="ListBullet"/>
      </w:pPr>
      <w:r>
        <w:t>Conducting mock interviews with employees or clerks experienced with interested law firms</w:t>
      </w:r>
    </w:p>
    <w:p>
      <w:pPr>
        <w:pStyle w:val="ListBullet"/>
      </w:pPr>
      <w:r>
        <w:t>Connecting students with out-of-state employers through our reciprocity agreements</w:t>
      </w:r>
    </w:p>
    <w:p>
      <w:pPr>
        <w:pStyle w:val="Caption"/>
      </w:pPr>
      <w:r>
        <w:t>Image description: Graduation photo showing a student wearing a black gown and purple tassel.</w:t>
      </w:r>
    </w:p>
    <w:p>
      <w:pPr>
        <w:pStyle w:val="Heading1"/>
      </w:pPr>
      <w:r>
        <w:t>Bar Passage and Employment Outcomes</w:t>
      </w:r>
    </w:p>
    <w:p>
      <w:r>
        <w:t>The brochure reports comparisons with peer law schools, including ultimate bar passage, employment and clerkship placement. Figures below reproduce the values printed in the brochure; these are not independently verified.</w:t>
      </w:r>
    </w:p>
    <w:p>
      <w:pPr>
        <w:pStyle w:val="Heading2"/>
      </w:pPr>
      <w:r>
        <w:t>Ultimate Bar Passage: 2023 Graduates Within Two Years</w:t>
      </w:r>
    </w:p>
    <w:tbl>
      <w:tblPr>
        <w:tblStyle w:val="LightShading-Accent1"/>
        <w:tblW w:type="auto" w:w="0"/>
        <w:jc w:val="center"/>
        <w:tblLook w:firstColumn="1" w:firstRow="1" w:lastColumn="0" w:lastRow="0" w:noHBand="0" w:noVBand="1" w:val="04A0"/>
      </w:tblPr>
      <w:tblGrid>
        <w:gridCol w:w="4320"/>
        <w:gridCol w:w="4320"/>
      </w:tblGrid>
      <w:tr>
        <w:trPr>
          <w:tblHeader w:val="true"/>
        </w:trPr>
        <w:tc>
          <w:tcPr>
            <w:tcW w:type="dxa" w:w="4320"/>
          </w:tcPr>
          <w:p>
            <w:r>
              <w:t>Law school</w:t>
            </w:r>
          </w:p>
        </w:tc>
        <w:tc>
          <w:tcPr>
            <w:tcW w:type="dxa" w:w="4320"/>
          </w:tcPr>
          <w:p>
            <w:r>
              <w:t>Ultimate bar passage</w:t>
            </w:r>
          </w:p>
        </w:tc>
      </w:tr>
      <w:tr>
        <w:tc>
          <w:tcPr>
            <w:tcW w:type="dxa" w:w="4320"/>
          </w:tcPr>
          <w:p>
            <w:r>
              <w:t>University of Montana</w:t>
            </w:r>
          </w:p>
        </w:tc>
        <w:tc>
          <w:tcPr>
            <w:tcW w:type="dxa" w:w="4320"/>
          </w:tcPr>
          <w:p>
            <w:r>
              <w:t>94.7%</w:t>
            </w:r>
          </w:p>
        </w:tc>
      </w:tr>
      <w:tr>
        <w:tc>
          <w:tcPr>
            <w:tcW w:type="dxa" w:w="4320"/>
          </w:tcPr>
          <w:p>
            <w:r>
              <w:t>Gonzaga</w:t>
            </w:r>
          </w:p>
        </w:tc>
        <w:tc>
          <w:tcPr>
            <w:tcW w:type="dxa" w:w="4320"/>
          </w:tcPr>
          <w:p>
            <w:r>
              <w:t>89.8%</w:t>
            </w:r>
          </w:p>
        </w:tc>
      </w:tr>
      <w:tr>
        <w:tc>
          <w:tcPr>
            <w:tcW w:type="dxa" w:w="4320"/>
          </w:tcPr>
          <w:p>
            <w:r>
              <w:t>South Dakota</w:t>
            </w:r>
          </w:p>
        </w:tc>
        <w:tc>
          <w:tcPr>
            <w:tcW w:type="dxa" w:w="4320"/>
          </w:tcPr>
          <w:p>
            <w:r>
              <w:t>91.2%</w:t>
            </w:r>
          </w:p>
        </w:tc>
      </w:tr>
      <w:tr>
        <w:tc>
          <w:tcPr>
            <w:tcW w:type="dxa" w:w="4320"/>
          </w:tcPr>
          <w:p>
            <w:r>
              <w:t>North Dakota</w:t>
            </w:r>
          </w:p>
        </w:tc>
        <w:tc>
          <w:tcPr>
            <w:tcW w:type="dxa" w:w="4320"/>
          </w:tcPr>
          <w:p>
            <w:r>
              <w:t>89.3%</w:t>
            </w:r>
          </w:p>
        </w:tc>
      </w:tr>
      <w:tr>
        <w:tc>
          <w:tcPr>
            <w:tcW w:type="dxa" w:w="4320"/>
          </w:tcPr>
          <w:p>
            <w:r>
              <w:t>Seattle University</w:t>
            </w:r>
          </w:p>
        </w:tc>
        <w:tc>
          <w:tcPr>
            <w:tcW w:type="dxa" w:w="4320"/>
          </w:tcPr>
          <w:p>
            <w:r>
              <w:t>89.6%</w:t>
            </w:r>
          </w:p>
        </w:tc>
      </w:tr>
      <w:tr>
        <w:tc>
          <w:tcPr>
            <w:tcW w:type="dxa" w:w="4320"/>
          </w:tcPr>
          <w:p>
            <w:r>
              <w:t>Lewis &amp; Clark</w:t>
            </w:r>
          </w:p>
        </w:tc>
        <w:tc>
          <w:tcPr>
            <w:tcW w:type="dxa" w:w="4320"/>
          </w:tcPr>
          <w:p>
            <w:r>
              <w:t>92.8%</w:t>
            </w:r>
          </w:p>
        </w:tc>
      </w:tr>
      <w:tr>
        <w:tc>
          <w:tcPr>
            <w:tcW w:type="dxa" w:w="4320"/>
          </w:tcPr>
          <w:p>
            <w:r>
              <w:t>Oregon</w:t>
            </w:r>
          </w:p>
        </w:tc>
        <w:tc>
          <w:tcPr>
            <w:tcW w:type="dxa" w:w="4320"/>
          </w:tcPr>
          <w:p>
            <w:r>
              <w:t>93.3%</w:t>
            </w:r>
          </w:p>
        </w:tc>
      </w:tr>
      <w:tr>
        <w:tc>
          <w:tcPr>
            <w:tcW w:type="dxa" w:w="4320"/>
          </w:tcPr>
          <w:p>
            <w:r>
              <w:t>Wyoming</w:t>
            </w:r>
          </w:p>
        </w:tc>
        <w:tc>
          <w:tcPr>
            <w:tcW w:type="dxa" w:w="4320"/>
          </w:tcPr>
          <w:p>
            <w:r>
              <w:t>92.5%</w:t>
            </w:r>
          </w:p>
        </w:tc>
      </w:tr>
      <w:tr>
        <w:tc>
          <w:tcPr>
            <w:tcW w:type="dxa" w:w="4320"/>
          </w:tcPr>
          <w:p>
            <w:r>
              <w:t>Idaho</w:t>
            </w:r>
          </w:p>
        </w:tc>
        <w:tc>
          <w:tcPr>
            <w:tcW w:type="dxa" w:w="4320"/>
          </w:tcPr>
          <w:p>
            <w:r>
              <w:t>79.7%</w:t>
            </w:r>
          </w:p>
        </w:tc>
      </w:tr>
    </w:tbl>
    <w:p>
      <w:pPr>
        <w:pStyle w:val="Heading2"/>
      </w:pPr>
      <w:r>
        <w:t>Employment and Clerkships</w:t>
      </w:r>
    </w:p>
    <w:p>
      <w:r>
        <w:t>Per 2025 employment disclosure data. ABA-reported placement rates for full-time employment and students pursuing graduate studies; clerkship statistics of employed students.</w:t>
      </w:r>
    </w:p>
    <w:tbl>
      <w:tblPr>
        <w:tblStyle w:val="LightShading-Accent1"/>
        <w:tblW w:type="auto" w:w="0"/>
        <w:jc w:val="center"/>
        <w:tblLook w:firstColumn="1" w:firstRow="1" w:lastColumn="0" w:lastRow="0" w:noHBand="0" w:noVBand="1" w:val="04A0"/>
      </w:tblPr>
      <w:tblGrid>
        <w:gridCol w:w="2160"/>
        <w:gridCol w:w="2160"/>
        <w:gridCol w:w="2160"/>
        <w:gridCol w:w="2160"/>
      </w:tblGrid>
      <w:tr>
        <w:trPr>
          <w:tblHeader w:val="true"/>
        </w:trPr>
        <w:tc>
          <w:tcPr>
            <w:tcW w:type="dxa" w:w="2160"/>
          </w:tcPr>
          <w:p>
            <w:r>
              <w:t>School</w:t>
            </w:r>
          </w:p>
        </w:tc>
        <w:tc>
          <w:tcPr>
            <w:tcW w:type="dxa" w:w="2160"/>
          </w:tcPr>
          <w:p>
            <w:r>
              <w:t>Placement</w:t>
            </w:r>
          </w:p>
        </w:tc>
        <w:tc>
          <w:tcPr>
            <w:tcW w:type="dxa" w:w="2160"/>
          </w:tcPr>
          <w:p>
            <w:r>
              <w:t>Clerkship</w:t>
            </w:r>
          </w:p>
        </w:tc>
        <w:tc>
          <w:tcPr>
            <w:tcW w:type="dxa" w:w="2160"/>
          </w:tcPr>
          <w:p>
            <w:r>
              <w:t>Federal clerkship</w:t>
            </w:r>
          </w:p>
        </w:tc>
      </w:tr>
      <w:tr>
        <w:tc>
          <w:tcPr>
            <w:tcW w:type="dxa" w:w="2160"/>
          </w:tcPr>
          <w:p>
            <w:r>
              <w:t>University of Montana</w:t>
            </w:r>
          </w:p>
        </w:tc>
        <w:tc>
          <w:tcPr>
            <w:tcW w:type="dxa" w:w="2160"/>
          </w:tcPr>
          <w:p>
            <w:r>
              <w:t>95.4%</w:t>
            </w:r>
          </w:p>
        </w:tc>
        <w:tc>
          <w:tcPr>
            <w:tcW w:type="dxa" w:w="2160"/>
          </w:tcPr>
          <w:p>
            <w:r>
              <w:t>22.4%</w:t>
            </w:r>
          </w:p>
        </w:tc>
        <w:tc>
          <w:tcPr>
            <w:tcW w:type="dxa" w:w="2160"/>
          </w:tcPr>
          <w:p>
            <w:r>
              <w:t>6.6%</w:t>
            </w:r>
          </w:p>
        </w:tc>
      </w:tr>
      <w:tr>
        <w:tc>
          <w:tcPr>
            <w:tcW w:type="dxa" w:w="2160"/>
          </w:tcPr>
          <w:p>
            <w:r>
              <w:t>Gonzaga</w:t>
            </w:r>
          </w:p>
        </w:tc>
        <w:tc>
          <w:tcPr>
            <w:tcW w:type="dxa" w:w="2160"/>
          </w:tcPr>
          <w:p>
            <w:r>
              <w:t>90.9%</w:t>
            </w:r>
          </w:p>
        </w:tc>
        <w:tc>
          <w:tcPr>
            <w:tcW w:type="dxa" w:w="2160"/>
          </w:tcPr>
          <w:p>
            <w:r>
              <w:t>8.9%</w:t>
            </w:r>
          </w:p>
        </w:tc>
        <w:tc>
          <w:tcPr>
            <w:tcW w:type="dxa" w:w="2160"/>
          </w:tcPr>
          <w:p>
            <w:r>
              <w:t>1.2%</w:t>
            </w:r>
          </w:p>
        </w:tc>
      </w:tr>
      <w:tr>
        <w:tc>
          <w:tcPr>
            <w:tcW w:type="dxa" w:w="2160"/>
          </w:tcPr>
          <w:p>
            <w:r>
              <w:t>South Dakota</w:t>
            </w:r>
          </w:p>
        </w:tc>
        <w:tc>
          <w:tcPr>
            <w:tcW w:type="dxa" w:w="2160"/>
          </w:tcPr>
          <w:p>
            <w:r>
              <w:t>90.2%</w:t>
            </w:r>
          </w:p>
        </w:tc>
        <w:tc>
          <w:tcPr>
            <w:tcW w:type="dxa" w:w="2160"/>
          </w:tcPr>
          <w:p>
            <w:r>
              <w:t>20.6%</w:t>
            </w:r>
          </w:p>
        </w:tc>
        <w:tc>
          <w:tcPr>
            <w:tcW w:type="dxa" w:w="2160"/>
          </w:tcPr>
          <w:p>
            <w:r>
              <w:t>4.1%</w:t>
            </w:r>
          </w:p>
        </w:tc>
      </w:tr>
      <w:tr>
        <w:tc>
          <w:tcPr>
            <w:tcW w:type="dxa" w:w="2160"/>
          </w:tcPr>
          <w:p>
            <w:r>
              <w:t>North Dakota</w:t>
            </w:r>
          </w:p>
        </w:tc>
        <w:tc>
          <w:tcPr>
            <w:tcW w:type="dxa" w:w="2160"/>
          </w:tcPr>
          <w:p>
            <w:r>
              <w:t>83.6%</w:t>
            </w:r>
          </w:p>
        </w:tc>
        <w:tc>
          <w:tcPr>
            <w:tcW w:type="dxa" w:w="2160"/>
          </w:tcPr>
          <w:p>
            <w:r>
              <w:t>13.1%</w:t>
            </w:r>
          </w:p>
        </w:tc>
        <w:tc>
          <w:tcPr>
            <w:tcW w:type="dxa" w:w="2160"/>
          </w:tcPr>
          <w:p>
            <w:r>
              <w:t>6.6%</w:t>
            </w:r>
          </w:p>
        </w:tc>
      </w:tr>
      <w:tr>
        <w:tc>
          <w:tcPr>
            <w:tcW w:type="dxa" w:w="2160"/>
          </w:tcPr>
          <w:p>
            <w:r>
              <w:t>Seattle University</w:t>
            </w:r>
          </w:p>
        </w:tc>
        <w:tc>
          <w:tcPr>
            <w:tcW w:type="dxa" w:w="2160"/>
          </w:tcPr>
          <w:p>
            <w:r>
              <w:t>94.1%</w:t>
            </w:r>
          </w:p>
        </w:tc>
        <w:tc>
          <w:tcPr>
            <w:tcW w:type="dxa" w:w="2160"/>
          </w:tcPr>
          <w:p>
            <w:r>
              <w:t>5.9%</w:t>
            </w:r>
          </w:p>
        </w:tc>
        <w:tc>
          <w:tcPr>
            <w:tcW w:type="dxa" w:w="2160"/>
          </w:tcPr>
          <w:p>
            <w:r>
              <w:t>0%</w:t>
            </w:r>
          </w:p>
        </w:tc>
      </w:tr>
      <w:tr>
        <w:tc>
          <w:tcPr>
            <w:tcW w:type="dxa" w:w="2160"/>
          </w:tcPr>
          <w:p>
            <w:r>
              <w:t>Lewis &amp; Clark</w:t>
            </w:r>
          </w:p>
        </w:tc>
        <w:tc>
          <w:tcPr>
            <w:tcW w:type="dxa" w:w="2160"/>
          </w:tcPr>
          <w:p>
            <w:r>
              <w:t>92.8%</w:t>
            </w:r>
          </w:p>
        </w:tc>
        <w:tc>
          <w:tcPr>
            <w:tcW w:type="dxa" w:w="2160"/>
          </w:tcPr>
          <w:p>
            <w:r>
              <w:t>14.4%</w:t>
            </w:r>
          </w:p>
        </w:tc>
        <w:tc>
          <w:tcPr>
            <w:tcW w:type="dxa" w:w="2160"/>
          </w:tcPr>
          <w:p>
            <w:r>
              <w:t>1.4%</w:t>
            </w:r>
          </w:p>
        </w:tc>
      </w:tr>
      <w:tr>
        <w:tc>
          <w:tcPr>
            <w:tcW w:type="dxa" w:w="2160"/>
          </w:tcPr>
          <w:p>
            <w:r>
              <w:t>Oregon</w:t>
            </w:r>
          </w:p>
        </w:tc>
        <w:tc>
          <w:tcPr>
            <w:tcW w:type="dxa" w:w="2160"/>
          </w:tcPr>
          <w:p>
            <w:r>
              <w:t>90.9%</w:t>
            </w:r>
          </w:p>
        </w:tc>
        <w:tc>
          <w:tcPr>
            <w:tcW w:type="dxa" w:w="2160"/>
          </w:tcPr>
          <w:p>
            <w:r>
              <w:t>17.2%</w:t>
            </w:r>
          </w:p>
        </w:tc>
        <w:tc>
          <w:tcPr>
            <w:tcW w:type="dxa" w:w="2160"/>
          </w:tcPr>
          <w:p>
            <w:r>
              <w:t>2.3%</w:t>
            </w:r>
          </w:p>
        </w:tc>
      </w:tr>
      <w:tr>
        <w:tc>
          <w:tcPr>
            <w:tcW w:type="dxa" w:w="2160"/>
          </w:tcPr>
          <w:p>
            <w:r>
              <w:t>Wyoming</w:t>
            </w:r>
          </w:p>
        </w:tc>
        <w:tc>
          <w:tcPr>
            <w:tcW w:type="dxa" w:w="2160"/>
          </w:tcPr>
          <w:p>
            <w:r>
              <w:t>93.8%</w:t>
            </w:r>
          </w:p>
        </w:tc>
        <w:tc>
          <w:tcPr>
            <w:tcW w:type="dxa" w:w="2160"/>
          </w:tcPr>
          <w:p>
            <w:r>
              <w:t>5.2%</w:t>
            </w:r>
          </w:p>
        </w:tc>
        <w:tc>
          <w:tcPr>
            <w:tcW w:type="dxa" w:w="2160"/>
          </w:tcPr>
          <w:p>
            <w:r>
              <w:t>3.5%</w:t>
            </w:r>
          </w:p>
        </w:tc>
      </w:tr>
      <w:tr>
        <w:tc>
          <w:tcPr>
            <w:tcW w:type="dxa" w:w="2160"/>
          </w:tcPr>
          <w:p>
            <w:r>
              <w:t>Idaho</w:t>
            </w:r>
          </w:p>
        </w:tc>
        <w:tc>
          <w:tcPr>
            <w:tcW w:type="dxa" w:w="2160"/>
          </w:tcPr>
          <w:p>
            <w:r>
              <w:t>90.5%</w:t>
            </w:r>
          </w:p>
        </w:tc>
        <w:tc>
          <w:tcPr>
            <w:tcW w:type="dxa" w:w="2160"/>
          </w:tcPr>
          <w:p>
            <w:r>
              <w:t>12.2%</w:t>
            </w:r>
          </w:p>
        </w:tc>
        <w:tc>
          <w:tcPr>
            <w:tcW w:type="dxa" w:w="2160"/>
          </w:tcPr>
          <w:p>
            <w:r>
              <w:t>0.8%</w:t>
            </w:r>
          </w:p>
        </w:tc>
      </w:tr>
    </w:tbl>
    <w:p>
      <w:pPr>
        <w:pStyle w:val="Heading2"/>
      </w:pPr>
      <w:r>
        <w:t>Where Our Students Work</w:t>
      </w:r>
    </w:p>
    <w:tbl>
      <w:tblPr>
        <w:tblStyle w:val="LightShading-Accent1"/>
        <w:tblW w:type="auto" w:w="0"/>
        <w:jc w:val="center"/>
        <w:tblLook w:firstColumn="1" w:firstRow="1" w:lastColumn="0" w:lastRow="0" w:noHBand="0" w:noVBand="1" w:val="04A0"/>
      </w:tblPr>
      <w:tblGrid>
        <w:gridCol w:w="4320"/>
        <w:gridCol w:w="4320"/>
      </w:tblGrid>
      <w:tr>
        <w:trPr>
          <w:tblHeader w:val="true"/>
        </w:trPr>
        <w:tc>
          <w:tcPr>
            <w:tcW w:type="dxa" w:w="4320"/>
          </w:tcPr>
          <w:p>
            <w:r>
              <w:t>Employment sector</w:t>
            </w:r>
          </w:p>
        </w:tc>
        <w:tc>
          <w:tcPr>
            <w:tcW w:type="dxa" w:w="4320"/>
          </w:tcPr>
          <w:p>
            <w:r>
              <w:t>Share</w:t>
            </w:r>
          </w:p>
        </w:tc>
      </w:tr>
      <w:tr>
        <w:tc>
          <w:tcPr>
            <w:tcW w:type="dxa" w:w="4320"/>
          </w:tcPr>
          <w:p>
            <w:r>
              <w:t>Law firms</w:t>
            </w:r>
          </w:p>
        </w:tc>
        <w:tc>
          <w:tcPr>
            <w:tcW w:type="dxa" w:w="4320"/>
          </w:tcPr>
          <w:p>
            <w:r>
              <w:t>33%</w:t>
            </w:r>
          </w:p>
        </w:tc>
      </w:tr>
      <w:tr>
        <w:tc>
          <w:tcPr>
            <w:tcW w:type="dxa" w:w="4320"/>
          </w:tcPr>
          <w:p>
            <w:r>
              <w:t>Clerkship</w:t>
            </w:r>
          </w:p>
        </w:tc>
        <w:tc>
          <w:tcPr>
            <w:tcW w:type="dxa" w:w="4320"/>
          </w:tcPr>
          <w:p>
            <w:r>
              <w:t>22%</w:t>
            </w:r>
          </w:p>
        </w:tc>
      </w:tr>
      <w:tr>
        <w:tc>
          <w:tcPr>
            <w:tcW w:type="dxa" w:w="4320"/>
          </w:tcPr>
          <w:p>
            <w:r>
              <w:t>Government</w:t>
            </w:r>
          </w:p>
        </w:tc>
        <w:tc>
          <w:tcPr>
            <w:tcW w:type="dxa" w:w="4320"/>
          </w:tcPr>
          <w:p>
            <w:r>
              <w:t>21%</w:t>
            </w:r>
          </w:p>
        </w:tc>
      </w:tr>
      <w:tr>
        <w:tc>
          <w:tcPr>
            <w:tcW w:type="dxa" w:w="4320"/>
          </w:tcPr>
          <w:p>
            <w:r>
              <w:t>Public interest</w:t>
            </w:r>
          </w:p>
        </w:tc>
        <w:tc>
          <w:tcPr>
            <w:tcW w:type="dxa" w:w="4320"/>
          </w:tcPr>
          <w:p>
            <w:r>
              <w:t>15%</w:t>
            </w:r>
          </w:p>
        </w:tc>
      </w:tr>
      <w:tr>
        <w:tc>
          <w:tcPr>
            <w:tcW w:type="dxa" w:w="4320"/>
          </w:tcPr>
          <w:p>
            <w:r>
              <w:t>Business</w:t>
            </w:r>
          </w:p>
        </w:tc>
        <w:tc>
          <w:tcPr>
            <w:tcW w:type="dxa" w:w="4320"/>
          </w:tcPr>
          <w:p>
            <w:r>
              <w:t>9%</w:t>
            </w:r>
          </w:p>
        </w:tc>
      </w:tr>
    </w:tbl>
    <w:p>
      <w:r>
        <w:t>In-state employment: 60 (78%). Out-of-state employment: 17 (22%).</w:t>
      </w:r>
    </w:p>
    <w:p>
      <w:pPr>
        <w:pStyle w:val="Heading1"/>
      </w:pPr>
      <w:r>
        <w:t>Faculty Profiles</w:t>
      </w:r>
    </w:p>
    <w:p>
      <w:r>
        <w:t>Unique to Montana’s Law School, our faculty bring significant practice experience in the areas they teach.</w:t>
      </w:r>
    </w:p>
    <w:p>
      <w:pPr>
        <w:pStyle w:val="Heading2"/>
      </w:pPr>
      <w:r>
        <w:t>Pippa Browde</w:t>
      </w:r>
    </w:p>
    <w:p>
      <w:r>
        <w:t>Federal Income Tax; Partnership Tax; Corporate Tax; Tax Procedure; Tax Policy. Steve &amp; Jane Bahls Professor of Excellence.</w:t>
      </w:r>
    </w:p>
    <w:p>
      <w:pPr>
        <w:pStyle w:val="Heading2"/>
      </w:pPr>
      <w:r>
        <w:t>Michelle Bryan</w:t>
      </w:r>
    </w:p>
    <w:p>
      <w:r>
        <w:t>Administrative Law; Environmental Law; Water Law; International Environmental Law; Property.</w:t>
      </w:r>
    </w:p>
    <w:p>
      <w:pPr>
        <w:pStyle w:val="Heading2"/>
      </w:pPr>
      <w:r>
        <w:t>Jonathon Byington</w:t>
      </w:r>
    </w:p>
    <w:p>
      <w:r>
        <w:t>Business Transactions; Real Estate Transactions; Secured Transactions; Bankruptcy Law. Steve &amp; Jane Bahls Professor of Excellence.</w:t>
      </w:r>
    </w:p>
    <w:p>
      <w:pPr>
        <w:pStyle w:val="Heading2"/>
      </w:pPr>
      <w:r>
        <w:t>Anna Conley</w:t>
      </w:r>
    </w:p>
    <w:p>
      <w:r>
        <w:t>Federal Courts; Comparative Law; Remedies; Pretrial Litigation; Generative AI and the Law.</w:t>
      </w:r>
    </w:p>
    <w:p>
      <w:pPr>
        <w:pStyle w:val="Heading2"/>
      </w:pPr>
      <w:r>
        <w:t>Craig Cowie</w:t>
      </w:r>
    </w:p>
    <w:p>
      <w:r>
        <w:t>Civil Procedure; Pretrial Litigation; Consumer Law; Clinical Legal Education. Blewett Endowed Faculty Chair in Consumer Law &amp; Protection.</w:t>
      </w:r>
    </w:p>
    <w:p>
      <w:pPr>
        <w:pStyle w:val="Heading2"/>
      </w:pPr>
      <w:r>
        <w:t>Deb DuMontier</w:t>
      </w:r>
    </w:p>
    <w:p>
      <w:r>
        <w:t>Federal Indian Law; American Indian Natural Resource Law; Margery Hunter Brown Indian Law Clinic.</w:t>
      </w:r>
    </w:p>
    <w:p>
      <w:pPr>
        <w:pStyle w:val="Heading2"/>
      </w:pPr>
      <w:r>
        <w:t>Elaine Gagliardi</w:t>
      </w:r>
    </w:p>
    <w:p>
      <w:r>
        <w:t>Estate Planning; Federal Estate and Gift Taxation; Business Transactions; Business Organizations.</w:t>
      </w:r>
    </w:p>
    <w:p>
      <w:pPr>
        <w:pStyle w:val="Heading2"/>
      </w:pPr>
      <w:r>
        <w:t>Diana Garrett</w:t>
      </w:r>
    </w:p>
    <w:p>
      <w:r>
        <w:t>Clinical Legal Education.</w:t>
      </w:r>
    </w:p>
    <w:p>
      <w:pPr>
        <w:pStyle w:val="Heading2"/>
      </w:pPr>
      <w:r>
        <w:t>Forrest Graves</w:t>
      </w:r>
    </w:p>
    <w:p>
      <w:r>
        <w:t>Contracts; Business Organizations; Estate Planning; Business Transactions.</w:t>
      </w:r>
    </w:p>
    <w:p>
      <w:pPr>
        <w:pStyle w:val="Heading2"/>
      </w:pPr>
      <w:r>
        <w:t>Emily Gutierrez Caton</w:t>
      </w:r>
    </w:p>
    <w:p>
      <w:r>
        <w:t>Legal Writing and Analysis. Director of Academic Success.</w:t>
      </w:r>
    </w:p>
    <w:p>
      <w:pPr>
        <w:pStyle w:val="Heading2"/>
      </w:pPr>
      <w:r>
        <w:t>Brianne Holland-Stergar</w:t>
      </w:r>
    </w:p>
    <w:p>
      <w:r>
        <w:t>Legal Writing and Analysis; Lawyers’ Values; Access to Justice.</w:t>
      </w:r>
    </w:p>
    <w:p>
      <w:pPr>
        <w:pStyle w:val="Heading2"/>
      </w:pPr>
      <w:r>
        <w:t>Cody James</w:t>
      </w:r>
    </w:p>
    <w:p>
      <w:r>
        <w:t>Legal Research, Generative AI and the Law. Director of the Jameson Law Library.</w:t>
      </w:r>
    </w:p>
    <w:p>
      <w:pPr>
        <w:pStyle w:val="Heading2"/>
      </w:pPr>
      <w:r>
        <w:t>Andrew King-Ries</w:t>
      </w:r>
    </w:p>
    <w:p>
      <w:r>
        <w:t>Criminal Law; Criminal Procedure; Domestic Violence; Race and Racism in the Law; Professional Foundations.</w:t>
      </w:r>
    </w:p>
    <w:p>
      <w:pPr>
        <w:pStyle w:val="Heading2"/>
      </w:pPr>
      <w:r>
        <w:t>Paul Kirgis</w:t>
      </w:r>
    </w:p>
    <w:p>
      <w:r>
        <w:t>Evidence; Alternative Dispute Resolution; Advanced Torts; Negotiations.</w:t>
      </w:r>
    </w:p>
    <w:p>
      <w:pPr>
        <w:pStyle w:val="Heading2"/>
      </w:pPr>
      <w:r>
        <w:t>Kekek Stark</w:t>
      </w:r>
    </w:p>
    <w:p>
      <w:r>
        <w:t>Federal Indian Law; Tribal Courts and Tribal Law; American Indian Natural Resources Law; Margery Hunter Brown Indian Law Clinic. Davis-Johnston Associate Professor of Law.</w:t>
      </w:r>
    </w:p>
    <w:p>
      <w:pPr>
        <w:pStyle w:val="Heading2"/>
      </w:pPr>
      <w:r>
        <w:t>Karen Van Essen</w:t>
      </w:r>
    </w:p>
    <w:p>
      <w:r>
        <w:t>Professional Responsibility; White Collar Crime; Trial Practice; International Trade.</w:t>
      </w:r>
    </w:p>
    <w:p>
      <w:pPr>
        <w:pStyle w:val="Heading2"/>
      </w:pPr>
      <w:r>
        <w:t>Constance Van Kley</w:t>
      </w:r>
    </w:p>
    <w:p>
      <w:r>
        <w:t>Constitutional Law; Montana Constitutional Law; First Amendment Law; Criminal Procedure.</w:t>
      </w:r>
    </w:p>
    <w:p>
      <w:pPr>
        <w:pStyle w:val="Heading2"/>
      </w:pPr>
      <w:r>
        <w:t>Hillary Wandler</w:t>
      </w:r>
    </w:p>
    <w:p>
      <w:r>
        <w:t>Legal Writing and Analysis; Veterans Law; Clinical Legal Education.</w:t>
      </w:r>
    </w:p>
    <w:p>
      <w:pPr>
        <w:pStyle w:val="Heading2"/>
      </w:pPr>
      <w:r>
        <w:t>Mitch WerBell</w:t>
      </w:r>
    </w:p>
    <w:p>
      <w:r>
        <w:t>Business Transactions; Property Law; Land Use and Environment; Appellate Advocacy.</w:t>
      </w:r>
    </w:p>
    <w:p>
      <w:pPr>
        <w:pStyle w:val="Heading2"/>
      </w:pPr>
      <w:r>
        <w:t>Sandra Zellmer</w:t>
      </w:r>
    </w:p>
    <w:p>
      <w:r>
        <w:t>Torts; Public Lands and Natural Resource Law; Water Law; Wildlife Law; Animal Law.</w:t>
      </w:r>
    </w:p>
    <w:p>
      <w:pPr>
        <w:pStyle w:val="Heading1"/>
      </w:pPr>
      <w:r>
        <w:t>Admissions Contact and Disclosure</w:t>
      </w:r>
    </w:p>
    <w:p>
      <w:r>
        <w:t>Meri K. Althauser, JD | Assistant Dean of Admissions | 406-243-2398 | lawadmissions@so.umt.edu</w:t>
      </w:r>
    </w:p>
    <w:p>
      <w:r>
        <w:t>Statements in this brochure are estimates as of August 2026. For full ABA disclosures, visit the link or QR code on the original brochure’s back cover.</w:t>
      </w:r>
    </w:p>
    <w:p>
      <w:pPr>
        <w:pStyle w:val="Caption"/>
      </w:pPr>
      <w:r>
        <w:t>Image description: Back cover features a panoramic Missoula view and a portrait of the assistant dean of admissions.</w:t>
      </w:r>
    </w:p>
    <w:sectPr w:rsidR="00FC693F" w:rsidRPr="0006063C" w:rsidSect="00034616">
      <w:footerReference w:type="default" r:id="rId9"/>
      <w:pgSz w:w="12240" w:h="15840"/>
      <w:pgMar w:top="1152" w:right="1800" w:bottom="1080" w:left="1800" w:header="648"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University of Montana • Alexander Blewett III School of Law • Accessible 2026 brochure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1C26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700A31"/>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700A3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700A3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700A31"/>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Montana’s Law School — Accessible Brochure (2026)</dc:title>
  <dc:subject>Accessible text edition of Alexander Blewett III School of Law recruitment brochure</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en-US</dc:language>
</cp:coreProperties>
</file>