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7197E" w14:textId="77777777" w:rsidR="0012457D" w:rsidRDefault="0012457D" w:rsidP="0023436D">
      <w:pPr>
        <w:widowControl w:val="0"/>
        <w:jc w:val="center"/>
        <w:rPr>
          <w:b/>
          <w:bCs/>
          <w:color w:val="000000"/>
          <w:sz w:val="32"/>
          <w:szCs w:val="32"/>
          <w:u w:val="single"/>
        </w:rPr>
      </w:pPr>
    </w:p>
    <w:sdt>
      <w:sdtPr>
        <w:id w:val="1495304204"/>
        <w:docPartObj>
          <w:docPartGallery w:val="Cover Pages"/>
          <w:docPartUnique/>
        </w:docPartObj>
      </w:sdtPr>
      <w:sdtEndPr>
        <w:rPr>
          <w:rFonts w:asciiTheme="majorHAnsi" w:hAnsiTheme="majorHAnsi"/>
          <w:b/>
          <w:smallCaps/>
          <w:sz w:val="32"/>
          <w:szCs w:val="32"/>
        </w:rPr>
      </w:sdtEndPr>
      <w:sdtContent>
        <w:p w14:paraId="3277CC38" w14:textId="77777777" w:rsidR="0012457D" w:rsidRDefault="0012457D">
          <w:r>
            <w:rPr>
              <w:noProof/>
            </w:rPr>
            <mc:AlternateContent>
              <mc:Choice Requires="wps">
                <w:drawing>
                  <wp:anchor distT="0" distB="0" distL="114300" distR="114300" simplePos="0" relativeHeight="251664384" behindDoc="0" locked="0" layoutInCell="1" allowOverlap="1" wp14:anchorId="2690CDC7" wp14:editId="1C3307C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4445"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p w14:paraId="27C7E0C8" w14:textId="77777777" w:rsidR="00AD20EE" w:rsidRDefault="00AD20EE">
                                <w:pPr>
                                  <w:pStyle w:val="Title"/>
                                  <w:jc w:val="right"/>
                                  <w:rPr>
                                    <w:caps/>
                                    <w:color w:val="FFFFFF" w:themeColor="background1"/>
                                    <w:sz w:val="80"/>
                                    <w:szCs w:val="80"/>
                                  </w:rPr>
                                </w:pPr>
                              </w:p>
                              <w:p w14:paraId="0CA755AF" w14:textId="0E8D5014" w:rsidR="00AD20EE" w:rsidRPr="0052225A" w:rsidRDefault="00AD20EE" w:rsidP="0052225A">
                                <w:pPr>
                                  <w:ind w:left="360"/>
                                  <w:rPr>
                                    <w:rFonts w:asciiTheme="majorHAnsi" w:hAnsiTheme="majorHAnsi"/>
                                    <w:color w:val="FFFFFF" w:themeColor="background1"/>
                                    <w:sz w:val="80"/>
                                    <w:szCs w:val="80"/>
                                  </w:rPr>
                                </w:pPr>
                                <w:r w:rsidRPr="0052225A">
                                  <w:rPr>
                                    <w:rFonts w:asciiTheme="majorHAnsi" w:hAnsiTheme="majorHAnsi"/>
                                    <w:color w:val="FFFFFF" w:themeColor="background1"/>
                                    <w:sz w:val="80"/>
                                    <w:szCs w:val="80"/>
                                  </w:rPr>
                                  <w:t>LOCAL GOVERNMENT WATER-CLIMATE PLANNING</w:t>
                                </w:r>
                              </w:p>
                              <w:p w14:paraId="4ED13B74" w14:textId="77777777" w:rsidR="00AD20EE" w:rsidRDefault="00AD20EE" w:rsidP="0052225A">
                                <w:pPr>
                                  <w:rPr>
                                    <w:rFonts w:asciiTheme="majorHAnsi" w:hAnsiTheme="majorHAnsi"/>
                                    <w:sz w:val="80"/>
                                    <w:szCs w:val="80"/>
                                  </w:rPr>
                                </w:pPr>
                              </w:p>
                              <w:p w14:paraId="3E80BE7A" w14:textId="77777777" w:rsidR="00AD20EE" w:rsidRDefault="00AD20EE" w:rsidP="0012457D"/>
                              <w:p w14:paraId="66F55494" w14:textId="77777777" w:rsidR="00AD20EE" w:rsidRPr="0012457D" w:rsidRDefault="00AD20EE" w:rsidP="0012457D"/>
                              <w:p w14:paraId="2BE2FFEC" w14:textId="77777777" w:rsidR="00AD20EE" w:rsidRPr="0012457D" w:rsidRDefault="00AD20EE" w:rsidP="0012457D"/>
                              <w:p w14:paraId="7D9D3B66" w14:textId="3A1FD1EC" w:rsidR="00AD20EE" w:rsidRPr="0012457D" w:rsidRDefault="00AD20EE" w:rsidP="0012457D">
                                <w:r w:rsidRPr="0052225A">
                                  <w:rPr>
                                    <w:noProof/>
                                  </w:rPr>
                                  <w:drawing>
                                    <wp:inline distT="0" distB="0" distL="0" distR="0" wp14:anchorId="0FCE46F3" wp14:editId="6AD28D50">
                                      <wp:extent cx="4810125" cy="24012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2401214"/>
                                              </a:xfrm>
                                              <a:prstGeom prst="rect">
                                                <a:avLst/>
                                              </a:prstGeom>
                                              <a:ln>
                                                <a:noFill/>
                                              </a:ln>
                                              <a:effectLst>
                                                <a:softEdge rad="112500"/>
                                              </a:effectLst>
                                            </pic:spPr>
                                          </pic:pic>
                                        </a:graphicData>
                                      </a:graphic>
                                    </wp:inline>
                                  </w:drawing>
                                </w:r>
                              </w:p>
                              <w:p w14:paraId="7A0B554D" w14:textId="1CD20B3F" w:rsidR="00AD20EE" w:rsidRDefault="00AD20EE" w:rsidP="0052225A">
                                <w:pPr>
                                  <w:pStyle w:val="Title"/>
                                  <w:jc w:val="right"/>
                                  <w:rPr>
                                    <w:color w:val="FFFFFF" w:themeColor="background1"/>
                                    <w:sz w:val="21"/>
                                    <w:szCs w:val="21"/>
                                  </w:rPr>
                                </w:pPr>
                                <w:r>
                                  <w:rPr>
                                    <w:caps/>
                                    <w:color w:val="FFFFFF" w:themeColor="background1"/>
                                    <w:sz w:val="80"/>
                                    <w:szCs w:val="80"/>
                                  </w:rPr>
                                  <w:t xml:space="preserve"> </w:t>
                                </w:r>
                              </w:p>
                              <w:p w14:paraId="1FD459F2" w14:textId="77777777" w:rsidR="00AD20EE" w:rsidRDefault="00AD20EE" w:rsidP="00674BE1">
                                <w:pPr>
                                  <w:ind w:left="1008"/>
                                  <w:jc w:val="right"/>
                                  <w:rPr>
                                    <w:color w:val="FFFFFF" w:themeColor="background1"/>
                                    <w:sz w:val="21"/>
                                    <w:szCs w:val="21"/>
                                  </w:rPr>
                                </w:pPr>
                              </w:p>
                              <w:p w14:paraId="308B4CD7" w14:textId="77777777" w:rsidR="00AD20EE" w:rsidRDefault="00AD20EE" w:rsidP="00674BE1">
                                <w:pPr>
                                  <w:ind w:left="1008"/>
                                  <w:jc w:val="right"/>
                                  <w:rPr>
                                    <w:color w:val="FFFFFF" w:themeColor="background1"/>
                                    <w:sz w:val="21"/>
                                    <w:szCs w:val="21"/>
                                  </w:rPr>
                                </w:pPr>
                              </w:p>
                              <w:p w14:paraId="6B0FA939" w14:textId="77777777" w:rsidR="00AD20EE" w:rsidRDefault="00AD20EE" w:rsidP="00674BE1">
                                <w:pPr>
                                  <w:ind w:left="1008"/>
                                  <w:jc w:val="right"/>
                                  <w:rPr>
                                    <w:color w:val="FFFFFF" w:themeColor="background1"/>
                                    <w:sz w:val="21"/>
                                    <w:szCs w:val="21"/>
                                  </w:rPr>
                                </w:pPr>
                              </w:p>
                              <w:p w14:paraId="52DBD6BC" w14:textId="597A2632" w:rsidR="00AD20EE" w:rsidRDefault="00AD20EE" w:rsidP="00C13193">
                                <w:pPr>
                                  <w:jc w:val="center"/>
                                  <w:rPr>
                                    <w:rFonts w:asciiTheme="majorHAnsi" w:hAnsiTheme="majorHAnsi" w:cstheme="minorHAnsi"/>
                                    <w:color w:val="FFFFFF" w:themeColor="background1"/>
                                    <w:sz w:val="40"/>
                                    <w:szCs w:val="40"/>
                                  </w:rPr>
                                </w:pPr>
                                <w:r>
                                  <w:rPr>
                                    <w:rFonts w:asciiTheme="majorHAnsi" w:hAnsiTheme="majorHAnsi" w:cstheme="minorHAnsi"/>
                                    <w:color w:val="FFFFFF" w:themeColor="background1"/>
                                    <w:sz w:val="40"/>
                                    <w:szCs w:val="40"/>
                                  </w:rPr>
                                  <w:t xml:space="preserve">WORKING </w:t>
                                </w:r>
                                <w:r w:rsidR="009A6DF3">
                                  <w:rPr>
                                    <w:rFonts w:asciiTheme="majorHAnsi" w:hAnsiTheme="majorHAnsi" w:cstheme="minorHAnsi"/>
                                    <w:color w:val="FFFFFF" w:themeColor="background1"/>
                                    <w:sz w:val="40"/>
                                    <w:szCs w:val="40"/>
                                  </w:rPr>
                                  <w:t>DRAFT 12/11</w:t>
                                </w:r>
                                <w:r w:rsidRPr="00C13193">
                                  <w:rPr>
                                    <w:rFonts w:asciiTheme="majorHAnsi" w:hAnsiTheme="majorHAnsi" w:cstheme="minorHAnsi"/>
                                    <w:color w:val="FFFFFF" w:themeColor="background1"/>
                                    <w:sz w:val="40"/>
                                    <w:szCs w:val="40"/>
                                  </w:rPr>
                                  <w:t>/14</w:t>
                                </w:r>
                              </w:p>
                              <w:p w14:paraId="59AE8FAC" w14:textId="18CAAAB4" w:rsidR="00AD20EE" w:rsidRPr="00C13193" w:rsidRDefault="00AD20EE" w:rsidP="00C13193">
                                <w:pPr>
                                  <w:jc w:val="center"/>
                                  <w:rPr>
                                    <w:rFonts w:asciiTheme="majorHAnsi" w:hAnsiTheme="majorHAnsi" w:cstheme="minorHAnsi"/>
                                    <w:color w:val="FFFFFF" w:themeColor="background1"/>
                                    <w:sz w:val="40"/>
                                    <w:szCs w:val="40"/>
                                  </w:rPr>
                                </w:pPr>
                                <w:r>
                                  <w:rPr>
                                    <w:rFonts w:asciiTheme="majorHAnsi" w:hAnsiTheme="majorHAnsi" w:cstheme="minorHAnsi"/>
                                    <w:color w:val="FFFFFF" w:themeColor="background1"/>
                                    <w:sz w:val="40"/>
                                    <w:szCs w:val="40"/>
                                  </w:rPr>
                                  <w:t>Not for Distribution</w:t>
                                </w:r>
                              </w:p>
                              <w:p w14:paraId="5C24CB3A" w14:textId="77777777" w:rsidR="00AD20EE" w:rsidRDefault="00AD20EE" w:rsidP="00674BE1">
                                <w:pPr>
                                  <w:ind w:left="1008"/>
                                  <w:jc w:val="right"/>
                                  <w:rPr>
                                    <w:color w:val="FFFFFF" w:themeColor="background1"/>
                                    <w:sz w:val="28"/>
                                    <w:szCs w:val="28"/>
                                  </w:rPr>
                                </w:pPr>
                              </w:p>
                              <w:p w14:paraId="0A9569E8" w14:textId="77777777" w:rsidR="00AD20EE" w:rsidRDefault="00AD20EE" w:rsidP="00674BE1">
                                <w:pPr>
                                  <w:ind w:left="1008"/>
                                  <w:jc w:val="right"/>
                                  <w:rPr>
                                    <w:color w:val="FFFFFF" w:themeColor="background1"/>
                                    <w:sz w:val="28"/>
                                    <w:szCs w:val="28"/>
                                  </w:rPr>
                                </w:pPr>
                              </w:p>
                              <w:p w14:paraId="7B6FAEA6" w14:textId="77777777" w:rsidR="00AD20EE" w:rsidRDefault="00AD20EE" w:rsidP="00674BE1">
                                <w:pPr>
                                  <w:ind w:left="1008"/>
                                  <w:jc w:val="right"/>
                                  <w:rPr>
                                    <w:rFonts w:asciiTheme="minorHAnsi" w:hAnsiTheme="minorHAnsi" w:cstheme="minorHAnsi"/>
                                    <w:color w:val="FFFFFF" w:themeColor="background1"/>
                                    <w:sz w:val="28"/>
                                    <w:szCs w:val="28"/>
                                  </w:rPr>
                                </w:pPr>
                              </w:p>
                              <w:p w14:paraId="50EF3284" w14:textId="77777777" w:rsidR="00AD20EE" w:rsidRPr="0052225A" w:rsidRDefault="00AD20EE" w:rsidP="00674BE1">
                                <w:pPr>
                                  <w:ind w:left="1008"/>
                                  <w:jc w:val="right"/>
                                  <w:rPr>
                                    <w:rFonts w:asciiTheme="minorHAnsi" w:hAnsiTheme="minorHAnsi" w:cstheme="minorHAnsi"/>
                                    <w:color w:val="FFFFFF" w:themeColor="background1"/>
                                    <w:sz w:val="28"/>
                                    <w:szCs w:val="28"/>
                                  </w:rPr>
                                </w:pPr>
                                <w:r w:rsidRPr="0052225A">
                                  <w:rPr>
                                    <w:rFonts w:asciiTheme="minorHAnsi" w:hAnsiTheme="minorHAnsi" w:cstheme="minorHAnsi"/>
                                    <w:color w:val="FFFFFF" w:themeColor="background1"/>
                                    <w:sz w:val="28"/>
                                    <w:szCs w:val="28"/>
                                  </w:rPr>
                                  <w:t xml:space="preserve">Prepared by the </w:t>
                                </w:r>
                                <w:r w:rsidRPr="0052225A">
                                  <w:rPr>
                                    <w:rFonts w:asciiTheme="minorHAnsi" w:hAnsiTheme="minorHAnsi" w:cstheme="minorHAnsi"/>
                                    <w:b/>
                                    <w:smallCaps/>
                                    <w:color w:val="FFFFFF" w:themeColor="background1"/>
                                    <w:sz w:val="28"/>
                                    <w:szCs w:val="28"/>
                                  </w:rPr>
                                  <w:t>Land Use &amp; Natural Resources Clinic</w:t>
                                </w:r>
                                <w:r w:rsidRPr="0052225A">
                                  <w:rPr>
                                    <w:rFonts w:asciiTheme="minorHAnsi" w:hAnsiTheme="minorHAnsi" w:cstheme="minorHAnsi"/>
                                    <w:b/>
                                    <w:color w:val="FFFFFF" w:themeColor="background1"/>
                                    <w:sz w:val="28"/>
                                    <w:szCs w:val="28"/>
                                  </w:rPr>
                                  <w:t xml:space="preserve"> </w:t>
                                </w:r>
                              </w:p>
                              <w:p w14:paraId="0371D503" w14:textId="77777777" w:rsidR="00AD20EE" w:rsidRPr="0052225A" w:rsidRDefault="00AD20EE" w:rsidP="00674BE1">
                                <w:pPr>
                                  <w:ind w:left="1008"/>
                                  <w:jc w:val="right"/>
                                  <w:rPr>
                                    <w:rFonts w:asciiTheme="minorHAnsi" w:hAnsiTheme="minorHAnsi" w:cstheme="minorHAnsi"/>
                                    <w:color w:val="FFFFFF" w:themeColor="background1"/>
                                  </w:rPr>
                                </w:pPr>
                                <w:r w:rsidRPr="0052225A">
                                  <w:rPr>
                                    <w:rFonts w:asciiTheme="minorHAnsi" w:hAnsiTheme="minorHAnsi" w:cstheme="minorHAnsi"/>
                                    <w:color w:val="FFFFFF" w:themeColor="background1"/>
                                  </w:rPr>
                                  <w:t>University of Montana School of Law</w:t>
                                </w:r>
                              </w:p>
                              <w:p w14:paraId="41058C83" w14:textId="77777777" w:rsidR="00AD20EE" w:rsidRPr="0052225A" w:rsidRDefault="00AD20EE" w:rsidP="00674BE1">
                                <w:pPr>
                                  <w:ind w:left="1008"/>
                                  <w:jc w:val="right"/>
                                  <w:rPr>
                                    <w:rFonts w:asciiTheme="minorHAnsi" w:hAnsiTheme="minorHAnsi" w:cstheme="minorHAnsi"/>
                                    <w:color w:val="FFFFFF" w:themeColor="background1"/>
                                  </w:rPr>
                                </w:pPr>
                              </w:p>
                              <w:p w14:paraId="0CEC4ED1" w14:textId="48FF897A" w:rsidR="00AD20EE" w:rsidRPr="0052225A" w:rsidRDefault="00AD20EE" w:rsidP="00674BE1">
                                <w:pPr>
                                  <w:ind w:left="1008"/>
                                  <w:jc w:val="right"/>
                                  <w:rPr>
                                    <w:rFonts w:asciiTheme="minorHAnsi" w:hAnsiTheme="minorHAnsi" w:cstheme="minorHAnsi"/>
                                    <w:color w:val="FFFFFF" w:themeColor="background1"/>
                                  </w:rPr>
                                </w:pPr>
                                <w:r>
                                  <w:rPr>
                                    <w:rFonts w:asciiTheme="minorHAnsi" w:hAnsiTheme="minorHAnsi" w:cstheme="minorHAnsi"/>
                                    <w:color w:val="FFFFFF" w:themeColor="background1"/>
                                  </w:rPr>
                                  <w:t>Fall</w:t>
                                </w:r>
                                <w:r w:rsidRPr="0052225A">
                                  <w:rPr>
                                    <w:rFonts w:asciiTheme="minorHAnsi" w:hAnsiTheme="minorHAnsi" w:cstheme="minorHAnsi"/>
                                    <w:color w:val="FFFFFF" w:themeColor="background1"/>
                                  </w:rPr>
                                  <w:t xml:space="preserve"> 2014</w:t>
                                </w:r>
                              </w:p>
                              <w:p w14:paraId="60985781" w14:textId="77777777" w:rsidR="00AD20EE" w:rsidRDefault="00AD20EE" w:rsidP="00674BE1">
                                <w:pPr>
                                  <w:ind w:left="1008"/>
                                  <w:jc w:val="right"/>
                                  <w:rPr>
                                    <w:color w:val="FFFFFF" w:themeColor="background1"/>
                                    <w:sz w:val="21"/>
                                    <w:szCs w:val="21"/>
                                  </w:rPr>
                                </w:pPr>
                              </w:p>
                              <w:p w14:paraId="4F61D6D0" w14:textId="77777777" w:rsidR="00AD20EE" w:rsidRDefault="00AD20EE" w:rsidP="00674BE1">
                                <w:pPr>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690CDC7" id="Rectangle 16" o:spid="_x0000_s1026" style="position:absolute;margin-left:0;margin-top:0;width:422.3pt;height:760.1pt;z-index:25166438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p w14:paraId="27C7E0C8" w14:textId="77777777" w:rsidR="00AD20EE" w:rsidRDefault="00AD20EE">
                          <w:pPr>
                            <w:pStyle w:val="Title"/>
                            <w:jc w:val="right"/>
                            <w:rPr>
                              <w:caps/>
                              <w:color w:val="FFFFFF" w:themeColor="background1"/>
                              <w:sz w:val="80"/>
                              <w:szCs w:val="80"/>
                            </w:rPr>
                          </w:pPr>
                        </w:p>
                        <w:p w14:paraId="0CA755AF" w14:textId="0E8D5014" w:rsidR="00AD20EE" w:rsidRPr="0052225A" w:rsidRDefault="00AD20EE" w:rsidP="0052225A">
                          <w:pPr>
                            <w:ind w:left="360"/>
                            <w:rPr>
                              <w:rFonts w:asciiTheme="majorHAnsi" w:hAnsiTheme="majorHAnsi"/>
                              <w:color w:val="FFFFFF" w:themeColor="background1"/>
                              <w:sz w:val="80"/>
                              <w:szCs w:val="80"/>
                            </w:rPr>
                          </w:pPr>
                          <w:r w:rsidRPr="0052225A">
                            <w:rPr>
                              <w:rFonts w:asciiTheme="majorHAnsi" w:hAnsiTheme="majorHAnsi"/>
                              <w:color w:val="FFFFFF" w:themeColor="background1"/>
                              <w:sz w:val="80"/>
                              <w:szCs w:val="80"/>
                            </w:rPr>
                            <w:t>LOCAL GOVERNMENT WATER-CLIMATE PLANNING</w:t>
                          </w:r>
                        </w:p>
                        <w:p w14:paraId="4ED13B74" w14:textId="77777777" w:rsidR="00AD20EE" w:rsidRDefault="00AD20EE" w:rsidP="0052225A">
                          <w:pPr>
                            <w:rPr>
                              <w:rFonts w:asciiTheme="majorHAnsi" w:hAnsiTheme="majorHAnsi"/>
                              <w:sz w:val="80"/>
                              <w:szCs w:val="80"/>
                            </w:rPr>
                          </w:pPr>
                        </w:p>
                        <w:p w14:paraId="3E80BE7A" w14:textId="77777777" w:rsidR="00AD20EE" w:rsidRDefault="00AD20EE" w:rsidP="0012457D"/>
                        <w:p w14:paraId="66F55494" w14:textId="77777777" w:rsidR="00AD20EE" w:rsidRPr="0012457D" w:rsidRDefault="00AD20EE" w:rsidP="0012457D"/>
                        <w:p w14:paraId="2BE2FFEC" w14:textId="77777777" w:rsidR="00AD20EE" w:rsidRPr="0012457D" w:rsidRDefault="00AD20EE" w:rsidP="0012457D"/>
                        <w:p w14:paraId="7D9D3B66" w14:textId="3A1FD1EC" w:rsidR="00AD20EE" w:rsidRPr="0012457D" w:rsidRDefault="00AD20EE" w:rsidP="0012457D">
                          <w:r w:rsidRPr="0052225A">
                            <w:rPr>
                              <w:noProof/>
                            </w:rPr>
                            <w:drawing>
                              <wp:inline distT="0" distB="0" distL="0" distR="0" wp14:anchorId="0FCE46F3" wp14:editId="6AD28D50">
                                <wp:extent cx="4810125" cy="24012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2401214"/>
                                        </a:xfrm>
                                        <a:prstGeom prst="rect">
                                          <a:avLst/>
                                        </a:prstGeom>
                                        <a:ln>
                                          <a:noFill/>
                                        </a:ln>
                                        <a:effectLst>
                                          <a:softEdge rad="112500"/>
                                        </a:effectLst>
                                      </pic:spPr>
                                    </pic:pic>
                                  </a:graphicData>
                                </a:graphic>
                              </wp:inline>
                            </w:drawing>
                          </w:r>
                        </w:p>
                        <w:p w14:paraId="7A0B554D" w14:textId="1CD20B3F" w:rsidR="00AD20EE" w:rsidRDefault="00AD20EE" w:rsidP="0052225A">
                          <w:pPr>
                            <w:pStyle w:val="Title"/>
                            <w:jc w:val="right"/>
                            <w:rPr>
                              <w:color w:val="FFFFFF" w:themeColor="background1"/>
                              <w:sz w:val="21"/>
                              <w:szCs w:val="21"/>
                            </w:rPr>
                          </w:pPr>
                          <w:r>
                            <w:rPr>
                              <w:caps/>
                              <w:color w:val="FFFFFF" w:themeColor="background1"/>
                              <w:sz w:val="80"/>
                              <w:szCs w:val="80"/>
                            </w:rPr>
                            <w:t xml:space="preserve"> </w:t>
                          </w:r>
                        </w:p>
                        <w:p w14:paraId="1FD459F2" w14:textId="77777777" w:rsidR="00AD20EE" w:rsidRDefault="00AD20EE" w:rsidP="00674BE1">
                          <w:pPr>
                            <w:ind w:left="1008"/>
                            <w:jc w:val="right"/>
                            <w:rPr>
                              <w:color w:val="FFFFFF" w:themeColor="background1"/>
                              <w:sz w:val="21"/>
                              <w:szCs w:val="21"/>
                            </w:rPr>
                          </w:pPr>
                        </w:p>
                        <w:p w14:paraId="308B4CD7" w14:textId="77777777" w:rsidR="00AD20EE" w:rsidRDefault="00AD20EE" w:rsidP="00674BE1">
                          <w:pPr>
                            <w:ind w:left="1008"/>
                            <w:jc w:val="right"/>
                            <w:rPr>
                              <w:color w:val="FFFFFF" w:themeColor="background1"/>
                              <w:sz w:val="21"/>
                              <w:szCs w:val="21"/>
                            </w:rPr>
                          </w:pPr>
                        </w:p>
                        <w:p w14:paraId="6B0FA939" w14:textId="77777777" w:rsidR="00AD20EE" w:rsidRDefault="00AD20EE" w:rsidP="00674BE1">
                          <w:pPr>
                            <w:ind w:left="1008"/>
                            <w:jc w:val="right"/>
                            <w:rPr>
                              <w:color w:val="FFFFFF" w:themeColor="background1"/>
                              <w:sz w:val="21"/>
                              <w:szCs w:val="21"/>
                            </w:rPr>
                          </w:pPr>
                        </w:p>
                        <w:p w14:paraId="52DBD6BC" w14:textId="597A2632" w:rsidR="00AD20EE" w:rsidRDefault="00AD20EE" w:rsidP="00C13193">
                          <w:pPr>
                            <w:jc w:val="center"/>
                            <w:rPr>
                              <w:rFonts w:asciiTheme="majorHAnsi" w:hAnsiTheme="majorHAnsi" w:cstheme="minorHAnsi"/>
                              <w:color w:val="FFFFFF" w:themeColor="background1"/>
                              <w:sz w:val="40"/>
                              <w:szCs w:val="40"/>
                            </w:rPr>
                          </w:pPr>
                          <w:r>
                            <w:rPr>
                              <w:rFonts w:asciiTheme="majorHAnsi" w:hAnsiTheme="majorHAnsi" w:cstheme="minorHAnsi"/>
                              <w:color w:val="FFFFFF" w:themeColor="background1"/>
                              <w:sz w:val="40"/>
                              <w:szCs w:val="40"/>
                            </w:rPr>
                            <w:t xml:space="preserve">WORKING </w:t>
                          </w:r>
                          <w:r w:rsidR="009A6DF3">
                            <w:rPr>
                              <w:rFonts w:asciiTheme="majorHAnsi" w:hAnsiTheme="majorHAnsi" w:cstheme="minorHAnsi"/>
                              <w:color w:val="FFFFFF" w:themeColor="background1"/>
                              <w:sz w:val="40"/>
                              <w:szCs w:val="40"/>
                            </w:rPr>
                            <w:t>DRAFT 12/11</w:t>
                          </w:r>
                          <w:r w:rsidRPr="00C13193">
                            <w:rPr>
                              <w:rFonts w:asciiTheme="majorHAnsi" w:hAnsiTheme="majorHAnsi" w:cstheme="minorHAnsi"/>
                              <w:color w:val="FFFFFF" w:themeColor="background1"/>
                              <w:sz w:val="40"/>
                              <w:szCs w:val="40"/>
                            </w:rPr>
                            <w:t>/14</w:t>
                          </w:r>
                        </w:p>
                        <w:p w14:paraId="59AE8FAC" w14:textId="18CAAAB4" w:rsidR="00AD20EE" w:rsidRPr="00C13193" w:rsidRDefault="00AD20EE" w:rsidP="00C13193">
                          <w:pPr>
                            <w:jc w:val="center"/>
                            <w:rPr>
                              <w:rFonts w:asciiTheme="majorHAnsi" w:hAnsiTheme="majorHAnsi" w:cstheme="minorHAnsi"/>
                              <w:color w:val="FFFFFF" w:themeColor="background1"/>
                              <w:sz w:val="40"/>
                              <w:szCs w:val="40"/>
                            </w:rPr>
                          </w:pPr>
                          <w:r>
                            <w:rPr>
                              <w:rFonts w:asciiTheme="majorHAnsi" w:hAnsiTheme="majorHAnsi" w:cstheme="minorHAnsi"/>
                              <w:color w:val="FFFFFF" w:themeColor="background1"/>
                              <w:sz w:val="40"/>
                              <w:szCs w:val="40"/>
                            </w:rPr>
                            <w:t>Not for Distribution</w:t>
                          </w:r>
                        </w:p>
                        <w:p w14:paraId="5C24CB3A" w14:textId="77777777" w:rsidR="00AD20EE" w:rsidRDefault="00AD20EE" w:rsidP="00674BE1">
                          <w:pPr>
                            <w:ind w:left="1008"/>
                            <w:jc w:val="right"/>
                            <w:rPr>
                              <w:color w:val="FFFFFF" w:themeColor="background1"/>
                              <w:sz w:val="28"/>
                              <w:szCs w:val="28"/>
                            </w:rPr>
                          </w:pPr>
                        </w:p>
                        <w:p w14:paraId="0A9569E8" w14:textId="77777777" w:rsidR="00AD20EE" w:rsidRDefault="00AD20EE" w:rsidP="00674BE1">
                          <w:pPr>
                            <w:ind w:left="1008"/>
                            <w:jc w:val="right"/>
                            <w:rPr>
                              <w:color w:val="FFFFFF" w:themeColor="background1"/>
                              <w:sz w:val="28"/>
                              <w:szCs w:val="28"/>
                            </w:rPr>
                          </w:pPr>
                        </w:p>
                        <w:p w14:paraId="7B6FAEA6" w14:textId="77777777" w:rsidR="00AD20EE" w:rsidRDefault="00AD20EE" w:rsidP="00674BE1">
                          <w:pPr>
                            <w:ind w:left="1008"/>
                            <w:jc w:val="right"/>
                            <w:rPr>
                              <w:rFonts w:asciiTheme="minorHAnsi" w:hAnsiTheme="minorHAnsi" w:cstheme="minorHAnsi"/>
                              <w:color w:val="FFFFFF" w:themeColor="background1"/>
                              <w:sz w:val="28"/>
                              <w:szCs w:val="28"/>
                            </w:rPr>
                          </w:pPr>
                        </w:p>
                        <w:p w14:paraId="50EF3284" w14:textId="77777777" w:rsidR="00AD20EE" w:rsidRPr="0052225A" w:rsidRDefault="00AD20EE" w:rsidP="00674BE1">
                          <w:pPr>
                            <w:ind w:left="1008"/>
                            <w:jc w:val="right"/>
                            <w:rPr>
                              <w:rFonts w:asciiTheme="minorHAnsi" w:hAnsiTheme="minorHAnsi" w:cstheme="minorHAnsi"/>
                              <w:color w:val="FFFFFF" w:themeColor="background1"/>
                              <w:sz w:val="28"/>
                              <w:szCs w:val="28"/>
                            </w:rPr>
                          </w:pPr>
                          <w:r w:rsidRPr="0052225A">
                            <w:rPr>
                              <w:rFonts w:asciiTheme="minorHAnsi" w:hAnsiTheme="minorHAnsi" w:cstheme="minorHAnsi"/>
                              <w:color w:val="FFFFFF" w:themeColor="background1"/>
                              <w:sz w:val="28"/>
                              <w:szCs w:val="28"/>
                            </w:rPr>
                            <w:t xml:space="preserve">Prepared by the </w:t>
                          </w:r>
                          <w:r w:rsidRPr="0052225A">
                            <w:rPr>
                              <w:rFonts w:asciiTheme="minorHAnsi" w:hAnsiTheme="minorHAnsi" w:cstheme="minorHAnsi"/>
                              <w:b/>
                              <w:smallCaps/>
                              <w:color w:val="FFFFFF" w:themeColor="background1"/>
                              <w:sz w:val="28"/>
                              <w:szCs w:val="28"/>
                            </w:rPr>
                            <w:t>Land Use &amp; Natural Resources Clinic</w:t>
                          </w:r>
                          <w:r w:rsidRPr="0052225A">
                            <w:rPr>
                              <w:rFonts w:asciiTheme="minorHAnsi" w:hAnsiTheme="minorHAnsi" w:cstheme="minorHAnsi"/>
                              <w:b/>
                              <w:color w:val="FFFFFF" w:themeColor="background1"/>
                              <w:sz w:val="28"/>
                              <w:szCs w:val="28"/>
                            </w:rPr>
                            <w:t xml:space="preserve"> </w:t>
                          </w:r>
                        </w:p>
                        <w:p w14:paraId="0371D503" w14:textId="77777777" w:rsidR="00AD20EE" w:rsidRPr="0052225A" w:rsidRDefault="00AD20EE" w:rsidP="00674BE1">
                          <w:pPr>
                            <w:ind w:left="1008"/>
                            <w:jc w:val="right"/>
                            <w:rPr>
                              <w:rFonts w:asciiTheme="minorHAnsi" w:hAnsiTheme="minorHAnsi" w:cstheme="minorHAnsi"/>
                              <w:color w:val="FFFFFF" w:themeColor="background1"/>
                            </w:rPr>
                          </w:pPr>
                          <w:r w:rsidRPr="0052225A">
                            <w:rPr>
                              <w:rFonts w:asciiTheme="minorHAnsi" w:hAnsiTheme="minorHAnsi" w:cstheme="minorHAnsi"/>
                              <w:color w:val="FFFFFF" w:themeColor="background1"/>
                            </w:rPr>
                            <w:t>University of Montana School of Law</w:t>
                          </w:r>
                        </w:p>
                        <w:p w14:paraId="41058C83" w14:textId="77777777" w:rsidR="00AD20EE" w:rsidRPr="0052225A" w:rsidRDefault="00AD20EE" w:rsidP="00674BE1">
                          <w:pPr>
                            <w:ind w:left="1008"/>
                            <w:jc w:val="right"/>
                            <w:rPr>
                              <w:rFonts w:asciiTheme="minorHAnsi" w:hAnsiTheme="minorHAnsi" w:cstheme="minorHAnsi"/>
                              <w:color w:val="FFFFFF" w:themeColor="background1"/>
                            </w:rPr>
                          </w:pPr>
                        </w:p>
                        <w:p w14:paraId="0CEC4ED1" w14:textId="48FF897A" w:rsidR="00AD20EE" w:rsidRPr="0052225A" w:rsidRDefault="00AD20EE" w:rsidP="00674BE1">
                          <w:pPr>
                            <w:ind w:left="1008"/>
                            <w:jc w:val="right"/>
                            <w:rPr>
                              <w:rFonts w:asciiTheme="minorHAnsi" w:hAnsiTheme="minorHAnsi" w:cstheme="minorHAnsi"/>
                              <w:color w:val="FFFFFF" w:themeColor="background1"/>
                            </w:rPr>
                          </w:pPr>
                          <w:r>
                            <w:rPr>
                              <w:rFonts w:asciiTheme="minorHAnsi" w:hAnsiTheme="minorHAnsi" w:cstheme="minorHAnsi"/>
                              <w:color w:val="FFFFFF" w:themeColor="background1"/>
                            </w:rPr>
                            <w:t>Fall</w:t>
                          </w:r>
                          <w:r w:rsidRPr="0052225A">
                            <w:rPr>
                              <w:rFonts w:asciiTheme="minorHAnsi" w:hAnsiTheme="minorHAnsi" w:cstheme="minorHAnsi"/>
                              <w:color w:val="FFFFFF" w:themeColor="background1"/>
                            </w:rPr>
                            <w:t xml:space="preserve"> 2014</w:t>
                          </w:r>
                        </w:p>
                        <w:p w14:paraId="60985781" w14:textId="77777777" w:rsidR="00AD20EE" w:rsidRDefault="00AD20EE" w:rsidP="00674BE1">
                          <w:pPr>
                            <w:ind w:left="1008"/>
                            <w:jc w:val="right"/>
                            <w:rPr>
                              <w:color w:val="FFFFFF" w:themeColor="background1"/>
                              <w:sz w:val="21"/>
                              <w:szCs w:val="21"/>
                            </w:rPr>
                          </w:pPr>
                        </w:p>
                        <w:p w14:paraId="4F61D6D0" w14:textId="77777777" w:rsidR="00AD20EE" w:rsidRDefault="00AD20EE" w:rsidP="00674BE1">
                          <w:pPr>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6CBD8DB7" wp14:editId="3EF2A96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AD96D" w14:textId="77777777" w:rsidR="00AD20EE" w:rsidRDefault="00AD20EE">
                                <w:pPr>
                                  <w:pStyle w:val="Subtitle"/>
                                  <w:rPr>
                                    <w:rFonts w:cstheme="minorBidi"/>
                                    <w:color w:val="FFFFFF" w:themeColor="background1"/>
                                    <w:sz w:val="28"/>
                                    <w:szCs w:val="28"/>
                                  </w:rPr>
                                </w:pPr>
                              </w:p>
                              <w:p w14:paraId="3EF43212" w14:textId="77777777" w:rsidR="00AD20EE" w:rsidRDefault="00AD20EE">
                                <w:pPr>
                                  <w:pStyle w:val="Subtitle"/>
                                  <w:rPr>
                                    <w:rFonts w:cstheme="minorBidi"/>
                                    <w:color w:val="FFFFFF" w:themeColor="background1"/>
                                    <w:sz w:val="28"/>
                                    <w:szCs w:val="28"/>
                                  </w:rPr>
                                </w:pPr>
                              </w:p>
                              <w:p w14:paraId="39319F9A" w14:textId="77777777" w:rsidR="00AD20EE" w:rsidRDefault="00AD20EE">
                                <w:pPr>
                                  <w:pStyle w:val="Subtitle"/>
                                  <w:rPr>
                                    <w:rFonts w:cstheme="minorBidi"/>
                                    <w:color w:val="FFFFFF" w:themeColor="background1"/>
                                    <w:sz w:val="28"/>
                                    <w:szCs w:val="28"/>
                                  </w:rPr>
                                </w:pPr>
                              </w:p>
                              <w:p w14:paraId="3FC4A03A" w14:textId="77777777" w:rsidR="00AD20EE" w:rsidRDefault="00AD20EE">
                                <w:pPr>
                                  <w:pStyle w:val="Subtitle"/>
                                  <w:rPr>
                                    <w:rFonts w:cstheme="minorBidi"/>
                                    <w:color w:val="FFFFFF" w:themeColor="background1"/>
                                    <w:sz w:val="28"/>
                                    <w:szCs w:val="28"/>
                                  </w:rPr>
                                </w:pPr>
                              </w:p>
                              <w:p w14:paraId="75439D45" w14:textId="77777777" w:rsidR="00AD20EE" w:rsidRDefault="00AD20EE">
                                <w:pPr>
                                  <w:pStyle w:val="Subtitle"/>
                                  <w:rPr>
                                    <w:rFonts w:cstheme="minorBidi"/>
                                    <w:color w:val="FFFFFF" w:themeColor="background1"/>
                                    <w:sz w:val="28"/>
                                    <w:szCs w:val="28"/>
                                  </w:rPr>
                                </w:pPr>
                              </w:p>
                              <w:p w14:paraId="3DF555DB" w14:textId="77777777" w:rsidR="00AD20EE" w:rsidRDefault="00AD20EE">
                                <w:pPr>
                                  <w:pStyle w:val="Subtitle"/>
                                  <w:rPr>
                                    <w:rFonts w:cstheme="minorBidi"/>
                                    <w:color w:val="FFFFFF" w:themeColor="background1"/>
                                    <w:sz w:val="28"/>
                                    <w:szCs w:val="28"/>
                                  </w:rPr>
                                </w:pPr>
                              </w:p>
                              <w:p w14:paraId="07EB7AB8" w14:textId="77777777" w:rsidR="00AD20EE" w:rsidRDefault="00AD20EE">
                                <w:pPr>
                                  <w:pStyle w:val="Subtitle"/>
                                  <w:rPr>
                                    <w:rFonts w:cstheme="minorBidi"/>
                                    <w:color w:val="FFFFFF" w:themeColor="background1"/>
                                    <w:sz w:val="28"/>
                                    <w:szCs w:val="28"/>
                                  </w:rPr>
                                </w:pPr>
                              </w:p>
                              <w:p w14:paraId="6FCF953F" w14:textId="77777777" w:rsidR="00AD20EE" w:rsidRDefault="00AD20EE">
                                <w:pPr>
                                  <w:pStyle w:val="Subtitle"/>
                                  <w:rPr>
                                    <w:rFonts w:cstheme="minorBidi"/>
                                    <w:color w:val="FFFFFF" w:themeColor="background1"/>
                                    <w:sz w:val="28"/>
                                    <w:szCs w:val="28"/>
                                  </w:rPr>
                                </w:pPr>
                              </w:p>
                              <w:p w14:paraId="099D78C4" w14:textId="77777777" w:rsidR="00AD20EE" w:rsidRDefault="00AD20EE">
                                <w:pPr>
                                  <w:pStyle w:val="Subtitle"/>
                                  <w:rPr>
                                    <w:rFonts w:cstheme="minorBidi"/>
                                    <w:color w:val="FFFFFF" w:themeColor="background1"/>
                                    <w:sz w:val="28"/>
                                    <w:szCs w:val="28"/>
                                  </w:rPr>
                                </w:pPr>
                              </w:p>
                              <w:p w14:paraId="21A39E5B" w14:textId="77777777" w:rsidR="00AD20EE" w:rsidRDefault="00AD20EE" w:rsidP="0052225A">
                                <w:pPr>
                                  <w:pStyle w:val="Subtitle"/>
                                  <w:spacing w:after="0"/>
                                  <w:rPr>
                                    <w:rFonts w:cstheme="minorHAnsi"/>
                                    <w:color w:val="FFFFFF" w:themeColor="background1"/>
                                    <w:sz w:val="32"/>
                                    <w:szCs w:val="32"/>
                                  </w:rPr>
                                </w:pPr>
                              </w:p>
                              <w:p w14:paraId="1CFEBD23" w14:textId="77777777" w:rsidR="00AD20EE" w:rsidRDefault="00AD20EE" w:rsidP="0052225A">
                                <w:pPr>
                                  <w:pStyle w:val="Subtitle"/>
                                  <w:spacing w:after="0"/>
                                  <w:rPr>
                                    <w:rFonts w:cstheme="minorHAnsi"/>
                                    <w:color w:val="FFFFFF" w:themeColor="background1"/>
                                    <w:sz w:val="32"/>
                                    <w:szCs w:val="32"/>
                                  </w:rPr>
                                </w:pPr>
                              </w:p>
                              <w:p w14:paraId="082CE8C4" w14:textId="77777777" w:rsidR="00AD20EE" w:rsidRDefault="00AD20EE" w:rsidP="0052225A">
                                <w:pPr>
                                  <w:pStyle w:val="Subtitle"/>
                                  <w:spacing w:after="0"/>
                                  <w:rPr>
                                    <w:rFonts w:cstheme="minorHAnsi"/>
                                    <w:color w:val="FFFFFF" w:themeColor="background1"/>
                                    <w:sz w:val="32"/>
                                    <w:szCs w:val="32"/>
                                  </w:rPr>
                                </w:pPr>
                              </w:p>
                              <w:p w14:paraId="757F535F" w14:textId="77777777" w:rsidR="00AD20EE" w:rsidRPr="0052225A" w:rsidRDefault="00AD20EE" w:rsidP="0052225A">
                                <w:pPr>
                                  <w:pStyle w:val="Subtitle"/>
                                  <w:spacing w:after="0"/>
                                  <w:rPr>
                                    <w:rFonts w:cstheme="minorHAnsi"/>
                                    <w:color w:val="FFFFFF" w:themeColor="background1"/>
                                    <w:sz w:val="32"/>
                                    <w:szCs w:val="32"/>
                                  </w:rPr>
                                </w:pPr>
                                <w:r w:rsidRPr="0052225A">
                                  <w:rPr>
                                    <w:rFonts w:cstheme="minorHAnsi"/>
                                    <w:color w:val="FFFFFF" w:themeColor="background1"/>
                                    <w:sz w:val="32"/>
                                    <w:szCs w:val="32"/>
                                  </w:rPr>
                                  <w:t xml:space="preserve">Model </w:t>
                                </w:r>
                              </w:p>
                              <w:p w14:paraId="0DC3994B" w14:textId="727E6CB5" w:rsidR="00AD20EE" w:rsidRPr="0052225A" w:rsidRDefault="00AD20EE" w:rsidP="0052225A">
                                <w:pPr>
                                  <w:pStyle w:val="Subtitle"/>
                                  <w:rPr>
                                    <w:rFonts w:cstheme="minorHAnsi"/>
                                    <w:color w:val="FFFFFF" w:themeColor="background1"/>
                                    <w:sz w:val="32"/>
                                    <w:szCs w:val="32"/>
                                  </w:rPr>
                                </w:pPr>
                                <w:r w:rsidRPr="0052225A">
                                  <w:rPr>
                                    <w:rFonts w:cstheme="minorHAnsi"/>
                                    <w:color w:val="FFFFFF" w:themeColor="background1"/>
                                    <w:sz w:val="32"/>
                                    <w:szCs w:val="32"/>
                                  </w:rPr>
                                  <w:t>Enabling Legislation</w:t>
                                </w:r>
                                <w:r>
                                  <w:rPr>
                                    <w:rFonts w:cstheme="minorHAnsi"/>
                                    <w:color w:val="FFFFFF" w:themeColor="background1"/>
                                    <w:sz w:val="32"/>
                                    <w:szCs w:val="32"/>
                                  </w:rPr>
                                  <w:t xml:space="preserve"> </w:t>
                                </w:r>
                                <w:r w:rsidRPr="0052225A">
                                  <w:rPr>
                                    <w:rFonts w:cstheme="minorHAnsi"/>
                                    <w:color w:val="FFFFFF" w:themeColor="background1"/>
                                    <w:sz w:val="32"/>
                                    <w:szCs w:val="32"/>
                                  </w:rPr>
                                  <w:t xml:space="preserve"> </w:t>
                                </w:r>
                              </w:p>
                              <w:p w14:paraId="64100D69" w14:textId="56DF574D" w:rsidR="00AD20EE" w:rsidRDefault="00AD20EE" w:rsidP="0052225A">
                                <w:pPr>
                                  <w:rPr>
                                    <w:rFonts w:asciiTheme="minorHAnsi" w:hAnsiTheme="minorHAnsi" w:cstheme="minorHAnsi"/>
                                    <w:sz w:val="32"/>
                                    <w:szCs w:val="32"/>
                                  </w:rPr>
                                </w:pPr>
                                <w:proofErr w:type="gramStart"/>
                                <w:r>
                                  <w:rPr>
                                    <w:rFonts w:asciiTheme="minorHAnsi" w:hAnsiTheme="minorHAnsi" w:cstheme="minorHAnsi"/>
                                    <w:sz w:val="32"/>
                                    <w:szCs w:val="32"/>
                                  </w:rPr>
                                  <w:t>and</w:t>
                                </w:r>
                                <w:proofErr w:type="gramEnd"/>
                              </w:p>
                              <w:p w14:paraId="6748AF87" w14:textId="7F177BE0" w:rsidR="00AD20EE" w:rsidRPr="0052225A" w:rsidRDefault="00AD20EE" w:rsidP="004A0791">
                                <w:pPr>
                                  <w:spacing w:before="240"/>
                                  <w:rPr>
                                    <w:rFonts w:asciiTheme="minorHAnsi" w:hAnsiTheme="minorHAnsi" w:cstheme="minorHAnsi"/>
                                    <w:sz w:val="32"/>
                                    <w:szCs w:val="32"/>
                                  </w:rPr>
                                </w:pPr>
                                <w:r>
                                  <w:rPr>
                                    <w:rFonts w:asciiTheme="minorHAnsi" w:hAnsiTheme="minorHAnsi" w:cstheme="minorHAnsi"/>
                                    <w:sz w:val="32"/>
                                    <w:szCs w:val="32"/>
                                  </w:rPr>
                                  <w:t>Supporting</w:t>
                                </w:r>
                                <w:r w:rsidRPr="0052225A">
                                  <w:rPr>
                                    <w:rFonts w:asciiTheme="minorHAnsi" w:hAnsiTheme="minorHAnsi" w:cstheme="minorHAnsi"/>
                                    <w:sz w:val="32"/>
                                    <w:szCs w:val="32"/>
                                  </w:rPr>
                                  <w:t xml:space="preserve"> </w:t>
                                </w:r>
                              </w:p>
                              <w:p w14:paraId="5ED4B270" w14:textId="07CBA6FD" w:rsidR="00AD20EE" w:rsidRPr="0052225A" w:rsidRDefault="00AD20EE" w:rsidP="00674BE1">
                                <w:pPr>
                                  <w:rPr>
                                    <w:rFonts w:asciiTheme="minorHAnsi" w:hAnsiTheme="minorHAnsi" w:cstheme="minorHAnsi"/>
                                    <w:sz w:val="32"/>
                                    <w:szCs w:val="32"/>
                                  </w:rPr>
                                </w:pPr>
                                <w:r>
                                  <w:rPr>
                                    <w:rFonts w:asciiTheme="minorHAnsi" w:hAnsiTheme="minorHAnsi" w:cstheme="minorHAnsi"/>
                                    <w:sz w:val="32"/>
                                    <w:szCs w:val="32"/>
                                  </w:rPr>
                                  <w:t>Arguments</w:t>
                                </w:r>
                              </w:p>
                              <w:p w14:paraId="20CE5226" w14:textId="77777777" w:rsidR="00AD20EE" w:rsidRDefault="00AD20EE" w:rsidP="00674BE1"/>
                              <w:p w14:paraId="049EB173" w14:textId="77777777" w:rsidR="00AD20EE" w:rsidRDefault="00AD20EE" w:rsidP="00674BE1"/>
                              <w:p w14:paraId="570A32A9" w14:textId="77777777" w:rsidR="00AD20EE" w:rsidRDefault="00AD20EE" w:rsidP="00674BE1"/>
                              <w:p w14:paraId="3D466BD7" w14:textId="77777777" w:rsidR="00AD20EE" w:rsidRDefault="00AD20EE" w:rsidP="00674BE1"/>
                              <w:p w14:paraId="51A3E6E7" w14:textId="77777777" w:rsidR="00AD20EE" w:rsidRDefault="00AD20EE" w:rsidP="00674BE1"/>
                              <w:p w14:paraId="17DE16EB" w14:textId="77777777" w:rsidR="00AD20EE" w:rsidRDefault="00AD20EE" w:rsidP="00674BE1"/>
                              <w:p w14:paraId="3E21F789" w14:textId="77777777" w:rsidR="00AD20EE" w:rsidRDefault="00AD20EE" w:rsidP="00674BE1"/>
                              <w:p w14:paraId="66A396D1" w14:textId="77777777" w:rsidR="00AD20EE" w:rsidRDefault="00AD20EE" w:rsidP="00674BE1"/>
                              <w:p w14:paraId="2CDDC08B" w14:textId="77777777" w:rsidR="00AD20EE" w:rsidRDefault="00AD20EE" w:rsidP="00674BE1"/>
                              <w:p w14:paraId="52306E8F" w14:textId="77777777" w:rsidR="00AD20EE" w:rsidRDefault="00AD20EE" w:rsidP="00674BE1"/>
                              <w:p w14:paraId="270E4A87" w14:textId="77777777" w:rsidR="00AD20EE" w:rsidRDefault="00AD20EE" w:rsidP="00674BE1"/>
                              <w:p w14:paraId="6A4DEA11" w14:textId="77777777" w:rsidR="00AD20EE" w:rsidRDefault="00AD20EE" w:rsidP="00674BE1"/>
                              <w:p w14:paraId="03087550" w14:textId="77777777" w:rsidR="00AD20EE" w:rsidRDefault="00AD20EE" w:rsidP="00674BE1"/>
                              <w:p w14:paraId="76892240" w14:textId="77777777" w:rsidR="00AD20EE" w:rsidRDefault="00AD20EE" w:rsidP="00674BE1"/>
                              <w:p w14:paraId="05F3E731" w14:textId="77777777" w:rsidR="00AD20EE" w:rsidRDefault="00AD20EE" w:rsidP="00674BE1"/>
                              <w:p w14:paraId="78F9099B" w14:textId="77777777" w:rsidR="00AD20EE" w:rsidRDefault="00AD20EE" w:rsidP="00674BE1"/>
                              <w:p w14:paraId="4A1983E3" w14:textId="77777777" w:rsidR="00AD20EE" w:rsidRDefault="00AD20EE" w:rsidP="00674BE1"/>
                              <w:p w14:paraId="4FE58304" w14:textId="77777777" w:rsidR="00AD20EE" w:rsidRDefault="00AD20EE" w:rsidP="00674BE1"/>
                              <w:p w14:paraId="2808B795" w14:textId="77777777" w:rsidR="00AD20EE" w:rsidRDefault="00AD20EE" w:rsidP="00674BE1">
                                <w:r w:rsidRPr="00C07BD8">
                                  <w:rPr>
                                    <w:noProof/>
                                  </w:rPr>
                                  <w:drawing>
                                    <wp:inline distT="0" distB="0" distL="0" distR="0" wp14:anchorId="307E2BF8" wp14:editId="73698748">
                                      <wp:extent cx="1484630" cy="557530"/>
                                      <wp:effectExtent l="0" t="0" r="1270" b="0"/>
                                      <wp:docPr id="2" name="Picture 2" descr="C:\Users\michelle.bryanmudd\AppData\Local\Microsoft\Windows\Temporary Internet Files\Content.IE5\CZB9G0SD\UM-Law-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ryanmudd\AppData\Local\Microsoft\Windows\Temporary Internet Files\Content.IE5\CZB9G0SD\UM-Law-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30" cy="557530"/>
                                              </a:xfrm>
                                              <a:prstGeom prst="rect">
                                                <a:avLst/>
                                              </a:prstGeom>
                                              <a:noFill/>
                                              <a:ln>
                                                <a:noFill/>
                                              </a:ln>
                                            </pic:spPr>
                                          </pic:pic>
                                        </a:graphicData>
                                      </a:graphic>
                                    </wp:inline>
                                  </w:drawing>
                                </w:r>
                              </w:p>
                              <w:p w14:paraId="71779B2E" w14:textId="77777777" w:rsidR="00AD20EE" w:rsidRDefault="00AD20EE" w:rsidP="00674BE1"/>
                              <w:p w14:paraId="14891B91" w14:textId="77777777" w:rsidR="00AD20EE" w:rsidRDefault="00AD20EE" w:rsidP="00674BE1"/>
                              <w:p w14:paraId="6AF333DC" w14:textId="77777777" w:rsidR="00AD20EE" w:rsidRDefault="00AD20EE" w:rsidP="00674BE1"/>
                              <w:p w14:paraId="0F1962E1" w14:textId="77777777" w:rsidR="00AD20EE" w:rsidRDefault="00AD20EE" w:rsidP="00674BE1"/>
                              <w:p w14:paraId="5BF31133" w14:textId="77777777" w:rsidR="00AD20EE" w:rsidRDefault="00AD20EE" w:rsidP="00674BE1"/>
                              <w:p w14:paraId="16E7CBF7" w14:textId="77777777" w:rsidR="00AD20EE" w:rsidRDefault="00AD20EE" w:rsidP="00674BE1"/>
                              <w:p w14:paraId="55886E90" w14:textId="77777777" w:rsidR="00AD20EE" w:rsidRDefault="00AD20EE" w:rsidP="00674BE1"/>
                              <w:p w14:paraId="6E066E1D" w14:textId="77777777" w:rsidR="00AD20EE" w:rsidRDefault="00AD20EE" w:rsidP="00674BE1"/>
                              <w:p w14:paraId="07BB4CA5" w14:textId="77777777" w:rsidR="00AD20EE" w:rsidRDefault="00AD20EE" w:rsidP="00674BE1"/>
                              <w:p w14:paraId="3777FE07" w14:textId="77777777" w:rsidR="00AD20EE" w:rsidRDefault="00AD20EE" w:rsidP="00674BE1"/>
                              <w:p w14:paraId="11593334" w14:textId="77777777" w:rsidR="00AD20EE" w:rsidRDefault="00AD20EE" w:rsidP="00674BE1"/>
                              <w:p w14:paraId="260E1182" w14:textId="77777777" w:rsidR="00AD20EE" w:rsidRPr="002D7979" w:rsidRDefault="00AD20EE" w:rsidP="00674BE1"/>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CBD8DB7" id="Rectangle 472" o:spid="_x0000_s1027" style="position:absolute;margin-left:0;margin-top:0;width:148.1pt;height:760.3pt;z-index:25166540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777AD96D" w14:textId="77777777" w:rsidR="00AD20EE" w:rsidRDefault="00AD20EE">
                          <w:pPr>
                            <w:pStyle w:val="Subtitle"/>
                            <w:rPr>
                              <w:rFonts w:cstheme="minorBidi"/>
                              <w:color w:val="FFFFFF" w:themeColor="background1"/>
                              <w:sz w:val="28"/>
                              <w:szCs w:val="28"/>
                            </w:rPr>
                          </w:pPr>
                        </w:p>
                        <w:p w14:paraId="3EF43212" w14:textId="77777777" w:rsidR="00AD20EE" w:rsidRDefault="00AD20EE">
                          <w:pPr>
                            <w:pStyle w:val="Subtitle"/>
                            <w:rPr>
                              <w:rFonts w:cstheme="minorBidi"/>
                              <w:color w:val="FFFFFF" w:themeColor="background1"/>
                              <w:sz w:val="28"/>
                              <w:szCs w:val="28"/>
                            </w:rPr>
                          </w:pPr>
                        </w:p>
                        <w:p w14:paraId="39319F9A" w14:textId="77777777" w:rsidR="00AD20EE" w:rsidRDefault="00AD20EE">
                          <w:pPr>
                            <w:pStyle w:val="Subtitle"/>
                            <w:rPr>
                              <w:rFonts w:cstheme="minorBidi"/>
                              <w:color w:val="FFFFFF" w:themeColor="background1"/>
                              <w:sz w:val="28"/>
                              <w:szCs w:val="28"/>
                            </w:rPr>
                          </w:pPr>
                        </w:p>
                        <w:p w14:paraId="3FC4A03A" w14:textId="77777777" w:rsidR="00AD20EE" w:rsidRDefault="00AD20EE">
                          <w:pPr>
                            <w:pStyle w:val="Subtitle"/>
                            <w:rPr>
                              <w:rFonts w:cstheme="minorBidi"/>
                              <w:color w:val="FFFFFF" w:themeColor="background1"/>
                              <w:sz w:val="28"/>
                              <w:szCs w:val="28"/>
                            </w:rPr>
                          </w:pPr>
                        </w:p>
                        <w:p w14:paraId="75439D45" w14:textId="77777777" w:rsidR="00AD20EE" w:rsidRDefault="00AD20EE">
                          <w:pPr>
                            <w:pStyle w:val="Subtitle"/>
                            <w:rPr>
                              <w:rFonts w:cstheme="minorBidi"/>
                              <w:color w:val="FFFFFF" w:themeColor="background1"/>
                              <w:sz w:val="28"/>
                              <w:szCs w:val="28"/>
                            </w:rPr>
                          </w:pPr>
                        </w:p>
                        <w:p w14:paraId="3DF555DB" w14:textId="77777777" w:rsidR="00AD20EE" w:rsidRDefault="00AD20EE">
                          <w:pPr>
                            <w:pStyle w:val="Subtitle"/>
                            <w:rPr>
                              <w:rFonts w:cstheme="minorBidi"/>
                              <w:color w:val="FFFFFF" w:themeColor="background1"/>
                              <w:sz w:val="28"/>
                              <w:szCs w:val="28"/>
                            </w:rPr>
                          </w:pPr>
                        </w:p>
                        <w:p w14:paraId="07EB7AB8" w14:textId="77777777" w:rsidR="00AD20EE" w:rsidRDefault="00AD20EE">
                          <w:pPr>
                            <w:pStyle w:val="Subtitle"/>
                            <w:rPr>
                              <w:rFonts w:cstheme="minorBidi"/>
                              <w:color w:val="FFFFFF" w:themeColor="background1"/>
                              <w:sz w:val="28"/>
                              <w:szCs w:val="28"/>
                            </w:rPr>
                          </w:pPr>
                        </w:p>
                        <w:p w14:paraId="6FCF953F" w14:textId="77777777" w:rsidR="00AD20EE" w:rsidRDefault="00AD20EE">
                          <w:pPr>
                            <w:pStyle w:val="Subtitle"/>
                            <w:rPr>
                              <w:rFonts w:cstheme="minorBidi"/>
                              <w:color w:val="FFFFFF" w:themeColor="background1"/>
                              <w:sz w:val="28"/>
                              <w:szCs w:val="28"/>
                            </w:rPr>
                          </w:pPr>
                        </w:p>
                        <w:p w14:paraId="099D78C4" w14:textId="77777777" w:rsidR="00AD20EE" w:rsidRDefault="00AD20EE">
                          <w:pPr>
                            <w:pStyle w:val="Subtitle"/>
                            <w:rPr>
                              <w:rFonts w:cstheme="minorBidi"/>
                              <w:color w:val="FFFFFF" w:themeColor="background1"/>
                              <w:sz w:val="28"/>
                              <w:szCs w:val="28"/>
                            </w:rPr>
                          </w:pPr>
                        </w:p>
                        <w:p w14:paraId="21A39E5B" w14:textId="77777777" w:rsidR="00AD20EE" w:rsidRDefault="00AD20EE" w:rsidP="0052225A">
                          <w:pPr>
                            <w:pStyle w:val="Subtitle"/>
                            <w:spacing w:after="0"/>
                            <w:rPr>
                              <w:rFonts w:cstheme="minorHAnsi"/>
                              <w:color w:val="FFFFFF" w:themeColor="background1"/>
                              <w:sz w:val="32"/>
                              <w:szCs w:val="32"/>
                            </w:rPr>
                          </w:pPr>
                        </w:p>
                        <w:p w14:paraId="1CFEBD23" w14:textId="77777777" w:rsidR="00AD20EE" w:rsidRDefault="00AD20EE" w:rsidP="0052225A">
                          <w:pPr>
                            <w:pStyle w:val="Subtitle"/>
                            <w:spacing w:after="0"/>
                            <w:rPr>
                              <w:rFonts w:cstheme="minorHAnsi"/>
                              <w:color w:val="FFFFFF" w:themeColor="background1"/>
                              <w:sz w:val="32"/>
                              <w:szCs w:val="32"/>
                            </w:rPr>
                          </w:pPr>
                        </w:p>
                        <w:p w14:paraId="082CE8C4" w14:textId="77777777" w:rsidR="00AD20EE" w:rsidRDefault="00AD20EE" w:rsidP="0052225A">
                          <w:pPr>
                            <w:pStyle w:val="Subtitle"/>
                            <w:spacing w:after="0"/>
                            <w:rPr>
                              <w:rFonts w:cstheme="minorHAnsi"/>
                              <w:color w:val="FFFFFF" w:themeColor="background1"/>
                              <w:sz w:val="32"/>
                              <w:szCs w:val="32"/>
                            </w:rPr>
                          </w:pPr>
                        </w:p>
                        <w:p w14:paraId="757F535F" w14:textId="77777777" w:rsidR="00AD20EE" w:rsidRPr="0052225A" w:rsidRDefault="00AD20EE" w:rsidP="0052225A">
                          <w:pPr>
                            <w:pStyle w:val="Subtitle"/>
                            <w:spacing w:after="0"/>
                            <w:rPr>
                              <w:rFonts w:cstheme="minorHAnsi"/>
                              <w:color w:val="FFFFFF" w:themeColor="background1"/>
                              <w:sz w:val="32"/>
                              <w:szCs w:val="32"/>
                            </w:rPr>
                          </w:pPr>
                          <w:r w:rsidRPr="0052225A">
                            <w:rPr>
                              <w:rFonts w:cstheme="minorHAnsi"/>
                              <w:color w:val="FFFFFF" w:themeColor="background1"/>
                              <w:sz w:val="32"/>
                              <w:szCs w:val="32"/>
                            </w:rPr>
                            <w:t xml:space="preserve">Model </w:t>
                          </w:r>
                        </w:p>
                        <w:p w14:paraId="0DC3994B" w14:textId="727E6CB5" w:rsidR="00AD20EE" w:rsidRPr="0052225A" w:rsidRDefault="00AD20EE" w:rsidP="0052225A">
                          <w:pPr>
                            <w:pStyle w:val="Subtitle"/>
                            <w:rPr>
                              <w:rFonts w:cstheme="minorHAnsi"/>
                              <w:color w:val="FFFFFF" w:themeColor="background1"/>
                              <w:sz w:val="32"/>
                              <w:szCs w:val="32"/>
                            </w:rPr>
                          </w:pPr>
                          <w:r w:rsidRPr="0052225A">
                            <w:rPr>
                              <w:rFonts w:cstheme="minorHAnsi"/>
                              <w:color w:val="FFFFFF" w:themeColor="background1"/>
                              <w:sz w:val="32"/>
                              <w:szCs w:val="32"/>
                            </w:rPr>
                            <w:t>Enabling Legislation</w:t>
                          </w:r>
                          <w:r>
                            <w:rPr>
                              <w:rFonts w:cstheme="minorHAnsi"/>
                              <w:color w:val="FFFFFF" w:themeColor="background1"/>
                              <w:sz w:val="32"/>
                              <w:szCs w:val="32"/>
                            </w:rPr>
                            <w:t xml:space="preserve"> </w:t>
                          </w:r>
                          <w:r w:rsidRPr="0052225A">
                            <w:rPr>
                              <w:rFonts w:cstheme="minorHAnsi"/>
                              <w:color w:val="FFFFFF" w:themeColor="background1"/>
                              <w:sz w:val="32"/>
                              <w:szCs w:val="32"/>
                            </w:rPr>
                            <w:t xml:space="preserve"> </w:t>
                          </w:r>
                        </w:p>
                        <w:p w14:paraId="64100D69" w14:textId="56DF574D" w:rsidR="00AD20EE" w:rsidRDefault="00AD20EE" w:rsidP="0052225A">
                          <w:pPr>
                            <w:rPr>
                              <w:rFonts w:asciiTheme="minorHAnsi" w:hAnsiTheme="minorHAnsi" w:cstheme="minorHAnsi"/>
                              <w:sz w:val="32"/>
                              <w:szCs w:val="32"/>
                            </w:rPr>
                          </w:pPr>
                          <w:proofErr w:type="gramStart"/>
                          <w:r>
                            <w:rPr>
                              <w:rFonts w:asciiTheme="minorHAnsi" w:hAnsiTheme="minorHAnsi" w:cstheme="minorHAnsi"/>
                              <w:sz w:val="32"/>
                              <w:szCs w:val="32"/>
                            </w:rPr>
                            <w:t>and</w:t>
                          </w:r>
                          <w:proofErr w:type="gramEnd"/>
                        </w:p>
                        <w:p w14:paraId="6748AF87" w14:textId="7F177BE0" w:rsidR="00AD20EE" w:rsidRPr="0052225A" w:rsidRDefault="00AD20EE" w:rsidP="004A0791">
                          <w:pPr>
                            <w:spacing w:before="240"/>
                            <w:rPr>
                              <w:rFonts w:asciiTheme="minorHAnsi" w:hAnsiTheme="minorHAnsi" w:cstheme="minorHAnsi"/>
                              <w:sz w:val="32"/>
                              <w:szCs w:val="32"/>
                            </w:rPr>
                          </w:pPr>
                          <w:r>
                            <w:rPr>
                              <w:rFonts w:asciiTheme="minorHAnsi" w:hAnsiTheme="minorHAnsi" w:cstheme="minorHAnsi"/>
                              <w:sz w:val="32"/>
                              <w:szCs w:val="32"/>
                            </w:rPr>
                            <w:t>Supporting</w:t>
                          </w:r>
                          <w:r w:rsidRPr="0052225A">
                            <w:rPr>
                              <w:rFonts w:asciiTheme="minorHAnsi" w:hAnsiTheme="minorHAnsi" w:cstheme="minorHAnsi"/>
                              <w:sz w:val="32"/>
                              <w:szCs w:val="32"/>
                            </w:rPr>
                            <w:t xml:space="preserve"> </w:t>
                          </w:r>
                        </w:p>
                        <w:p w14:paraId="5ED4B270" w14:textId="07CBA6FD" w:rsidR="00AD20EE" w:rsidRPr="0052225A" w:rsidRDefault="00AD20EE" w:rsidP="00674BE1">
                          <w:pPr>
                            <w:rPr>
                              <w:rFonts w:asciiTheme="minorHAnsi" w:hAnsiTheme="minorHAnsi" w:cstheme="minorHAnsi"/>
                              <w:sz w:val="32"/>
                              <w:szCs w:val="32"/>
                            </w:rPr>
                          </w:pPr>
                          <w:r>
                            <w:rPr>
                              <w:rFonts w:asciiTheme="minorHAnsi" w:hAnsiTheme="minorHAnsi" w:cstheme="minorHAnsi"/>
                              <w:sz w:val="32"/>
                              <w:szCs w:val="32"/>
                            </w:rPr>
                            <w:t>Arguments</w:t>
                          </w:r>
                        </w:p>
                        <w:p w14:paraId="20CE5226" w14:textId="77777777" w:rsidR="00AD20EE" w:rsidRDefault="00AD20EE" w:rsidP="00674BE1"/>
                        <w:p w14:paraId="049EB173" w14:textId="77777777" w:rsidR="00AD20EE" w:rsidRDefault="00AD20EE" w:rsidP="00674BE1"/>
                        <w:p w14:paraId="570A32A9" w14:textId="77777777" w:rsidR="00AD20EE" w:rsidRDefault="00AD20EE" w:rsidP="00674BE1"/>
                        <w:p w14:paraId="3D466BD7" w14:textId="77777777" w:rsidR="00AD20EE" w:rsidRDefault="00AD20EE" w:rsidP="00674BE1"/>
                        <w:p w14:paraId="51A3E6E7" w14:textId="77777777" w:rsidR="00AD20EE" w:rsidRDefault="00AD20EE" w:rsidP="00674BE1"/>
                        <w:p w14:paraId="17DE16EB" w14:textId="77777777" w:rsidR="00AD20EE" w:rsidRDefault="00AD20EE" w:rsidP="00674BE1"/>
                        <w:p w14:paraId="3E21F789" w14:textId="77777777" w:rsidR="00AD20EE" w:rsidRDefault="00AD20EE" w:rsidP="00674BE1"/>
                        <w:p w14:paraId="66A396D1" w14:textId="77777777" w:rsidR="00AD20EE" w:rsidRDefault="00AD20EE" w:rsidP="00674BE1"/>
                        <w:p w14:paraId="2CDDC08B" w14:textId="77777777" w:rsidR="00AD20EE" w:rsidRDefault="00AD20EE" w:rsidP="00674BE1"/>
                        <w:p w14:paraId="52306E8F" w14:textId="77777777" w:rsidR="00AD20EE" w:rsidRDefault="00AD20EE" w:rsidP="00674BE1"/>
                        <w:p w14:paraId="270E4A87" w14:textId="77777777" w:rsidR="00AD20EE" w:rsidRDefault="00AD20EE" w:rsidP="00674BE1"/>
                        <w:p w14:paraId="6A4DEA11" w14:textId="77777777" w:rsidR="00AD20EE" w:rsidRDefault="00AD20EE" w:rsidP="00674BE1"/>
                        <w:p w14:paraId="03087550" w14:textId="77777777" w:rsidR="00AD20EE" w:rsidRDefault="00AD20EE" w:rsidP="00674BE1"/>
                        <w:p w14:paraId="76892240" w14:textId="77777777" w:rsidR="00AD20EE" w:rsidRDefault="00AD20EE" w:rsidP="00674BE1"/>
                        <w:p w14:paraId="05F3E731" w14:textId="77777777" w:rsidR="00AD20EE" w:rsidRDefault="00AD20EE" w:rsidP="00674BE1"/>
                        <w:p w14:paraId="78F9099B" w14:textId="77777777" w:rsidR="00AD20EE" w:rsidRDefault="00AD20EE" w:rsidP="00674BE1"/>
                        <w:p w14:paraId="4A1983E3" w14:textId="77777777" w:rsidR="00AD20EE" w:rsidRDefault="00AD20EE" w:rsidP="00674BE1"/>
                        <w:p w14:paraId="4FE58304" w14:textId="77777777" w:rsidR="00AD20EE" w:rsidRDefault="00AD20EE" w:rsidP="00674BE1"/>
                        <w:p w14:paraId="2808B795" w14:textId="77777777" w:rsidR="00AD20EE" w:rsidRDefault="00AD20EE" w:rsidP="00674BE1">
                          <w:r w:rsidRPr="00C07BD8">
                            <w:rPr>
                              <w:noProof/>
                            </w:rPr>
                            <w:drawing>
                              <wp:inline distT="0" distB="0" distL="0" distR="0" wp14:anchorId="307E2BF8" wp14:editId="73698748">
                                <wp:extent cx="1484630" cy="557530"/>
                                <wp:effectExtent l="0" t="0" r="1270" b="0"/>
                                <wp:docPr id="2" name="Picture 2" descr="C:\Users\michelle.bryanmudd\AppData\Local\Microsoft\Windows\Temporary Internet Files\Content.IE5\CZB9G0SD\UM-Law-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ryanmudd\AppData\Local\Microsoft\Windows\Temporary Internet Files\Content.IE5\CZB9G0SD\UM-Law-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30" cy="557530"/>
                                        </a:xfrm>
                                        <a:prstGeom prst="rect">
                                          <a:avLst/>
                                        </a:prstGeom>
                                        <a:noFill/>
                                        <a:ln>
                                          <a:noFill/>
                                        </a:ln>
                                      </pic:spPr>
                                    </pic:pic>
                                  </a:graphicData>
                                </a:graphic>
                              </wp:inline>
                            </w:drawing>
                          </w:r>
                        </w:p>
                        <w:p w14:paraId="71779B2E" w14:textId="77777777" w:rsidR="00AD20EE" w:rsidRDefault="00AD20EE" w:rsidP="00674BE1"/>
                        <w:p w14:paraId="14891B91" w14:textId="77777777" w:rsidR="00AD20EE" w:rsidRDefault="00AD20EE" w:rsidP="00674BE1"/>
                        <w:p w14:paraId="6AF333DC" w14:textId="77777777" w:rsidR="00AD20EE" w:rsidRDefault="00AD20EE" w:rsidP="00674BE1"/>
                        <w:p w14:paraId="0F1962E1" w14:textId="77777777" w:rsidR="00AD20EE" w:rsidRDefault="00AD20EE" w:rsidP="00674BE1"/>
                        <w:p w14:paraId="5BF31133" w14:textId="77777777" w:rsidR="00AD20EE" w:rsidRDefault="00AD20EE" w:rsidP="00674BE1"/>
                        <w:p w14:paraId="16E7CBF7" w14:textId="77777777" w:rsidR="00AD20EE" w:rsidRDefault="00AD20EE" w:rsidP="00674BE1"/>
                        <w:p w14:paraId="55886E90" w14:textId="77777777" w:rsidR="00AD20EE" w:rsidRDefault="00AD20EE" w:rsidP="00674BE1"/>
                        <w:p w14:paraId="6E066E1D" w14:textId="77777777" w:rsidR="00AD20EE" w:rsidRDefault="00AD20EE" w:rsidP="00674BE1"/>
                        <w:p w14:paraId="07BB4CA5" w14:textId="77777777" w:rsidR="00AD20EE" w:rsidRDefault="00AD20EE" w:rsidP="00674BE1"/>
                        <w:p w14:paraId="3777FE07" w14:textId="77777777" w:rsidR="00AD20EE" w:rsidRDefault="00AD20EE" w:rsidP="00674BE1"/>
                        <w:p w14:paraId="11593334" w14:textId="77777777" w:rsidR="00AD20EE" w:rsidRDefault="00AD20EE" w:rsidP="00674BE1"/>
                        <w:p w14:paraId="260E1182" w14:textId="77777777" w:rsidR="00AD20EE" w:rsidRPr="002D7979" w:rsidRDefault="00AD20EE" w:rsidP="00674BE1"/>
                      </w:txbxContent>
                    </v:textbox>
                    <w10:wrap anchorx="page" anchory="page"/>
                  </v:rect>
                </w:pict>
              </mc:Fallback>
            </mc:AlternateContent>
          </w:r>
        </w:p>
        <w:p w14:paraId="38E24BF2" w14:textId="77777777" w:rsidR="0012457D" w:rsidRDefault="0012457D"/>
        <w:p w14:paraId="5C886751" w14:textId="77777777" w:rsidR="0012457D" w:rsidRDefault="0012457D">
          <w:pPr>
            <w:rPr>
              <w:rFonts w:asciiTheme="majorHAnsi" w:hAnsiTheme="majorHAnsi"/>
              <w:b/>
              <w:smallCaps/>
              <w:sz w:val="32"/>
              <w:szCs w:val="32"/>
            </w:rPr>
          </w:pPr>
          <w:r>
            <w:rPr>
              <w:rFonts w:asciiTheme="majorHAnsi" w:hAnsiTheme="majorHAnsi"/>
              <w:b/>
              <w:smallCaps/>
              <w:noProof/>
              <w:sz w:val="32"/>
              <w:szCs w:val="32"/>
            </w:rPr>
            <mc:AlternateContent>
              <mc:Choice Requires="wps">
                <w:drawing>
                  <wp:anchor distT="0" distB="0" distL="114300" distR="114300" simplePos="0" relativeHeight="251666432" behindDoc="0" locked="0" layoutInCell="1" allowOverlap="1" wp14:anchorId="7E5AB5DA" wp14:editId="71B673F2">
                    <wp:simplePos x="0" y="0"/>
                    <wp:positionH relativeFrom="column">
                      <wp:posOffset>-337185</wp:posOffset>
                    </wp:positionH>
                    <wp:positionV relativeFrom="paragraph">
                      <wp:posOffset>2363470</wp:posOffset>
                    </wp:positionV>
                    <wp:extent cx="4572000" cy="19455"/>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4572000" cy="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CE9CB" id="Straight Connector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6.55pt,186.1pt" to="333.4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" strokecolor="black [3200]" strokeweight=".5pt">
                    <v:stroke joinstyle="miter"/>
                  </v:line>
                </w:pict>
              </mc:Fallback>
            </mc:AlternateContent>
          </w:r>
          <w:r>
            <w:rPr>
              <w:rFonts w:asciiTheme="majorHAnsi" w:hAnsiTheme="majorHAnsi"/>
              <w:b/>
              <w:smallCaps/>
              <w:sz w:val="32"/>
              <w:szCs w:val="32"/>
            </w:rPr>
            <w:br w:type="page"/>
          </w:r>
        </w:p>
      </w:sdtContent>
    </w:sdt>
    <w:p w14:paraId="77F0778C" w14:textId="77777777" w:rsidR="0012457D" w:rsidRPr="00A241C3" w:rsidRDefault="0012457D" w:rsidP="00674BE1">
      <w:pPr>
        <w:rPr>
          <w:rFonts w:asciiTheme="minorHAnsi" w:hAnsiTheme="minorHAnsi" w:cstheme="minorHAnsi"/>
          <w:b/>
          <w:smallCaps/>
          <w:sz w:val="32"/>
          <w:szCs w:val="32"/>
        </w:rPr>
      </w:pPr>
      <w:r w:rsidRPr="00A241C3">
        <w:rPr>
          <w:rFonts w:asciiTheme="minorHAnsi" w:hAnsiTheme="minorHAnsi" w:cstheme="minorHAnsi"/>
          <w:b/>
          <w:smallCaps/>
          <w:sz w:val="32"/>
          <w:szCs w:val="32"/>
        </w:rPr>
        <w:lastRenderedPageBreak/>
        <w:t>Clinic Students</w:t>
      </w:r>
    </w:p>
    <w:p w14:paraId="5F272FFE" w14:textId="77777777" w:rsidR="0012457D" w:rsidRPr="00A241C3" w:rsidRDefault="0012457D" w:rsidP="00674BE1">
      <w:pPr>
        <w:rPr>
          <w:rFonts w:asciiTheme="minorHAnsi" w:hAnsiTheme="minorHAnsi" w:cstheme="minorHAnsi"/>
        </w:rPr>
      </w:pPr>
    </w:p>
    <w:p w14:paraId="773BEA11" w14:textId="77777777" w:rsidR="009428B8" w:rsidRPr="00A241C3" w:rsidRDefault="009428B8" w:rsidP="009428B8">
      <w:pPr>
        <w:rPr>
          <w:rFonts w:asciiTheme="minorHAnsi" w:hAnsiTheme="minorHAnsi" w:cstheme="minorHAnsi"/>
          <w:sz w:val="26"/>
          <w:szCs w:val="26"/>
        </w:rPr>
      </w:pPr>
      <w:r w:rsidRPr="00A241C3">
        <w:rPr>
          <w:rFonts w:asciiTheme="minorHAnsi" w:hAnsiTheme="minorHAnsi" w:cstheme="minorHAnsi"/>
          <w:sz w:val="26"/>
          <w:szCs w:val="26"/>
        </w:rPr>
        <w:t>Zach Coccoli</w:t>
      </w:r>
    </w:p>
    <w:p w14:paraId="508F7880" w14:textId="77777777" w:rsidR="009428B8" w:rsidRPr="00A241C3" w:rsidRDefault="009428B8" w:rsidP="009428B8">
      <w:pPr>
        <w:rPr>
          <w:rFonts w:asciiTheme="minorHAnsi" w:hAnsiTheme="minorHAnsi" w:cstheme="minorHAnsi"/>
          <w:sz w:val="26"/>
          <w:szCs w:val="26"/>
        </w:rPr>
      </w:pPr>
      <w:r w:rsidRPr="00A241C3">
        <w:rPr>
          <w:rFonts w:asciiTheme="minorHAnsi" w:hAnsiTheme="minorHAnsi" w:cstheme="minorHAnsi"/>
          <w:sz w:val="26"/>
          <w:szCs w:val="26"/>
        </w:rPr>
        <w:t>Graham Coppes</w:t>
      </w:r>
    </w:p>
    <w:p w14:paraId="40360E09" w14:textId="2B0E96C0" w:rsidR="0012457D" w:rsidRPr="00A241C3" w:rsidRDefault="009428B8" w:rsidP="009428B8">
      <w:pPr>
        <w:rPr>
          <w:rFonts w:asciiTheme="minorHAnsi" w:hAnsiTheme="minorHAnsi" w:cstheme="minorHAnsi"/>
          <w:sz w:val="26"/>
          <w:szCs w:val="26"/>
        </w:rPr>
      </w:pPr>
      <w:r w:rsidRPr="00A241C3">
        <w:rPr>
          <w:rFonts w:asciiTheme="minorHAnsi" w:hAnsiTheme="minorHAnsi" w:cstheme="minorHAnsi"/>
          <w:sz w:val="26"/>
          <w:szCs w:val="26"/>
        </w:rPr>
        <w:t>Dylan DesRosier</w:t>
      </w:r>
    </w:p>
    <w:p w14:paraId="74C53D6B" w14:textId="77777777" w:rsidR="0012457D" w:rsidRPr="00A241C3" w:rsidRDefault="0012457D" w:rsidP="00674BE1">
      <w:pPr>
        <w:rPr>
          <w:rFonts w:asciiTheme="minorHAnsi" w:hAnsiTheme="minorHAnsi" w:cstheme="minorHAnsi"/>
        </w:rPr>
      </w:pPr>
    </w:p>
    <w:p w14:paraId="4DD21D05" w14:textId="77777777" w:rsidR="0012457D" w:rsidRPr="00A241C3" w:rsidRDefault="0012457D" w:rsidP="00674BE1">
      <w:pPr>
        <w:rPr>
          <w:rFonts w:asciiTheme="minorHAnsi" w:hAnsiTheme="minorHAnsi" w:cstheme="minorHAnsi"/>
          <w:b/>
          <w:sz w:val="32"/>
          <w:szCs w:val="32"/>
        </w:rPr>
      </w:pPr>
    </w:p>
    <w:p w14:paraId="10B01911" w14:textId="77777777" w:rsidR="0012457D" w:rsidRPr="00A241C3" w:rsidRDefault="0012457D" w:rsidP="00674BE1">
      <w:pPr>
        <w:rPr>
          <w:rFonts w:asciiTheme="minorHAnsi" w:hAnsiTheme="minorHAnsi" w:cstheme="minorHAnsi"/>
          <w:b/>
          <w:smallCaps/>
          <w:sz w:val="32"/>
          <w:szCs w:val="32"/>
        </w:rPr>
      </w:pPr>
      <w:r w:rsidRPr="00A241C3">
        <w:rPr>
          <w:rFonts w:asciiTheme="minorHAnsi" w:hAnsiTheme="minorHAnsi" w:cstheme="minorHAnsi"/>
          <w:b/>
          <w:smallCaps/>
          <w:sz w:val="32"/>
          <w:szCs w:val="32"/>
        </w:rPr>
        <w:t>Clinic Directors</w:t>
      </w:r>
    </w:p>
    <w:p w14:paraId="4EBE6942" w14:textId="77777777" w:rsidR="0012457D" w:rsidRPr="00A241C3" w:rsidRDefault="0012457D" w:rsidP="00674BE1">
      <w:pPr>
        <w:rPr>
          <w:rFonts w:asciiTheme="minorHAnsi" w:hAnsiTheme="minorHAnsi" w:cstheme="minorHAnsi"/>
        </w:rPr>
      </w:pPr>
    </w:p>
    <w:p w14:paraId="79D8D8C6" w14:textId="72531D04" w:rsidR="0012457D" w:rsidRPr="00A241C3" w:rsidRDefault="009428B8" w:rsidP="00674BE1">
      <w:pPr>
        <w:rPr>
          <w:rFonts w:asciiTheme="minorHAnsi" w:hAnsiTheme="minorHAnsi" w:cstheme="minorHAnsi"/>
          <w:sz w:val="26"/>
          <w:szCs w:val="26"/>
        </w:rPr>
      </w:pPr>
      <w:r w:rsidRPr="00A241C3">
        <w:rPr>
          <w:rFonts w:asciiTheme="minorHAnsi" w:hAnsiTheme="minorHAnsi" w:cstheme="minorHAnsi"/>
          <w:sz w:val="26"/>
          <w:szCs w:val="26"/>
        </w:rPr>
        <w:t>Professor Michelle Bryan</w:t>
      </w:r>
      <w:r w:rsidR="0012457D" w:rsidRPr="00A241C3">
        <w:rPr>
          <w:rFonts w:asciiTheme="minorHAnsi" w:hAnsiTheme="minorHAnsi" w:cstheme="minorHAnsi"/>
          <w:sz w:val="26"/>
          <w:szCs w:val="26"/>
        </w:rPr>
        <w:t>, Supervisor</w:t>
      </w:r>
      <w:r w:rsidRPr="00A241C3">
        <w:rPr>
          <w:rFonts w:asciiTheme="minorHAnsi" w:hAnsiTheme="minorHAnsi" w:cstheme="minorHAnsi"/>
          <w:sz w:val="26"/>
          <w:szCs w:val="26"/>
        </w:rPr>
        <w:t xml:space="preserve"> for Project</w:t>
      </w:r>
    </w:p>
    <w:p w14:paraId="0F010EEE" w14:textId="77777777" w:rsidR="0012457D" w:rsidRPr="00A241C3" w:rsidRDefault="0012457D" w:rsidP="00674BE1">
      <w:pPr>
        <w:rPr>
          <w:rFonts w:asciiTheme="minorHAnsi" w:hAnsiTheme="minorHAnsi" w:cstheme="minorHAnsi"/>
          <w:sz w:val="26"/>
          <w:szCs w:val="26"/>
        </w:rPr>
      </w:pPr>
      <w:r w:rsidRPr="00A241C3">
        <w:rPr>
          <w:rFonts w:asciiTheme="minorHAnsi" w:hAnsiTheme="minorHAnsi" w:cstheme="minorHAnsi"/>
          <w:sz w:val="26"/>
          <w:szCs w:val="26"/>
        </w:rPr>
        <w:t>Professor Martha Williams</w:t>
      </w:r>
    </w:p>
    <w:p w14:paraId="36A682A0" w14:textId="77777777" w:rsidR="0012457D" w:rsidRPr="00A241C3" w:rsidRDefault="0012457D" w:rsidP="00674BE1">
      <w:pPr>
        <w:rPr>
          <w:rFonts w:asciiTheme="minorHAnsi" w:hAnsiTheme="minorHAnsi" w:cstheme="minorHAnsi"/>
          <w:sz w:val="28"/>
          <w:szCs w:val="28"/>
        </w:rPr>
      </w:pPr>
    </w:p>
    <w:p w14:paraId="2CEDF683" w14:textId="77777777" w:rsidR="0012457D" w:rsidRPr="00A241C3" w:rsidRDefault="0012457D" w:rsidP="00674BE1">
      <w:pPr>
        <w:rPr>
          <w:rFonts w:asciiTheme="minorHAnsi" w:hAnsiTheme="minorHAnsi" w:cstheme="minorHAnsi"/>
          <w:b/>
          <w:smallCaps/>
          <w:sz w:val="32"/>
          <w:szCs w:val="32"/>
        </w:rPr>
      </w:pPr>
    </w:p>
    <w:p w14:paraId="77DA78F4" w14:textId="77777777" w:rsidR="0012457D" w:rsidRPr="00A241C3" w:rsidRDefault="0012457D" w:rsidP="00674BE1">
      <w:pPr>
        <w:rPr>
          <w:rFonts w:asciiTheme="minorHAnsi" w:hAnsiTheme="minorHAnsi" w:cstheme="minorHAnsi"/>
          <w:b/>
          <w:smallCaps/>
          <w:sz w:val="32"/>
          <w:szCs w:val="32"/>
        </w:rPr>
      </w:pPr>
    </w:p>
    <w:p w14:paraId="135F2506" w14:textId="2DD645CC" w:rsidR="0012457D" w:rsidRPr="00A241C3" w:rsidRDefault="007B2B08" w:rsidP="00674BE1">
      <w:pPr>
        <w:rPr>
          <w:rFonts w:asciiTheme="minorHAnsi" w:hAnsiTheme="minorHAnsi" w:cstheme="minorHAnsi"/>
          <w:b/>
          <w:smallCaps/>
          <w:sz w:val="32"/>
          <w:szCs w:val="32"/>
        </w:rPr>
      </w:pPr>
      <w:r w:rsidRPr="007B2B08">
        <w:rPr>
          <w:rFonts w:asciiTheme="minorHAnsi" w:hAnsiTheme="minorHAnsi" w:cstheme="minorHAnsi"/>
          <w:b/>
          <w:smallCaps/>
          <w:noProof/>
          <w:sz w:val="32"/>
          <w:szCs w:val="32"/>
        </w:rPr>
        <w:drawing>
          <wp:inline distT="0" distB="0" distL="0" distR="0" wp14:anchorId="3CBE2BB1" wp14:editId="5132A828">
            <wp:extent cx="5943600" cy="2414588"/>
            <wp:effectExtent l="0" t="0" r="0" b="5080"/>
            <wp:docPr id="1" name="Picture 1" descr="C:\Users\MICHEL~1.BRY\AppData\Local\Tem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1.BRY\AppData\Local\Temp\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14588"/>
                    </a:xfrm>
                    <a:prstGeom prst="rect">
                      <a:avLst/>
                    </a:prstGeom>
                    <a:ln>
                      <a:noFill/>
                    </a:ln>
                    <a:effectLst>
                      <a:softEdge rad="112500"/>
                    </a:effectLst>
                  </pic:spPr>
                </pic:pic>
              </a:graphicData>
            </a:graphic>
          </wp:inline>
        </w:drawing>
      </w:r>
    </w:p>
    <w:p w14:paraId="05D3FE0C" w14:textId="77777777" w:rsidR="0012457D" w:rsidRPr="00A241C3" w:rsidRDefault="0012457D" w:rsidP="00674BE1">
      <w:pPr>
        <w:rPr>
          <w:rFonts w:asciiTheme="minorHAnsi" w:hAnsiTheme="minorHAnsi" w:cstheme="minorHAnsi"/>
          <w:b/>
          <w:smallCaps/>
          <w:sz w:val="32"/>
          <w:szCs w:val="32"/>
        </w:rPr>
      </w:pPr>
    </w:p>
    <w:p w14:paraId="7B75581D" w14:textId="77777777" w:rsidR="0012457D" w:rsidRPr="00A241C3" w:rsidRDefault="0012457D" w:rsidP="00674BE1">
      <w:pPr>
        <w:rPr>
          <w:rFonts w:asciiTheme="minorHAnsi" w:hAnsiTheme="minorHAnsi" w:cstheme="minorHAnsi"/>
          <w:b/>
          <w:smallCaps/>
          <w:sz w:val="32"/>
          <w:szCs w:val="32"/>
        </w:rPr>
      </w:pPr>
    </w:p>
    <w:p w14:paraId="5FC24F89" w14:textId="77777777" w:rsidR="0012457D" w:rsidRPr="00A241C3" w:rsidRDefault="0012457D" w:rsidP="00674BE1">
      <w:pPr>
        <w:rPr>
          <w:rFonts w:asciiTheme="minorHAnsi" w:hAnsiTheme="minorHAnsi" w:cstheme="minorHAnsi"/>
          <w:b/>
          <w:smallCaps/>
          <w:sz w:val="32"/>
          <w:szCs w:val="32"/>
        </w:rPr>
      </w:pPr>
    </w:p>
    <w:p w14:paraId="43D31E4C" w14:textId="77777777" w:rsidR="0012457D" w:rsidRPr="00A241C3" w:rsidRDefault="0012457D" w:rsidP="00674BE1">
      <w:pPr>
        <w:rPr>
          <w:rFonts w:asciiTheme="minorHAnsi" w:hAnsiTheme="minorHAnsi" w:cstheme="minorHAnsi"/>
          <w:b/>
          <w:smallCaps/>
          <w:sz w:val="32"/>
          <w:szCs w:val="32"/>
        </w:rPr>
      </w:pPr>
      <w:r w:rsidRPr="00A241C3">
        <w:rPr>
          <w:rFonts w:asciiTheme="minorHAnsi" w:hAnsiTheme="minorHAnsi" w:cstheme="minorHAnsi"/>
          <w:b/>
          <w:smallCaps/>
          <w:sz w:val="32"/>
          <w:szCs w:val="32"/>
        </w:rPr>
        <w:t>Land Use &amp; Natural Resources Clinic</w:t>
      </w:r>
    </w:p>
    <w:p w14:paraId="153E28D9" w14:textId="77777777" w:rsidR="0012457D" w:rsidRPr="00A241C3" w:rsidRDefault="0012457D" w:rsidP="00674BE1">
      <w:pPr>
        <w:rPr>
          <w:rFonts w:asciiTheme="minorHAnsi" w:hAnsiTheme="minorHAnsi" w:cstheme="minorHAnsi"/>
        </w:rPr>
      </w:pPr>
      <w:r w:rsidRPr="00A241C3">
        <w:rPr>
          <w:rFonts w:asciiTheme="minorHAnsi" w:hAnsiTheme="minorHAnsi" w:cstheme="minorHAnsi"/>
        </w:rPr>
        <w:t>University of Montana School of Law</w:t>
      </w:r>
    </w:p>
    <w:p w14:paraId="0CB1BB24" w14:textId="77777777" w:rsidR="0012457D" w:rsidRPr="00A241C3" w:rsidRDefault="0012457D" w:rsidP="00674BE1">
      <w:pPr>
        <w:rPr>
          <w:rFonts w:asciiTheme="minorHAnsi" w:hAnsiTheme="minorHAnsi" w:cstheme="minorHAnsi"/>
        </w:rPr>
      </w:pPr>
      <w:r w:rsidRPr="00A241C3">
        <w:rPr>
          <w:rFonts w:asciiTheme="minorHAnsi" w:hAnsiTheme="minorHAnsi" w:cstheme="minorHAnsi"/>
        </w:rPr>
        <w:t>32 Campus Drive</w:t>
      </w:r>
    </w:p>
    <w:p w14:paraId="1965114C" w14:textId="77777777" w:rsidR="0012457D" w:rsidRPr="00A241C3" w:rsidRDefault="0012457D" w:rsidP="00674BE1">
      <w:pPr>
        <w:rPr>
          <w:rFonts w:asciiTheme="minorHAnsi" w:hAnsiTheme="minorHAnsi" w:cstheme="minorHAnsi"/>
        </w:rPr>
      </w:pPr>
      <w:r w:rsidRPr="00A241C3">
        <w:rPr>
          <w:rFonts w:asciiTheme="minorHAnsi" w:hAnsiTheme="minorHAnsi" w:cstheme="minorHAnsi"/>
        </w:rPr>
        <w:t>Missoula, MT 59812</w:t>
      </w:r>
    </w:p>
    <w:p w14:paraId="55555372" w14:textId="77777777" w:rsidR="0012457D" w:rsidRDefault="0012457D" w:rsidP="00674BE1">
      <w:pPr>
        <w:rPr>
          <w:rFonts w:asciiTheme="minorHAnsi" w:hAnsiTheme="minorHAnsi" w:cstheme="minorHAnsi"/>
        </w:rPr>
      </w:pPr>
      <w:r w:rsidRPr="00A241C3">
        <w:rPr>
          <w:rFonts w:asciiTheme="minorHAnsi" w:hAnsiTheme="minorHAnsi" w:cstheme="minorHAnsi"/>
        </w:rPr>
        <w:t>406.243.2528</w:t>
      </w:r>
    </w:p>
    <w:p w14:paraId="014EF425" w14:textId="77777777" w:rsidR="007B2B08" w:rsidRDefault="007B2B08" w:rsidP="00674BE1">
      <w:pPr>
        <w:rPr>
          <w:rFonts w:asciiTheme="minorHAnsi" w:hAnsiTheme="minorHAnsi" w:cstheme="minorHAnsi"/>
        </w:rPr>
      </w:pPr>
    </w:p>
    <w:p w14:paraId="4CF8DB59" w14:textId="77777777" w:rsidR="007B2B08" w:rsidRDefault="007B2B08" w:rsidP="00674BE1">
      <w:pPr>
        <w:rPr>
          <w:rFonts w:asciiTheme="minorHAnsi" w:hAnsiTheme="minorHAnsi" w:cstheme="minorHAnsi"/>
        </w:rPr>
      </w:pPr>
    </w:p>
    <w:p w14:paraId="0203D01C" w14:textId="77777777" w:rsidR="007B2B08" w:rsidRDefault="007B2B08" w:rsidP="00674BE1">
      <w:pPr>
        <w:rPr>
          <w:rFonts w:asciiTheme="minorHAnsi" w:hAnsiTheme="minorHAnsi" w:cstheme="minorHAnsi"/>
        </w:rPr>
      </w:pPr>
    </w:p>
    <w:p w14:paraId="35F9057C" w14:textId="402889B2" w:rsidR="007B2B08" w:rsidRDefault="007B2B08" w:rsidP="007B2B08">
      <w:pPr>
        <w:rPr>
          <w:rFonts w:asciiTheme="minorHAnsi" w:hAnsiTheme="minorHAnsi" w:cstheme="minorHAnsi"/>
          <w:sz w:val="20"/>
          <w:szCs w:val="20"/>
        </w:rPr>
      </w:pPr>
      <w:r w:rsidRPr="007B2B08">
        <w:rPr>
          <w:rFonts w:asciiTheme="minorHAnsi" w:hAnsiTheme="minorHAnsi" w:cstheme="minorHAnsi"/>
          <w:sz w:val="20"/>
          <w:szCs w:val="20"/>
        </w:rPr>
        <w:t>Cover Photo: Dylan De</w:t>
      </w:r>
      <w:r w:rsidR="00FB16FE">
        <w:rPr>
          <w:rFonts w:asciiTheme="minorHAnsi" w:hAnsiTheme="minorHAnsi" w:cstheme="minorHAnsi"/>
          <w:sz w:val="20"/>
          <w:szCs w:val="20"/>
        </w:rPr>
        <w:t>s</w:t>
      </w:r>
      <w:r w:rsidRPr="007B2B08">
        <w:rPr>
          <w:rFonts w:asciiTheme="minorHAnsi" w:hAnsiTheme="minorHAnsi" w:cstheme="minorHAnsi"/>
          <w:sz w:val="20"/>
          <w:szCs w:val="20"/>
        </w:rPr>
        <w:t xml:space="preserve">Rosier, </w:t>
      </w:r>
      <w:r w:rsidR="007F1445">
        <w:rPr>
          <w:rFonts w:asciiTheme="minorHAnsi" w:hAnsiTheme="minorHAnsi" w:cstheme="minorHAnsi"/>
          <w:sz w:val="20"/>
          <w:szCs w:val="20"/>
        </w:rPr>
        <w:t>Glacier Park, View toward Cathedral Peak and Stoney Lake</w:t>
      </w:r>
    </w:p>
    <w:p w14:paraId="67537AE4" w14:textId="32D6474F" w:rsidR="007B2B08" w:rsidRPr="00A241C3" w:rsidRDefault="007B2B08" w:rsidP="00674BE1">
      <w:pPr>
        <w:rPr>
          <w:rFonts w:asciiTheme="minorHAnsi" w:hAnsiTheme="minorHAnsi" w:cstheme="minorHAnsi"/>
        </w:rPr>
      </w:pPr>
      <w:r w:rsidRPr="007B2B08">
        <w:rPr>
          <w:rFonts w:asciiTheme="minorHAnsi" w:hAnsiTheme="minorHAnsi" w:cstheme="minorHAnsi"/>
          <w:sz w:val="20"/>
          <w:szCs w:val="20"/>
        </w:rPr>
        <w:t xml:space="preserve">Inside Photo: Graham Coppes, Rocky Mountain Front near </w:t>
      </w:r>
      <w:r>
        <w:rPr>
          <w:rFonts w:asciiTheme="minorHAnsi" w:hAnsiTheme="minorHAnsi" w:cstheme="minorHAnsi"/>
          <w:sz w:val="20"/>
          <w:szCs w:val="20"/>
        </w:rPr>
        <w:t>C</w:t>
      </w:r>
      <w:r w:rsidR="007F1445">
        <w:rPr>
          <w:rFonts w:asciiTheme="minorHAnsi" w:hAnsiTheme="minorHAnsi" w:cstheme="minorHAnsi"/>
          <w:sz w:val="20"/>
          <w:szCs w:val="20"/>
        </w:rPr>
        <w:t>ho</w:t>
      </w:r>
      <w:r w:rsidRPr="007B2B08">
        <w:rPr>
          <w:rFonts w:asciiTheme="minorHAnsi" w:hAnsiTheme="minorHAnsi" w:cstheme="minorHAnsi"/>
          <w:sz w:val="20"/>
          <w:szCs w:val="20"/>
        </w:rPr>
        <w:t>teau, Montana</w:t>
      </w:r>
    </w:p>
    <w:p w14:paraId="456F1727" w14:textId="77777777" w:rsidR="0012457D" w:rsidRPr="003B5D2D" w:rsidRDefault="0012457D" w:rsidP="00674BE1">
      <w:pPr>
        <w:jc w:val="center"/>
        <w:rPr>
          <w:rFonts w:asciiTheme="minorHAnsi" w:hAnsiTheme="minorHAnsi" w:cstheme="minorHAnsi"/>
          <w:b/>
          <w:smallCaps/>
          <w:color w:val="44546A" w:themeColor="text2"/>
          <w:sz w:val="32"/>
          <w:szCs w:val="32"/>
        </w:rPr>
      </w:pPr>
      <w:r w:rsidRPr="0018281E">
        <w:rPr>
          <w:rFonts w:asciiTheme="majorHAnsi" w:hAnsiTheme="majorHAnsi"/>
          <w:b/>
          <w:smallCaps/>
        </w:rPr>
        <w:br w:type="page"/>
      </w:r>
      <w:r w:rsidRPr="003B5D2D">
        <w:rPr>
          <w:rFonts w:asciiTheme="minorHAnsi" w:hAnsiTheme="minorHAnsi" w:cstheme="minorHAnsi"/>
          <w:b/>
          <w:smallCaps/>
          <w:color w:val="44546A" w:themeColor="text2"/>
          <w:sz w:val="32"/>
          <w:szCs w:val="32"/>
        </w:rPr>
        <w:lastRenderedPageBreak/>
        <w:t>Table of Contents</w:t>
      </w:r>
    </w:p>
    <w:sdt>
      <w:sdtPr>
        <w:rPr>
          <w:b w:val="0"/>
          <w:bCs w:val="0"/>
          <w:color w:val="auto"/>
          <w:sz w:val="24"/>
          <w:szCs w:val="24"/>
        </w:rPr>
        <w:id w:val="-716355227"/>
        <w:docPartObj>
          <w:docPartGallery w:val="Table of Contents"/>
          <w:docPartUnique/>
        </w:docPartObj>
      </w:sdtPr>
      <w:sdtEndPr>
        <w:rPr>
          <w:noProof/>
        </w:rPr>
      </w:sdtEndPr>
      <w:sdtContent>
        <w:p w14:paraId="49480C53" w14:textId="7C7D4FFA" w:rsidR="003B5D2D" w:rsidRDefault="003B5D2D">
          <w:pPr>
            <w:pStyle w:val="TOCHeading"/>
          </w:pPr>
        </w:p>
        <w:p w14:paraId="000B2A78" w14:textId="5BB8328F" w:rsidR="003B5D2D" w:rsidRPr="003B5D2D" w:rsidRDefault="003B5D2D" w:rsidP="00290458">
          <w:pPr>
            <w:pStyle w:val="TOC1"/>
            <w:rPr>
              <w:rFonts w:eastAsiaTheme="minorEastAsia" w:cstheme="minorBidi"/>
              <w:color w:val="auto"/>
              <w:kern w:val="0"/>
            </w:rPr>
          </w:pPr>
          <w:r>
            <w:rPr>
              <w:rFonts w:cs="Arial"/>
              <w:szCs w:val="28"/>
            </w:rPr>
            <w:fldChar w:fldCharType="begin"/>
          </w:r>
          <w:r>
            <w:instrText xml:space="preserve"> TOC \o "1-3" \h \z \u </w:instrText>
          </w:r>
          <w:r>
            <w:rPr>
              <w:rFonts w:cs="Arial"/>
              <w:szCs w:val="28"/>
            </w:rPr>
            <w:fldChar w:fldCharType="separate"/>
          </w:r>
          <w:hyperlink w:anchor="_Toc405804311" w:history="1">
            <w:r w:rsidRPr="00290458">
              <w:rPr>
                <w:rStyle w:val="Hyperlink"/>
                <w:sz w:val="28"/>
                <w:szCs w:val="28"/>
              </w:rPr>
              <w:t>Part I:</w:t>
            </w:r>
            <w:r w:rsidRPr="00290458">
              <w:rPr>
                <w:sz w:val="28"/>
                <w:szCs w:val="28"/>
              </w:rPr>
              <w:t xml:space="preserve"> </w:t>
            </w:r>
            <w:r w:rsidRPr="00290458">
              <w:rPr>
                <w:rStyle w:val="Hyperlink"/>
                <w:sz w:val="28"/>
                <w:szCs w:val="28"/>
              </w:rPr>
              <w:t>Model Enabling Legislation</w:t>
            </w:r>
            <w:r w:rsidRPr="00290458">
              <w:rPr>
                <w:sz w:val="28"/>
                <w:szCs w:val="28"/>
              </w:rPr>
              <w:t xml:space="preserve"> </w:t>
            </w:r>
            <w:r w:rsidRPr="00290458">
              <w:rPr>
                <w:rStyle w:val="Hyperlink"/>
                <w:sz w:val="28"/>
                <w:szCs w:val="28"/>
              </w:rPr>
              <w:t>for Local Water-Climate Planning</w:t>
            </w:r>
            <w:r w:rsidRPr="003B5D2D">
              <w:rPr>
                <w:webHidden/>
              </w:rPr>
              <w:tab/>
            </w:r>
            <w:r w:rsidRPr="007D1C51">
              <w:rPr>
                <w:webHidden/>
              </w:rPr>
              <w:fldChar w:fldCharType="begin"/>
            </w:r>
            <w:r w:rsidRPr="007D1C51">
              <w:rPr>
                <w:webHidden/>
              </w:rPr>
              <w:instrText xml:space="preserve"> PAGEREF _Toc405804311 \h </w:instrText>
            </w:r>
            <w:r w:rsidRPr="007D1C51">
              <w:rPr>
                <w:webHidden/>
              </w:rPr>
            </w:r>
            <w:r w:rsidRPr="007D1C51">
              <w:rPr>
                <w:webHidden/>
              </w:rPr>
              <w:fldChar w:fldCharType="separate"/>
            </w:r>
            <w:r w:rsidR="00C0278C">
              <w:rPr>
                <w:webHidden/>
              </w:rPr>
              <w:t>1</w:t>
            </w:r>
            <w:r w:rsidRPr="007D1C51">
              <w:rPr>
                <w:webHidden/>
              </w:rPr>
              <w:fldChar w:fldCharType="end"/>
            </w:r>
          </w:hyperlink>
        </w:p>
        <w:p w14:paraId="7A4102EF" w14:textId="77777777" w:rsidR="003B5D2D" w:rsidRPr="003B5D2D" w:rsidRDefault="00C55CE5">
          <w:pPr>
            <w:pStyle w:val="TOC2"/>
            <w:tabs>
              <w:tab w:val="right" w:leader="dot" w:pos="9350"/>
            </w:tabs>
            <w:rPr>
              <w:rFonts w:cstheme="minorBidi"/>
              <w:noProof/>
              <w:sz w:val="26"/>
              <w:szCs w:val="26"/>
            </w:rPr>
          </w:pPr>
          <w:hyperlink w:anchor="_Toc405804314" w:history="1">
            <w:r w:rsidR="003B5D2D" w:rsidRPr="003B5D2D">
              <w:rPr>
                <w:rStyle w:val="Hyperlink"/>
                <w:noProof/>
                <w:sz w:val="26"/>
                <w:szCs w:val="26"/>
              </w:rPr>
              <w:t>Preamble</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_Toc405804314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1</w:t>
            </w:r>
            <w:r w:rsidR="003B5D2D" w:rsidRPr="003B5D2D">
              <w:rPr>
                <w:noProof/>
                <w:webHidden/>
                <w:sz w:val="26"/>
                <w:szCs w:val="26"/>
              </w:rPr>
              <w:fldChar w:fldCharType="end"/>
            </w:r>
          </w:hyperlink>
        </w:p>
        <w:p w14:paraId="2B1A882E" w14:textId="77777777" w:rsidR="003B5D2D" w:rsidRPr="003B5D2D" w:rsidRDefault="00C55CE5">
          <w:pPr>
            <w:pStyle w:val="TOC2"/>
            <w:tabs>
              <w:tab w:val="right" w:leader="dot" w:pos="9350"/>
            </w:tabs>
            <w:rPr>
              <w:rFonts w:cstheme="minorBidi"/>
              <w:noProof/>
              <w:sz w:val="26"/>
              <w:szCs w:val="26"/>
            </w:rPr>
          </w:pPr>
          <w:hyperlink w:anchor="_Toc405804315" w:history="1">
            <w:r w:rsidR="003B5D2D" w:rsidRPr="003B5D2D">
              <w:rPr>
                <w:rStyle w:val="Hyperlink"/>
                <w:noProof/>
                <w:sz w:val="26"/>
                <w:szCs w:val="26"/>
              </w:rPr>
              <w:t>Water-Climate Element</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_Toc405804315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1</w:t>
            </w:r>
            <w:r w:rsidR="003B5D2D" w:rsidRPr="003B5D2D">
              <w:rPr>
                <w:noProof/>
                <w:webHidden/>
                <w:sz w:val="26"/>
                <w:szCs w:val="26"/>
              </w:rPr>
              <w:fldChar w:fldCharType="end"/>
            </w:r>
          </w:hyperlink>
        </w:p>
        <w:p w14:paraId="33E72235" w14:textId="77777777" w:rsidR="003B5D2D" w:rsidRPr="003B5D2D" w:rsidRDefault="00C55CE5">
          <w:pPr>
            <w:pStyle w:val="TOC2"/>
            <w:tabs>
              <w:tab w:val="right" w:leader="dot" w:pos="9350"/>
            </w:tabs>
            <w:rPr>
              <w:rFonts w:cstheme="minorBidi"/>
              <w:noProof/>
              <w:sz w:val="26"/>
              <w:szCs w:val="26"/>
            </w:rPr>
          </w:pPr>
          <w:hyperlink w:anchor="_Toc405804316" w:history="1">
            <w:r w:rsidR="003B5D2D" w:rsidRPr="003B5D2D">
              <w:rPr>
                <w:rStyle w:val="Hyperlink"/>
                <w:noProof/>
                <w:sz w:val="26"/>
                <w:szCs w:val="26"/>
              </w:rPr>
              <w:t>Definitions</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_Toc405804316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4</w:t>
            </w:r>
            <w:r w:rsidR="003B5D2D" w:rsidRPr="003B5D2D">
              <w:rPr>
                <w:noProof/>
                <w:webHidden/>
                <w:sz w:val="26"/>
                <w:szCs w:val="26"/>
              </w:rPr>
              <w:fldChar w:fldCharType="end"/>
            </w:r>
          </w:hyperlink>
        </w:p>
        <w:p w14:paraId="45180865" w14:textId="52797903" w:rsidR="003B5D2D" w:rsidRPr="00290458" w:rsidRDefault="00C55CE5" w:rsidP="00290458">
          <w:pPr>
            <w:pStyle w:val="TOC1"/>
            <w:rPr>
              <w:rFonts w:eastAsiaTheme="minorEastAsia"/>
              <w:b/>
              <w:color w:val="auto"/>
              <w:kern w:val="0"/>
            </w:rPr>
          </w:pPr>
          <w:hyperlink w:anchor="_Toc405804317" w:history="1">
            <w:r w:rsidR="003B5D2D" w:rsidRPr="00290458">
              <w:rPr>
                <w:rStyle w:val="Hyperlink"/>
                <w:color w:val="000000" w:themeColor="text1"/>
                <w:sz w:val="28"/>
                <w:szCs w:val="28"/>
                <w:u w:val="none"/>
              </w:rPr>
              <w:t xml:space="preserve">Part II: </w:t>
            </w:r>
            <w:hyperlink w:anchor="_Toc405804318" w:history="1">
              <w:r w:rsidR="003B5D2D" w:rsidRPr="00290458">
                <w:rPr>
                  <w:rStyle w:val="Hyperlink"/>
                  <w:color w:val="000000" w:themeColor="text1"/>
                  <w:sz w:val="28"/>
                  <w:szCs w:val="28"/>
                  <w:u w:val="none"/>
                </w:rPr>
                <w:t>Supporting Arguments for</w:t>
              </w:r>
              <w:r w:rsidR="003B5D2D" w:rsidRPr="00290458">
                <w:rPr>
                  <w:sz w:val="28"/>
                  <w:szCs w:val="28"/>
                </w:rPr>
                <w:t xml:space="preserve"> </w:t>
              </w:r>
              <w:r w:rsidR="003B5D2D" w:rsidRPr="00290458">
                <w:rPr>
                  <w:rStyle w:val="Hyperlink"/>
                  <w:color w:val="000000" w:themeColor="text1"/>
                  <w:sz w:val="28"/>
                  <w:szCs w:val="28"/>
                  <w:u w:val="none"/>
                </w:rPr>
                <w:t>Water-Climate Planning</w:t>
              </w:r>
              <w:r w:rsidR="003B5D2D" w:rsidRPr="00290458">
                <w:rPr>
                  <w:webHidden/>
                </w:rPr>
                <w:tab/>
              </w:r>
              <w:r w:rsidR="003B5D2D" w:rsidRPr="00290458">
                <w:rPr>
                  <w:webHidden/>
                </w:rPr>
                <w:fldChar w:fldCharType="begin"/>
              </w:r>
              <w:r w:rsidR="003B5D2D" w:rsidRPr="00290458">
                <w:rPr>
                  <w:webHidden/>
                </w:rPr>
                <w:instrText xml:space="preserve"> PAGEREF _Toc405804318 \h </w:instrText>
              </w:r>
              <w:r w:rsidR="003B5D2D" w:rsidRPr="00290458">
                <w:rPr>
                  <w:webHidden/>
                </w:rPr>
              </w:r>
              <w:r w:rsidR="003B5D2D" w:rsidRPr="00290458">
                <w:rPr>
                  <w:webHidden/>
                </w:rPr>
                <w:fldChar w:fldCharType="separate"/>
              </w:r>
              <w:r w:rsidR="00C0278C">
                <w:rPr>
                  <w:webHidden/>
                </w:rPr>
                <w:t>5</w:t>
              </w:r>
              <w:r w:rsidR="003B5D2D" w:rsidRPr="00290458">
                <w:rPr>
                  <w:webHidden/>
                </w:rPr>
                <w:fldChar w:fldCharType="end"/>
              </w:r>
            </w:hyperlink>
          </w:hyperlink>
        </w:p>
        <w:p w14:paraId="503CB769" w14:textId="77777777" w:rsidR="003B5D2D" w:rsidRPr="003B5D2D" w:rsidRDefault="00C55CE5">
          <w:pPr>
            <w:pStyle w:val="TOC2"/>
            <w:tabs>
              <w:tab w:val="right" w:leader="dot" w:pos="9350"/>
            </w:tabs>
            <w:rPr>
              <w:rFonts w:cstheme="minorBidi"/>
              <w:noProof/>
              <w:sz w:val="26"/>
              <w:szCs w:val="26"/>
            </w:rPr>
          </w:pPr>
          <w:hyperlink w:anchor="_Toc405804320" w:history="1">
            <w:r w:rsidR="003B5D2D" w:rsidRPr="003B5D2D">
              <w:rPr>
                <w:rStyle w:val="Hyperlink"/>
                <w:noProof/>
                <w:sz w:val="26"/>
                <w:szCs w:val="26"/>
              </w:rPr>
              <w:t>General Arguments</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_Toc405804320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5</w:t>
            </w:r>
            <w:r w:rsidR="003B5D2D" w:rsidRPr="003B5D2D">
              <w:rPr>
                <w:noProof/>
                <w:webHidden/>
                <w:sz w:val="26"/>
                <w:szCs w:val="26"/>
              </w:rPr>
              <w:fldChar w:fldCharType="end"/>
            </w:r>
          </w:hyperlink>
        </w:p>
        <w:p w14:paraId="445508F7" w14:textId="77777777" w:rsidR="003B5D2D" w:rsidRPr="003B5D2D" w:rsidRDefault="00C55CE5">
          <w:pPr>
            <w:pStyle w:val="TOC2"/>
            <w:tabs>
              <w:tab w:val="right" w:leader="dot" w:pos="9350"/>
            </w:tabs>
            <w:rPr>
              <w:rFonts w:cstheme="minorBidi"/>
              <w:noProof/>
              <w:sz w:val="26"/>
              <w:szCs w:val="26"/>
            </w:rPr>
          </w:pPr>
          <w:hyperlink w:anchor="_Toc405804321" w:history="1">
            <w:r w:rsidR="003B5D2D" w:rsidRPr="003B5D2D">
              <w:rPr>
                <w:rStyle w:val="Hyperlink"/>
                <w:noProof/>
                <w:sz w:val="26"/>
                <w:szCs w:val="26"/>
              </w:rPr>
              <w:t>Comprehensive Inventory of Water Resources</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_Toc405804321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6</w:t>
            </w:r>
            <w:r w:rsidR="003B5D2D" w:rsidRPr="003B5D2D">
              <w:rPr>
                <w:noProof/>
                <w:webHidden/>
                <w:sz w:val="26"/>
                <w:szCs w:val="26"/>
              </w:rPr>
              <w:fldChar w:fldCharType="end"/>
            </w:r>
          </w:hyperlink>
        </w:p>
        <w:p w14:paraId="0D45D30F" w14:textId="77777777" w:rsidR="003B5D2D" w:rsidRPr="003B5D2D" w:rsidRDefault="00C55CE5">
          <w:pPr>
            <w:pStyle w:val="TOC2"/>
            <w:tabs>
              <w:tab w:val="right" w:leader="dot" w:pos="9350"/>
            </w:tabs>
            <w:rPr>
              <w:rFonts w:cstheme="minorBidi"/>
              <w:noProof/>
              <w:sz w:val="26"/>
              <w:szCs w:val="26"/>
            </w:rPr>
          </w:pPr>
          <w:hyperlink w:anchor="_Toc405804322" w:history="1">
            <w:r w:rsidR="003B5D2D" w:rsidRPr="003B5D2D">
              <w:rPr>
                <w:rStyle w:val="Hyperlink"/>
                <w:noProof/>
                <w:sz w:val="26"/>
                <w:szCs w:val="26"/>
              </w:rPr>
              <w:t>Capacity-Vulnerability Analysis</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_Toc405804322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7</w:t>
            </w:r>
            <w:r w:rsidR="003B5D2D" w:rsidRPr="003B5D2D">
              <w:rPr>
                <w:noProof/>
                <w:webHidden/>
                <w:sz w:val="26"/>
                <w:szCs w:val="26"/>
              </w:rPr>
              <w:fldChar w:fldCharType="end"/>
            </w:r>
          </w:hyperlink>
        </w:p>
        <w:p w14:paraId="4ABEAC6F" w14:textId="77777777" w:rsidR="003B5D2D" w:rsidRPr="003B5D2D" w:rsidRDefault="00C55CE5">
          <w:pPr>
            <w:pStyle w:val="TOC2"/>
            <w:tabs>
              <w:tab w:val="right" w:leader="dot" w:pos="9350"/>
            </w:tabs>
            <w:rPr>
              <w:rFonts w:cstheme="minorBidi"/>
              <w:noProof/>
              <w:sz w:val="26"/>
              <w:szCs w:val="26"/>
            </w:rPr>
          </w:pPr>
          <w:hyperlink w:anchor="_Toc405804323" w:history="1">
            <w:r w:rsidR="003B5D2D" w:rsidRPr="003B5D2D">
              <w:rPr>
                <w:rStyle w:val="Hyperlink"/>
                <w:noProof/>
                <w:sz w:val="26"/>
                <w:szCs w:val="26"/>
              </w:rPr>
              <w:t>Community Water Goals</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_Toc405804323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8</w:t>
            </w:r>
            <w:r w:rsidR="003B5D2D" w:rsidRPr="003B5D2D">
              <w:rPr>
                <w:noProof/>
                <w:webHidden/>
                <w:sz w:val="26"/>
                <w:szCs w:val="26"/>
              </w:rPr>
              <w:fldChar w:fldCharType="end"/>
            </w:r>
          </w:hyperlink>
        </w:p>
        <w:p w14:paraId="0FE9EAD4" w14:textId="77777777" w:rsidR="003B5D2D" w:rsidRPr="003B5D2D" w:rsidRDefault="00C55CE5">
          <w:pPr>
            <w:pStyle w:val="TOC2"/>
            <w:tabs>
              <w:tab w:val="right" w:leader="dot" w:pos="9350"/>
            </w:tabs>
            <w:rPr>
              <w:rFonts w:cstheme="minorBidi"/>
              <w:noProof/>
              <w:sz w:val="26"/>
              <w:szCs w:val="26"/>
            </w:rPr>
          </w:pPr>
          <w:hyperlink w:anchor="_Toc405804324" w:history="1">
            <w:r w:rsidR="003B5D2D" w:rsidRPr="003B5D2D">
              <w:rPr>
                <w:rStyle w:val="Hyperlink"/>
                <w:noProof/>
                <w:sz w:val="26"/>
                <w:szCs w:val="26"/>
              </w:rPr>
              <w:t>Implementation Strategies</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_Toc405804324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8</w:t>
            </w:r>
            <w:r w:rsidR="003B5D2D" w:rsidRPr="003B5D2D">
              <w:rPr>
                <w:noProof/>
                <w:webHidden/>
                <w:sz w:val="26"/>
                <w:szCs w:val="26"/>
              </w:rPr>
              <w:fldChar w:fldCharType="end"/>
            </w:r>
          </w:hyperlink>
        </w:p>
        <w:p w14:paraId="1BE28BF4" w14:textId="77777777" w:rsidR="003B5D2D" w:rsidRPr="003B5D2D" w:rsidRDefault="00C55CE5">
          <w:pPr>
            <w:pStyle w:val="TOC2"/>
            <w:tabs>
              <w:tab w:val="right" w:leader="dot" w:pos="9350"/>
            </w:tabs>
            <w:rPr>
              <w:rFonts w:cstheme="minorBidi"/>
              <w:noProof/>
              <w:sz w:val="26"/>
              <w:szCs w:val="26"/>
            </w:rPr>
          </w:pPr>
          <w:hyperlink w:anchor="_Toc405804325" w:history="1">
            <w:r w:rsidR="003B5D2D" w:rsidRPr="003B5D2D">
              <w:rPr>
                <w:rStyle w:val="Hyperlink"/>
                <w:noProof/>
                <w:sz w:val="26"/>
                <w:szCs w:val="26"/>
              </w:rPr>
              <w:t>Intergovernmental Coordination</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_Toc405804325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10</w:t>
            </w:r>
            <w:r w:rsidR="003B5D2D" w:rsidRPr="003B5D2D">
              <w:rPr>
                <w:noProof/>
                <w:webHidden/>
                <w:sz w:val="26"/>
                <w:szCs w:val="26"/>
              </w:rPr>
              <w:fldChar w:fldCharType="end"/>
            </w:r>
          </w:hyperlink>
        </w:p>
        <w:p w14:paraId="5D1FC750" w14:textId="77777777" w:rsidR="003B5D2D" w:rsidRDefault="00C55CE5">
          <w:pPr>
            <w:pStyle w:val="TOC2"/>
            <w:tabs>
              <w:tab w:val="right" w:leader="dot" w:pos="9350"/>
            </w:tabs>
            <w:rPr>
              <w:rFonts w:cstheme="minorBidi"/>
              <w:noProof/>
            </w:rPr>
          </w:pPr>
          <w:hyperlink w:anchor="_Toc405804326" w:history="1">
            <w:r w:rsidR="003B5D2D" w:rsidRPr="003B5D2D">
              <w:rPr>
                <w:rStyle w:val="Hyperlink"/>
                <w:noProof/>
                <w:sz w:val="26"/>
                <w:szCs w:val="26"/>
              </w:rPr>
              <w:t>Periodic Update and Continuous Assessment</w:t>
            </w:r>
            <w:r w:rsidR="003B5D2D" w:rsidRPr="003B5D2D">
              <w:rPr>
                <w:noProof/>
                <w:webHidden/>
                <w:sz w:val="26"/>
                <w:szCs w:val="26"/>
              </w:rPr>
              <w:tab/>
            </w:r>
            <w:r w:rsidR="003B5D2D" w:rsidRPr="003B5D2D">
              <w:rPr>
                <w:noProof/>
                <w:webHidden/>
                <w:sz w:val="26"/>
                <w:szCs w:val="26"/>
              </w:rPr>
              <w:fldChar w:fldCharType="begin"/>
            </w:r>
            <w:r w:rsidR="003B5D2D" w:rsidRPr="003B5D2D">
              <w:rPr>
                <w:noProof/>
                <w:webHidden/>
                <w:sz w:val="26"/>
                <w:szCs w:val="26"/>
              </w:rPr>
              <w:instrText xml:space="preserve"> PAGEREF _Toc405804326 \h </w:instrText>
            </w:r>
            <w:r w:rsidR="003B5D2D" w:rsidRPr="003B5D2D">
              <w:rPr>
                <w:noProof/>
                <w:webHidden/>
                <w:sz w:val="26"/>
                <w:szCs w:val="26"/>
              </w:rPr>
            </w:r>
            <w:r w:rsidR="003B5D2D" w:rsidRPr="003B5D2D">
              <w:rPr>
                <w:noProof/>
                <w:webHidden/>
                <w:sz w:val="26"/>
                <w:szCs w:val="26"/>
              </w:rPr>
              <w:fldChar w:fldCharType="separate"/>
            </w:r>
            <w:r w:rsidR="00C0278C">
              <w:rPr>
                <w:noProof/>
                <w:webHidden/>
                <w:sz w:val="26"/>
                <w:szCs w:val="26"/>
              </w:rPr>
              <w:t>11</w:t>
            </w:r>
            <w:r w:rsidR="003B5D2D" w:rsidRPr="003B5D2D">
              <w:rPr>
                <w:noProof/>
                <w:webHidden/>
                <w:sz w:val="26"/>
                <w:szCs w:val="26"/>
              </w:rPr>
              <w:fldChar w:fldCharType="end"/>
            </w:r>
          </w:hyperlink>
        </w:p>
        <w:p w14:paraId="6C0D96EE" w14:textId="272E2054" w:rsidR="003B5D2D" w:rsidRDefault="003B5D2D">
          <w:r>
            <w:rPr>
              <w:b/>
              <w:bCs/>
              <w:noProof/>
            </w:rPr>
            <w:fldChar w:fldCharType="end"/>
          </w:r>
        </w:p>
      </w:sdtContent>
    </w:sdt>
    <w:p w14:paraId="3541D721" w14:textId="77777777" w:rsidR="0023436D" w:rsidRPr="00ED3CFB" w:rsidRDefault="0023436D" w:rsidP="0023436D">
      <w:pPr>
        <w:widowControl w:val="0"/>
        <w:rPr>
          <w:bCs/>
          <w:color w:val="000000"/>
          <w:sz w:val="32"/>
          <w:szCs w:val="32"/>
        </w:rPr>
      </w:pPr>
    </w:p>
    <w:p w14:paraId="39E6E6C1" w14:textId="77777777" w:rsidR="0023436D" w:rsidRPr="00ED3CFB" w:rsidRDefault="0023436D" w:rsidP="0023436D">
      <w:pPr>
        <w:widowControl w:val="0"/>
        <w:jc w:val="center"/>
        <w:rPr>
          <w:b/>
          <w:bCs/>
          <w:color w:val="000000"/>
          <w:sz w:val="32"/>
          <w:szCs w:val="32"/>
          <w:u w:val="single"/>
        </w:rPr>
      </w:pPr>
    </w:p>
    <w:p w14:paraId="6A2F44D1" w14:textId="77777777" w:rsidR="0023436D" w:rsidRPr="00ED3CFB" w:rsidRDefault="0023436D" w:rsidP="0023436D">
      <w:pPr>
        <w:widowControl w:val="0"/>
        <w:jc w:val="center"/>
        <w:rPr>
          <w:b/>
          <w:bCs/>
          <w:color w:val="000000"/>
          <w:sz w:val="32"/>
          <w:szCs w:val="32"/>
          <w:u w:val="single"/>
        </w:rPr>
      </w:pPr>
    </w:p>
    <w:p w14:paraId="326FE370" w14:textId="77777777" w:rsidR="0023436D" w:rsidRPr="00ED3CFB" w:rsidRDefault="0023436D" w:rsidP="0023436D">
      <w:pPr>
        <w:widowControl w:val="0"/>
        <w:jc w:val="center"/>
        <w:rPr>
          <w:b/>
          <w:bCs/>
          <w:color w:val="000000"/>
          <w:sz w:val="32"/>
          <w:szCs w:val="32"/>
          <w:u w:val="single"/>
        </w:rPr>
      </w:pPr>
    </w:p>
    <w:p w14:paraId="09750D8B" w14:textId="77777777" w:rsidR="0023436D" w:rsidRPr="00ED3CFB" w:rsidRDefault="0023436D" w:rsidP="0023436D">
      <w:pPr>
        <w:widowControl w:val="0"/>
        <w:jc w:val="center"/>
        <w:rPr>
          <w:b/>
          <w:bCs/>
          <w:color w:val="000000"/>
          <w:sz w:val="32"/>
          <w:szCs w:val="32"/>
          <w:u w:val="single"/>
        </w:rPr>
      </w:pPr>
    </w:p>
    <w:p w14:paraId="6A953668" w14:textId="77777777" w:rsidR="0023436D" w:rsidRPr="00ED3CFB" w:rsidRDefault="0023436D" w:rsidP="0023436D">
      <w:pPr>
        <w:widowControl w:val="0"/>
        <w:jc w:val="center"/>
        <w:rPr>
          <w:b/>
          <w:bCs/>
          <w:color w:val="000000"/>
          <w:sz w:val="32"/>
          <w:szCs w:val="32"/>
          <w:u w:val="single"/>
        </w:rPr>
      </w:pPr>
    </w:p>
    <w:p w14:paraId="7955145C" w14:textId="77777777" w:rsidR="0023436D" w:rsidRPr="00ED3CFB" w:rsidRDefault="0023436D" w:rsidP="0023436D">
      <w:pPr>
        <w:widowControl w:val="0"/>
        <w:jc w:val="center"/>
        <w:rPr>
          <w:b/>
          <w:bCs/>
          <w:color w:val="000000"/>
          <w:sz w:val="32"/>
          <w:szCs w:val="32"/>
          <w:u w:val="single"/>
        </w:rPr>
      </w:pPr>
    </w:p>
    <w:p w14:paraId="4FFB12CB" w14:textId="77777777" w:rsidR="0023436D" w:rsidRPr="00ED3CFB" w:rsidRDefault="0023436D" w:rsidP="0023436D">
      <w:pPr>
        <w:widowControl w:val="0"/>
        <w:jc w:val="center"/>
        <w:rPr>
          <w:b/>
          <w:bCs/>
          <w:color w:val="000000"/>
          <w:sz w:val="32"/>
          <w:szCs w:val="32"/>
          <w:u w:val="single"/>
        </w:rPr>
      </w:pPr>
    </w:p>
    <w:p w14:paraId="6E0CDBDF" w14:textId="77777777" w:rsidR="0023436D" w:rsidRPr="00ED3CFB" w:rsidRDefault="0023436D" w:rsidP="0023436D">
      <w:pPr>
        <w:widowControl w:val="0"/>
        <w:jc w:val="center"/>
        <w:rPr>
          <w:b/>
          <w:bCs/>
          <w:color w:val="000000"/>
          <w:sz w:val="32"/>
          <w:szCs w:val="32"/>
          <w:u w:val="single"/>
        </w:rPr>
      </w:pPr>
    </w:p>
    <w:p w14:paraId="7E5BE9F3" w14:textId="77777777" w:rsidR="0023436D" w:rsidRPr="00ED3CFB" w:rsidRDefault="0023436D" w:rsidP="0023436D">
      <w:pPr>
        <w:widowControl w:val="0"/>
        <w:jc w:val="center"/>
        <w:rPr>
          <w:b/>
          <w:bCs/>
          <w:color w:val="000000"/>
          <w:sz w:val="32"/>
          <w:szCs w:val="32"/>
          <w:u w:val="single"/>
        </w:rPr>
      </w:pPr>
    </w:p>
    <w:p w14:paraId="272B1DDE" w14:textId="77777777" w:rsidR="0023436D" w:rsidRPr="00ED3CFB" w:rsidRDefault="0023436D" w:rsidP="0023436D">
      <w:pPr>
        <w:widowControl w:val="0"/>
        <w:jc w:val="center"/>
        <w:rPr>
          <w:b/>
          <w:bCs/>
          <w:color w:val="000000"/>
          <w:sz w:val="32"/>
          <w:szCs w:val="32"/>
          <w:u w:val="single"/>
        </w:rPr>
      </w:pPr>
    </w:p>
    <w:p w14:paraId="3C259A9A" w14:textId="77777777" w:rsidR="0023436D" w:rsidRPr="00ED3CFB" w:rsidRDefault="0023436D" w:rsidP="0023436D">
      <w:pPr>
        <w:widowControl w:val="0"/>
        <w:jc w:val="center"/>
        <w:rPr>
          <w:b/>
          <w:bCs/>
          <w:color w:val="000000"/>
          <w:sz w:val="32"/>
          <w:szCs w:val="32"/>
          <w:u w:val="single"/>
        </w:rPr>
      </w:pPr>
    </w:p>
    <w:p w14:paraId="09A8CE54" w14:textId="77777777" w:rsidR="0023436D" w:rsidRPr="00ED3CFB" w:rsidRDefault="0023436D" w:rsidP="0023436D">
      <w:pPr>
        <w:widowControl w:val="0"/>
        <w:jc w:val="center"/>
        <w:rPr>
          <w:b/>
          <w:bCs/>
          <w:color w:val="000000"/>
          <w:sz w:val="32"/>
          <w:szCs w:val="32"/>
          <w:u w:val="single"/>
        </w:rPr>
      </w:pPr>
    </w:p>
    <w:p w14:paraId="2C0031D3" w14:textId="77777777" w:rsidR="0023436D" w:rsidRPr="00ED3CFB" w:rsidRDefault="0023436D" w:rsidP="0023436D">
      <w:pPr>
        <w:widowControl w:val="0"/>
        <w:jc w:val="center"/>
        <w:rPr>
          <w:b/>
          <w:bCs/>
          <w:color w:val="000000"/>
          <w:sz w:val="32"/>
          <w:szCs w:val="32"/>
          <w:u w:val="single"/>
        </w:rPr>
      </w:pPr>
    </w:p>
    <w:p w14:paraId="1E84462B" w14:textId="77777777" w:rsidR="0023436D" w:rsidRPr="00ED3CFB" w:rsidRDefault="0023436D" w:rsidP="0023436D">
      <w:pPr>
        <w:widowControl w:val="0"/>
        <w:jc w:val="center"/>
        <w:rPr>
          <w:b/>
          <w:bCs/>
          <w:color w:val="000000"/>
          <w:sz w:val="32"/>
          <w:szCs w:val="32"/>
          <w:u w:val="single"/>
        </w:rPr>
      </w:pPr>
    </w:p>
    <w:p w14:paraId="5384A348" w14:textId="77777777" w:rsidR="0023436D" w:rsidRPr="00ED3CFB" w:rsidRDefault="0023436D" w:rsidP="0023436D">
      <w:pPr>
        <w:widowControl w:val="0"/>
        <w:rPr>
          <w:b/>
          <w:bCs/>
          <w:color w:val="000000"/>
          <w:sz w:val="32"/>
          <w:szCs w:val="32"/>
          <w:u w:val="single"/>
        </w:rPr>
      </w:pPr>
    </w:p>
    <w:p w14:paraId="2278DBD2" w14:textId="77777777" w:rsidR="00B5217C" w:rsidRDefault="00B5217C">
      <w:pPr>
        <w:rPr>
          <w:b/>
          <w:bCs/>
          <w:color w:val="000000"/>
          <w:sz w:val="32"/>
          <w:szCs w:val="32"/>
        </w:rPr>
      </w:pPr>
    </w:p>
    <w:p w14:paraId="1BB7B458" w14:textId="77777777" w:rsidR="00674BE1" w:rsidRDefault="00674BE1" w:rsidP="003B5D2D">
      <w:pPr>
        <w:pStyle w:val="Heading1"/>
        <w:sectPr w:rsidR="00674BE1" w:rsidSect="008D7A6A">
          <w:footerReference w:type="even" r:id="rId11"/>
          <w:footerReference w:type="default" r:id="rId12"/>
          <w:footnotePr>
            <w:numRestart w:val="eachSect"/>
          </w:footnotePr>
          <w:type w:val="continuous"/>
          <w:pgSz w:w="12240" w:h="15840"/>
          <w:pgMar w:top="1440" w:right="1440" w:bottom="1440" w:left="1440" w:header="720" w:footer="720" w:gutter="0"/>
          <w:pgNumType w:fmt="lowerRoman" w:start="0"/>
          <w:cols w:space="720"/>
          <w:docGrid w:linePitch="360"/>
        </w:sectPr>
      </w:pPr>
      <w:bookmarkStart w:id="0" w:name="_Toc405804311"/>
    </w:p>
    <w:p w14:paraId="1195D8E4" w14:textId="1BA4C8CA" w:rsidR="0023436D" w:rsidRPr="00280F8B" w:rsidRDefault="0023436D" w:rsidP="003B5D2D">
      <w:pPr>
        <w:pStyle w:val="Heading1"/>
      </w:pPr>
      <w:r w:rsidRPr="00280F8B">
        <w:lastRenderedPageBreak/>
        <w:t xml:space="preserve">Part </w:t>
      </w:r>
      <w:r w:rsidR="004A0791" w:rsidRPr="00280F8B">
        <w:t>I</w:t>
      </w:r>
      <w:r w:rsidRPr="00280F8B">
        <w:t>:</w:t>
      </w:r>
      <w:bookmarkEnd w:id="0"/>
    </w:p>
    <w:p w14:paraId="3CAE4EE3" w14:textId="77777777" w:rsidR="00B5217C" w:rsidRPr="00280F8B" w:rsidRDefault="0023436D" w:rsidP="003B5D2D">
      <w:pPr>
        <w:pStyle w:val="Heading1"/>
      </w:pPr>
      <w:bookmarkStart w:id="1" w:name="_Toc405804312"/>
      <w:r w:rsidRPr="00280F8B">
        <w:t>Model Enabling Legislation</w:t>
      </w:r>
      <w:bookmarkEnd w:id="1"/>
      <w:r w:rsidRPr="00280F8B">
        <w:t xml:space="preserve"> </w:t>
      </w:r>
    </w:p>
    <w:p w14:paraId="06152CD1" w14:textId="58090389" w:rsidR="0023436D" w:rsidRPr="00280F8B" w:rsidRDefault="0023436D" w:rsidP="003B5D2D">
      <w:pPr>
        <w:pStyle w:val="Heading1"/>
      </w:pPr>
      <w:bookmarkStart w:id="2" w:name="_Toc405804313"/>
      <w:proofErr w:type="gramStart"/>
      <w:r w:rsidRPr="00280F8B">
        <w:t>for</w:t>
      </w:r>
      <w:proofErr w:type="gramEnd"/>
      <w:r w:rsidRPr="00280F8B">
        <w:t xml:space="preserve"> </w:t>
      </w:r>
      <w:r w:rsidR="00E76D08" w:rsidRPr="00280F8B">
        <w:t xml:space="preserve">Local </w:t>
      </w:r>
      <w:r w:rsidRPr="00280F8B">
        <w:t>Water-Climate Planning</w:t>
      </w:r>
      <w:bookmarkEnd w:id="2"/>
    </w:p>
    <w:p w14:paraId="63D18FFA" w14:textId="77777777" w:rsidR="003B5D2D" w:rsidRPr="00280F8B" w:rsidRDefault="003B5D2D" w:rsidP="003B5D2D"/>
    <w:p w14:paraId="7564F2F0" w14:textId="07473A40" w:rsidR="0023436D" w:rsidRPr="00280F8B" w:rsidRDefault="003B5D2D" w:rsidP="00DF4654">
      <w:pPr>
        <w:jc w:val="center"/>
        <w:rPr>
          <w:b/>
          <w:bCs/>
          <w:color w:val="000000"/>
        </w:rPr>
      </w:pPr>
      <w:r w:rsidRPr="00280F8B">
        <w:t>(</w:t>
      </w:r>
      <w:proofErr w:type="gramStart"/>
      <w:r w:rsidRPr="00280F8B">
        <w:t>with</w:t>
      </w:r>
      <w:proofErr w:type="gramEnd"/>
      <w:r w:rsidRPr="00280F8B">
        <w:t xml:space="preserve"> annotations)</w:t>
      </w:r>
    </w:p>
    <w:p w14:paraId="3CC8D70D" w14:textId="77777777" w:rsidR="0023436D" w:rsidRPr="00280F8B" w:rsidRDefault="0023436D" w:rsidP="0023436D">
      <w:pPr>
        <w:widowControl w:val="0"/>
        <w:rPr>
          <w:b/>
          <w:bCs/>
          <w:color w:val="000000"/>
        </w:rPr>
      </w:pPr>
    </w:p>
    <w:p w14:paraId="7FEEDCEB" w14:textId="77777777" w:rsidR="0023436D" w:rsidRPr="00280F8B" w:rsidRDefault="0023436D" w:rsidP="00A241C3">
      <w:pPr>
        <w:pStyle w:val="Heading2"/>
      </w:pPr>
      <w:bookmarkStart w:id="3" w:name="_Toc405804314"/>
      <w:r w:rsidRPr="00280F8B">
        <w:t>Preamble</w:t>
      </w:r>
      <w:bookmarkEnd w:id="3"/>
      <w:r w:rsidRPr="00280F8B">
        <w:t xml:space="preserve"> </w:t>
      </w:r>
    </w:p>
    <w:p w14:paraId="099E235A" w14:textId="77777777" w:rsidR="0023436D" w:rsidRPr="00280F8B" w:rsidRDefault="0023436D" w:rsidP="0023436D">
      <w:pPr>
        <w:widowControl w:val="0"/>
        <w:rPr>
          <w:b/>
          <w:bCs/>
          <w:color w:val="000000"/>
        </w:rPr>
      </w:pPr>
    </w:p>
    <w:p w14:paraId="12BEF077" w14:textId="77777777" w:rsidR="0023436D" w:rsidRPr="00280F8B" w:rsidRDefault="0023436D" w:rsidP="005B55FB">
      <w:pPr>
        <w:widowControl w:val="0"/>
      </w:pPr>
      <w:r w:rsidRPr="00280F8B">
        <w:t xml:space="preserve">Mindful of the </w:t>
      </w:r>
      <w:r w:rsidR="00396F79" w:rsidRPr="00280F8B">
        <w:t>West’s</w:t>
      </w:r>
      <w:r w:rsidRPr="00280F8B">
        <w:t xml:space="preserve"> rapid </w:t>
      </w:r>
      <w:r w:rsidR="00ED3CFB" w:rsidRPr="00280F8B">
        <w:t xml:space="preserve">land use </w:t>
      </w:r>
      <w:r w:rsidRPr="00280F8B">
        <w:t xml:space="preserve">growth </w:t>
      </w:r>
      <w:r w:rsidR="00396F79" w:rsidRPr="00280F8B">
        <w:t xml:space="preserve">and </w:t>
      </w:r>
      <w:r w:rsidRPr="00280F8B">
        <w:t xml:space="preserve">development, </w:t>
      </w:r>
      <w:r w:rsidR="00396F79" w:rsidRPr="00280F8B">
        <w:t xml:space="preserve">of the </w:t>
      </w:r>
      <w:r w:rsidR="00ED3CFB" w:rsidRPr="00280F8B">
        <w:t>competing demands for limited</w:t>
      </w:r>
      <w:r w:rsidR="00396F79" w:rsidRPr="00280F8B">
        <w:t xml:space="preserve"> water resources, and o</w:t>
      </w:r>
      <w:r w:rsidRPr="00280F8B">
        <w:t xml:space="preserve">f </w:t>
      </w:r>
      <w:r w:rsidR="00396F79" w:rsidRPr="00280F8B">
        <w:t xml:space="preserve">the uncertainty in future </w:t>
      </w:r>
      <w:r w:rsidRPr="00280F8B">
        <w:t>climatic conditions,</w:t>
      </w:r>
      <w:r w:rsidR="00396F79" w:rsidRPr="00280F8B">
        <w:t xml:space="preserve"> the Legislature concludes that </w:t>
      </w:r>
      <w:r w:rsidRPr="00280F8B">
        <w:t xml:space="preserve">local governments </w:t>
      </w:r>
      <w:r w:rsidR="00396F79" w:rsidRPr="00280F8B">
        <w:t xml:space="preserve">should have both the responsibility and power to </w:t>
      </w:r>
      <w:r w:rsidRPr="00280F8B">
        <w:t>manag</w:t>
      </w:r>
      <w:r w:rsidR="00396F79" w:rsidRPr="00280F8B">
        <w:t>e</w:t>
      </w:r>
      <w:r w:rsidRPr="00280F8B">
        <w:t xml:space="preserve"> their </w:t>
      </w:r>
      <w:r w:rsidR="00396F79" w:rsidRPr="00280F8B">
        <w:t xml:space="preserve">land use planning and </w:t>
      </w:r>
      <w:r w:rsidRPr="00280F8B">
        <w:t>water resource</w:t>
      </w:r>
      <w:r w:rsidR="00396F79" w:rsidRPr="00280F8B">
        <w:t xml:space="preserve"> planning</w:t>
      </w:r>
      <w:r w:rsidRPr="00280F8B">
        <w:t xml:space="preserve"> in </w:t>
      </w:r>
      <w:r w:rsidR="003A33B1" w:rsidRPr="00280F8B">
        <w:t xml:space="preserve">wise, resilient, and </w:t>
      </w:r>
      <w:r w:rsidR="00396F79" w:rsidRPr="00280F8B">
        <w:t xml:space="preserve">integrated </w:t>
      </w:r>
      <w:r w:rsidRPr="00280F8B">
        <w:t>way</w:t>
      </w:r>
      <w:r w:rsidR="003A33B1" w:rsidRPr="00280F8B">
        <w:t>s</w:t>
      </w:r>
      <w:r w:rsidRPr="00280F8B">
        <w:t>.</w:t>
      </w:r>
      <w:r w:rsidR="001E12ED" w:rsidRPr="00280F8B">
        <w:t xml:space="preserve"> Historically, local government land use planning has not fully considered the connection to water supply or the impact climate may have on that supply.</w:t>
      </w:r>
    </w:p>
    <w:p w14:paraId="421BC49F" w14:textId="77777777" w:rsidR="0023436D" w:rsidRPr="00280F8B" w:rsidRDefault="0023436D" w:rsidP="005B55FB">
      <w:pPr>
        <w:widowControl w:val="0"/>
        <w:ind w:left="360" w:hanging="360"/>
      </w:pPr>
    </w:p>
    <w:p w14:paraId="3E52D4DD" w14:textId="56EEC99D" w:rsidR="0023436D" w:rsidRPr="00280F8B" w:rsidRDefault="00396F79" w:rsidP="005B55FB">
      <w:pPr>
        <w:widowControl w:val="0"/>
      </w:pPr>
      <w:r w:rsidRPr="00280F8B">
        <w:t>T</w:t>
      </w:r>
      <w:r w:rsidR="0023436D" w:rsidRPr="00280F8B">
        <w:t xml:space="preserve">his </w:t>
      </w:r>
      <w:r w:rsidRPr="00280F8B">
        <w:t>legislat</w:t>
      </w:r>
      <w:r w:rsidR="0023436D" w:rsidRPr="00280F8B">
        <w:t xml:space="preserve">ion </w:t>
      </w:r>
      <w:r w:rsidRPr="00280F8B">
        <w:t>envisions</w:t>
      </w:r>
      <w:r w:rsidR="0023436D" w:rsidRPr="00280F8B">
        <w:t xml:space="preserve"> </w:t>
      </w:r>
      <w:r w:rsidRPr="00280F8B">
        <w:t xml:space="preserve">that </w:t>
      </w:r>
      <w:r w:rsidR="0023436D" w:rsidRPr="00280F8B">
        <w:t>local government</w:t>
      </w:r>
      <w:r w:rsidR="001E12ED" w:rsidRPr="00280F8B">
        <w:t xml:space="preserve">s </w:t>
      </w:r>
      <w:r w:rsidRPr="00280F8B">
        <w:t xml:space="preserve">will include within </w:t>
      </w:r>
      <w:r w:rsidR="001E12ED" w:rsidRPr="00280F8B">
        <w:t>their</w:t>
      </w:r>
      <w:r w:rsidRPr="00280F8B">
        <w:t xml:space="preserve"> comprehensive </w:t>
      </w:r>
      <w:r w:rsidR="00ED3CFB" w:rsidRPr="00280F8B">
        <w:t xml:space="preserve">land use </w:t>
      </w:r>
      <w:r w:rsidRPr="00280F8B">
        <w:t>plan</w:t>
      </w:r>
      <w:r w:rsidR="001E12ED" w:rsidRPr="00280F8B">
        <w:t>s</w:t>
      </w:r>
      <w:r w:rsidRPr="00280F8B">
        <w:t xml:space="preserve"> a Water-Climate Element that </w:t>
      </w:r>
      <w:r w:rsidR="00ED3CFB" w:rsidRPr="00280F8B">
        <w:t>jointly analyzes projected land use development and goals alongside community water supply capacity and vulnerability.</w:t>
      </w:r>
      <w:r w:rsidR="0023436D" w:rsidRPr="00280F8B">
        <w:t xml:space="preserve"> </w:t>
      </w:r>
      <w:r w:rsidR="003A33B1" w:rsidRPr="00280F8B">
        <w:t xml:space="preserve">Joint land use and water supply planning will enable communities to play a direct role in </w:t>
      </w:r>
      <w:r w:rsidR="0023436D" w:rsidRPr="00280F8B">
        <w:t xml:space="preserve">the health of </w:t>
      </w:r>
      <w:r w:rsidR="003A33B1" w:rsidRPr="00280F8B">
        <w:t>their</w:t>
      </w:r>
      <w:r w:rsidR="0023436D" w:rsidRPr="00280F8B">
        <w:t xml:space="preserve"> </w:t>
      </w:r>
      <w:r w:rsidR="003A33B1" w:rsidRPr="00280F8B">
        <w:t xml:space="preserve">water supply </w:t>
      </w:r>
      <w:r w:rsidR="0023436D" w:rsidRPr="00280F8B">
        <w:t xml:space="preserve">systems and </w:t>
      </w:r>
      <w:r w:rsidR="003A33B1" w:rsidRPr="00280F8B">
        <w:t>incre</w:t>
      </w:r>
      <w:r w:rsidR="00194C92" w:rsidRPr="00280F8B">
        <w:t xml:space="preserve">ase awareness of their local hydrology and climate. </w:t>
      </w:r>
      <w:r w:rsidR="0023436D" w:rsidRPr="00280F8B">
        <w:t xml:space="preserve">To this end, </w:t>
      </w:r>
      <w:r w:rsidR="003A33B1" w:rsidRPr="00280F8B">
        <w:t xml:space="preserve">the Legislature </w:t>
      </w:r>
      <w:r w:rsidR="0023436D" w:rsidRPr="00280F8B">
        <w:t>inten</w:t>
      </w:r>
      <w:r w:rsidR="003A33B1" w:rsidRPr="00280F8B">
        <w:t>ds</w:t>
      </w:r>
      <w:r w:rsidR="0023436D" w:rsidRPr="00280F8B">
        <w:t xml:space="preserve"> local governments </w:t>
      </w:r>
      <w:r w:rsidR="003A33B1" w:rsidRPr="00280F8B">
        <w:t xml:space="preserve">to </w:t>
      </w:r>
      <w:r w:rsidR="0023436D" w:rsidRPr="00280F8B">
        <w:t xml:space="preserve">use this planning </w:t>
      </w:r>
      <w:r w:rsidR="003A33B1" w:rsidRPr="00280F8B">
        <w:t>element</w:t>
      </w:r>
      <w:r w:rsidR="0023436D" w:rsidRPr="00280F8B">
        <w:t xml:space="preserve"> to identify areas where the</w:t>
      </w:r>
      <w:r w:rsidR="00C660A6" w:rsidRPr="00280F8B">
        <w:t xml:space="preserve"> </w:t>
      </w:r>
      <w:r w:rsidR="0023436D" w:rsidRPr="00280F8B">
        <w:t>community’s anticipated or desired pattern of growth</w:t>
      </w:r>
      <w:r w:rsidR="003A33B1" w:rsidRPr="00280F8B">
        <w:t xml:space="preserve"> may </w:t>
      </w:r>
      <w:r w:rsidR="00C660A6" w:rsidRPr="00280F8B">
        <w:t>place unrealistic demands</w:t>
      </w:r>
      <w:r w:rsidR="003A33B1" w:rsidRPr="00280F8B">
        <w:t xml:space="preserve"> </w:t>
      </w:r>
      <w:r w:rsidR="00C660A6" w:rsidRPr="00280F8B">
        <w:t>on</w:t>
      </w:r>
      <w:r w:rsidR="003A33B1" w:rsidRPr="00280F8B">
        <w:t xml:space="preserve"> existing water suppl</w:t>
      </w:r>
      <w:r w:rsidR="001E12ED" w:rsidRPr="00280F8B">
        <w:t>y</w:t>
      </w:r>
      <w:r w:rsidR="0023436D" w:rsidRPr="00280F8B">
        <w:t>. From this, local</w:t>
      </w:r>
      <w:r w:rsidR="003A33B1" w:rsidRPr="00280F8B">
        <w:t xml:space="preserve"> g</w:t>
      </w:r>
      <w:r w:rsidR="0023436D" w:rsidRPr="00280F8B">
        <w:t xml:space="preserve">overnments </w:t>
      </w:r>
      <w:r w:rsidR="001E12ED" w:rsidRPr="00280F8B">
        <w:t>can</w:t>
      </w:r>
      <w:r w:rsidR="0023436D" w:rsidRPr="00280F8B">
        <w:t xml:space="preserve"> </w:t>
      </w:r>
      <w:r w:rsidR="001E12ED" w:rsidRPr="00280F8B">
        <w:t>develop informed responses</w:t>
      </w:r>
      <w:r w:rsidR="0023436D" w:rsidRPr="00280F8B">
        <w:t xml:space="preserve"> </w:t>
      </w:r>
      <w:r w:rsidR="001E12ED" w:rsidRPr="00280F8B">
        <w:t xml:space="preserve">to water shortages, collaborate in </w:t>
      </w:r>
      <w:r w:rsidR="009D463E" w:rsidRPr="00280F8B">
        <w:t>area</w:t>
      </w:r>
      <w:r w:rsidR="001E12ED" w:rsidRPr="00280F8B">
        <w:t xml:space="preserve">s of shared water resources, </w:t>
      </w:r>
      <w:r w:rsidR="003A33B1" w:rsidRPr="00280F8B">
        <w:t xml:space="preserve">and </w:t>
      </w:r>
      <w:r w:rsidR="007F2D38" w:rsidRPr="00280F8B">
        <w:t xml:space="preserve">responsibly </w:t>
      </w:r>
      <w:r w:rsidR="003A33B1" w:rsidRPr="00280F8B">
        <w:t>plan their water futures</w:t>
      </w:r>
      <w:r w:rsidR="0023436D" w:rsidRPr="00280F8B">
        <w:t>.</w:t>
      </w:r>
    </w:p>
    <w:p w14:paraId="0ABCF89B" w14:textId="77777777" w:rsidR="0023436D" w:rsidRPr="00280F8B" w:rsidRDefault="0023436D" w:rsidP="0023436D">
      <w:pPr>
        <w:widowControl w:val="0"/>
        <w:ind w:right="720"/>
      </w:pPr>
    </w:p>
    <w:p w14:paraId="5C398E1B" w14:textId="6CD995C1" w:rsidR="00A241C3" w:rsidRPr="00280F8B" w:rsidRDefault="00A241C3" w:rsidP="00A241C3">
      <w:pPr>
        <w:pStyle w:val="Heading2"/>
      </w:pPr>
      <w:bookmarkStart w:id="4" w:name="_Toc405804315"/>
      <w:r w:rsidRPr="00280F8B">
        <w:t>Water-Climate Element</w:t>
      </w:r>
      <w:bookmarkEnd w:id="4"/>
      <w:r w:rsidR="00303C72" w:rsidRPr="00303C72">
        <w:rPr>
          <w:rStyle w:val="FootnoteReference"/>
          <w:b w:val="0"/>
          <w:color w:val="auto"/>
          <w:sz w:val="24"/>
          <w:szCs w:val="24"/>
        </w:rPr>
        <w:footnoteReference w:id="1"/>
      </w:r>
    </w:p>
    <w:p w14:paraId="270D835E" w14:textId="77777777" w:rsidR="00A241C3" w:rsidRPr="00280F8B" w:rsidRDefault="00A241C3" w:rsidP="0023436D">
      <w:pPr>
        <w:widowControl w:val="0"/>
        <w:ind w:right="720"/>
      </w:pPr>
    </w:p>
    <w:p w14:paraId="0E9A0F61" w14:textId="388D7EA9" w:rsidR="0023436D" w:rsidRPr="00280F8B" w:rsidRDefault="0023436D" w:rsidP="0023436D">
      <w:pPr>
        <w:widowControl w:val="0"/>
        <w:rPr>
          <w:color w:val="000000"/>
        </w:rPr>
      </w:pPr>
      <w:r w:rsidRPr="00280F8B">
        <w:rPr>
          <w:b/>
          <w:bCs/>
          <w:color w:val="000000"/>
        </w:rPr>
        <w:t>[</w:t>
      </w:r>
      <w:r w:rsidR="00A241C3" w:rsidRPr="00280F8B">
        <w:rPr>
          <w:b/>
          <w:bCs/>
          <w:color w:val="000000"/>
        </w:rPr>
        <w:t>§</w:t>
      </w:r>
      <w:r w:rsidRPr="00280F8B">
        <w:rPr>
          <w:b/>
          <w:bCs/>
          <w:color w:val="000000"/>
        </w:rPr>
        <w:t xml:space="preserve"> </w:t>
      </w:r>
      <w:r w:rsidR="00A241C3" w:rsidRPr="00280F8B">
        <w:rPr>
          <w:b/>
          <w:bCs/>
          <w:color w:val="000000"/>
        </w:rPr>
        <w:t>A</w:t>
      </w:r>
      <w:r w:rsidRPr="00280F8B">
        <w:rPr>
          <w:b/>
          <w:bCs/>
          <w:color w:val="000000"/>
        </w:rPr>
        <w:t>]</w:t>
      </w:r>
      <w:r w:rsidRPr="00280F8B">
        <w:rPr>
          <w:color w:val="000000"/>
        </w:rPr>
        <w:t xml:space="preserve"> </w:t>
      </w:r>
      <w:r w:rsidR="000A2FBA" w:rsidRPr="00280F8B">
        <w:rPr>
          <w:b/>
          <w:bCs/>
          <w:color w:val="000000"/>
        </w:rPr>
        <w:t>Water-</w:t>
      </w:r>
      <w:r w:rsidRPr="00280F8B">
        <w:rPr>
          <w:b/>
          <w:bCs/>
          <w:color w:val="000000"/>
        </w:rPr>
        <w:t xml:space="preserve">Climate Element. </w:t>
      </w:r>
      <w:r w:rsidR="00ED3CFB" w:rsidRPr="00280F8B">
        <w:rPr>
          <w:bCs/>
          <w:color w:val="000000"/>
        </w:rPr>
        <w:t>A local government</w:t>
      </w:r>
      <w:r w:rsidRPr="00280F8B">
        <w:rPr>
          <w:color w:val="000000"/>
        </w:rPr>
        <w:t xml:space="preserve"> </w:t>
      </w:r>
      <w:r w:rsidR="00ED3CFB" w:rsidRPr="00280F8B">
        <w:rPr>
          <w:color w:val="000000"/>
        </w:rPr>
        <w:t>c</w:t>
      </w:r>
      <w:r w:rsidRPr="00280F8B">
        <w:rPr>
          <w:color w:val="000000"/>
        </w:rPr>
        <w:t>omprehensive plan shall</w:t>
      </w:r>
      <w:r w:rsidR="001E12ED" w:rsidRPr="00280F8B">
        <w:rPr>
          <w:rStyle w:val="FootnoteReference"/>
          <w:color w:val="000000"/>
        </w:rPr>
        <w:footnoteReference w:id="2"/>
      </w:r>
      <w:r w:rsidRPr="00280F8B">
        <w:rPr>
          <w:color w:val="000000"/>
        </w:rPr>
        <w:t xml:space="preserve"> include a Water-Climate Element</w:t>
      </w:r>
      <w:r w:rsidR="00ED3CFB" w:rsidRPr="00280F8B">
        <w:rPr>
          <w:color w:val="000000"/>
        </w:rPr>
        <w:t xml:space="preserve"> that contains the </w:t>
      </w:r>
      <w:r w:rsidRPr="00280F8B">
        <w:rPr>
          <w:color w:val="000000"/>
        </w:rPr>
        <w:t>following:</w:t>
      </w:r>
    </w:p>
    <w:p w14:paraId="474CB123" w14:textId="77777777" w:rsidR="000A2FBA" w:rsidRPr="00280F8B" w:rsidRDefault="000A2FBA" w:rsidP="0023436D">
      <w:pPr>
        <w:widowControl w:val="0"/>
        <w:rPr>
          <w:color w:val="000000"/>
        </w:rPr>
      </w:pPr>
    </w:p>
    <w:p w14:paraId="64346EB1" w14:textId="7AFEB699" w:rsidR="0023436D" w:rsidRPr="00280F8B" w:rsidRDefault="005F0A38" w:rsidP="0023436D">
      <w:pPr>
        <w:pStyle w:val="ColorfulList-Accent11"/>
        <w:widowControl w:val="0"/>
        <w:numPr>
          <w:ilvl w:val="0"/>
          <w:numId w:val="4"/>
        </w:numPr>
        <w:contextualSpacing w:val="0"/>
      </w:pPr>
      <w:r w:rsidRPr="00280F8B">
        <w:rPr>
          <w:color w:val="000000"/>
        </w:rPr>
        <w:t xml:space="preserve"> </w:t>
      </w:r>
      <w:r w:rsidR="00ED3CFB" w:rsidRPr="00280F8B">
        <w:rPr>
          <w:color w:val="000000"/>
        </w:rPr>
        <w:t xml:space="preserve">A </w:t>
      </w:r>
      <w:r w:rsidR="009D463E" w:rsidRPr="00280F8B">
        <w:rPr>
          <w:color w:val="000000"/>
        </w:rPr>
        <w:t>comprehensive</w:t>
      </w:r>
      <w:r w:rsidR="0023436D" w:rsidRPr="00280F8B">
        <w:rPr>
          <w:color w:val="000000"/>
        </w:rPr>
        <w:t xml:space="preserve"> </w:t>
      </w:r>
      <w:r w:rsidR="00B5217C" w:rsidRPr="00280F8B">
        <w:rPr>
          <w:color w:val="000000"/>
        </w:rPr>
        <w:t xml:space="preserve">inventory </w:t>
      </w:r>
      <w:r w:rsidR="0023436D" w:rsidRPr="00280F8B">
        <w:rPr>
          <w:color w:val="000000"/>
        </w:rPr>
        <w:t xml:space="preserve">of </w:t>
      </w:r>
      <w:r w:rsidR="009D463E" w:rsidRPr="00280F8B">
        <w:rPr>
          <w:color w:val="000000"/>
        </w:rPr>
        <w:t xml:space="preserve">the </w:t>
      </w:r>
      <w:r w:rsidR="00B5217C" w:rsidRPr="00280F8B">
        <w:rPr>
          <w:color w:val="000000"/>
        </w:rPr>
        <w:t>local government</w:t>
      </w:r>
      <w:r w:rsidR="009D463E" w:rsidRPr="00280F8B">
        <w:rPr>
          <w:color w:val="000000"/>
        </w:rPr>
        <w:t xml:space="preserve">’s </w:t>
      </w:r>
      <w:r w:rsidR="0023436D" w:rsidRPr="00280F8B">
        <w:rPr>
          <w:color w:val="000000"/>
        </w:rPr>
        <w:t xml:space="preserve">water </w:t>
      </w:r>
      <w:r w:rsidR="009D463E" w:rsidRPr="00280F8B">
        <w:rPr>
          <w:color w:val="000000"/>
        </w:rPr>
        <w:t>r</w:t>
      </w:r>
      <w:r w:rsidR="0023436D" w:rsidRPr="00280F8B">
        <w:rPr>
          <w:color w:val="000000"/>
        </w:rPr>
        <w:t xml:space="preserve">esources </w:t>
      </w:r>
      <w:r w:rsidR="009D463E" w:rsidRPr="00280F8B">
        <w:rPr>
          <w:color w:val="000000"/>
        </w:rPr>
        <w:t>that</w:t>
      </w:r>
      <w:r w:rsidR="00280F8B" w:rsidRPr="00280F8B">
        <w:rPr>
          <w:color w:val="000000"/>
        </w:rPr>
        <w:t>:</w:t>
      </w:r>
      <w:r w:rsidR="009D463E" w:rsidRPr="00280F8B">
        <w:rPr>
          <w:color w:val="000000"/>
        </w:rPr>
        <w:t xml:space="preserve"> </w:t>
      </w:r>
    </w:p>
    <w:p w14:paraId="4A877A7B" w14:textId="039327A6" w:rsidR="00564294" w:rsidRPr="00280F8B" w:rsidRDefault="00280F8B" w:rsidP="0023436D">
      <w:pPr>
        <w:pStyle w:val="ColorfulList-Accent11"/>
        <w:widowControl w:val="0"/>
        <w:numPr>
          <w:ilvl w:val="0"/>
          <w:numId w:val="7"/>
        </w:numPr>
        <w:contextualSpacing w:val="0"/>
        <w:textAlignment w:val="baseline"/>
        <w:rPr>
          <w:color w:val="000000"/>
        </w:rPr>
      </w:pPr>
      <w:r w:rsidRPr="00280F8B">
        <w:rPr>
          <w:color w:val="000000"/>
        </w:rPr>
        <w:t>describes</w:t>
      </w:r>
      <w:r w:rsidR="00564294" w:rsidRPr="00280F8B">
        <w:rPr>
          <w:color w:val="000000"/>
        </w:rPr>
        <w:t xml:space="preserve"> all </w:t>
      </w:r>
      <w:r w:rsidRPr="00280F8B">
        <w:rPr>
          <w:color w:val="000000"/>
        </w:rPr>
        <w:t xml:space="preserve">of </w:t>
      </w:r>
      <w:r w:rsidR="005B55FB" w:rsidRPr="00280F8B">
        <w:rPr>
          <w:color w:val="000000"/>
        </w:rPr>
        <w:t xml:space="preserve">the </w:t>
      </w:r>
      <w:r w:rsidR="00564294" w:rsidRPr="00280F8B">
        <w:rPr>
          <w:color w:val="000000"/>
        </w:rPr>
        <w:t>water resources</w:t>
      </w:r>
      <w:r w:rsidR="00140736">
        <w:rPr>
          <w:color w:val="000000"/>
        </w:rPr>
        <w:t xml:space="preserve"> of the jurisdiction</w:t>
      </w:r>
      <w:r w:rsidR="00564294" w:rsidRPr="00280F8B">
        <w:rPr>
          <w:color w:val="000000"/>
        </w:rPr>
        <w:t xml:space="preserve">, including all surface and ground water </w:t>
      </w:r>
      <w:r w:rsidR="00F26192" w:rsidRPr="00280F8B">
        <w:rPr>
          <w:color w:val="000000"/>
        </w:rPr>
        <w:t>in all watersheds</w:t>
      </w:r>
      <w:r w:rsidR="00F26192" w:rsidRPr="00280F8B">
        <w:rPr>
          <w:rStyle w:val="FootnoteReference"/>
          <w:color w:val="000000"/>
        </w:rPr>
        <w:footnoteReference w:id="3"/>
      </w:r>
      <w:r w:rsidR="00F26192" w:rsidRPr="00280F8B">
        <w:rPr>
          <w:color w:val="000000"/>
        </w:rPr>
        <w:t xml:space="preserve"> contributing to, and affecting availability of, water </w:t>
      </w:r>
      <w:r w:rsidR="00140736">
        <w:rPr>
          <w:color w:val="000000"/>
        </w:rPr>
        <w:t>supply</w:t>
      </w:r>
      <w:r w:rsidR="00F26192" w:rsidRPr="00280F8B">
        <w:rPr>
          <w:color w:val="000000"/>
        </w:rPr>
        <w:t xml:space="preserve"> within the jurisdiction</w:t>
      </w:r>
      <w:r>
        <w:rPr>
          <w:color w:val="000000"/>
        </w:rPr>
        <w:t>;</w:t>
      </w:r>
    </w:p>
    <w:p w14:paraId="4A729607" w14:textId="02799A71" w:rsidR="0023436D" w:rsidRPr="00280F8B" w:rsidRDefault="00D17330" w:rsidP="0023436D">
      <w:pPr>
        <w:pStyle w:val="ColorfulList-Accent11"/>
        <w:widowControl w:val="0"/>
        <w:numPr>
          <w:ilvl w:val="0"/>
          <w:numId w:val="7"/>
        </w:numPr>
        <w:contextualSpacing w:val="0"/>
        <w:textAlignment w:val="baseline"/>
        <w:rPr>
          <w:color w:val="000000"/>
        </w:rPr>
      </w:pPr>
      <w:r>
        <w:rPr>
          <w:color w:val="000000"/>
        </w:rPr>
        <w:t xml:space="preserve">summarizes </w:t>
      </w:r>
      <w:r w:rsidR="00B5217C" w:rsidRPr="00280F8B">
        <w:rPr>
          <w:color w:val="000000"/>
        </w:rPr>
        <w:t xml:space="preserve">scientific </w:t>
      </w:r>
      <w:r w:rsidR="0023436D" w:rsidRPr="00280F8B">
        <w:rPr>
          <w:color w:val="000000"/>
        </w:rPr>
        <w:t xml:space="preserve">data on </w:t>
      </w:r>
      <w:r w:rsidR="00B5217C" w:rsidRPr="00280F8B">
        <w:rPr>
          <w:color w:val="000000"/>
        </w:rPr>
        <w:t>the quantity</w:t>
      </w:r>
      <w:r w:rsidR="006E6BC3" w:rsidRPr="00280F8B">
        <w:rPr>
          <w:color w:val="000000"/>
        </w:rPr>
        <w:t>,</w:t>
      </w:r>
      <w:r w:rsidR="00B5217C" w:rsidRPr="00280F8B">
        <w:rPr>
          <w:color w:val="000000"/>
        </w:rPr>
        <w:t xml:space="preserve"> </w:t>
      </w:r>
      <w:r w:rsidR="006E6BC3" w:rsidRPr="00280F8B">
        <w:rPr>
          <w:color w:val="000000"/>
        </w:rPr>
        <w:t xml:space="preserve">quality, </w:t>
      </w:r>
      <w:r w:rsidR="00B11B10" w:rsidRPr="00280F8B">
        <w:rPr>
          <w:color w:val="000000"/>
        </w:rPr>
        <w:t xml:space="preserve">and </w:t>
      </w:r>
      <w:r w:rsidR="00140736">
        <w:rPr>
          <w:color w:val="000000"/>
        </w:rPr>
        <w:t xml:space="preserve">hydrologic </w:t>
      </w:r>
      <w:r w:rsidR="00B11B10" w:rsidRPr="00280F8B">
        <w:rPr>
          <w:color w:val="000000"/>
        </w:rPr>
        <w:t xml:space="preserve">function </w:t>
      </w:r>
      <w:r w:rsidR="00B5217C" w:rsidRPr="00280F8B">
        <w:rPr>
          <w:color w:val="000000"/>
        </w:rPr>
        <w:t>of</w:t>
      </w:r>
      <w:r w:rsidR="000A2FBA" w:rsidRPr="00280F8B">
        <w:rPr>
          <w:color w:val="000000"/>
        </w:rPr>
        <w:t xml:space="preserve"> all</w:t>
      </w:r>
      <w:r w:rsidR="00B5217C" w:rsidRPr="00280F8B">
        <w:rPr>
          <w:color w:val="000000"/>
        </w:rPr>
        <w:t xml:space="preserve"> water resources </w:t>
      </w:r>
      <w:r w:rsidR="005B55FB" w:rsidRPr="00280F8B">
        <w:rPr>
          <w:color w:val="000000"/>
        </w:rPr>
        <w:t>describe</w:t>
      </w:r>
      <w:r w:rsidR="00B11B10" w:rsidRPr="00280F8B">
        <w:rPr>
          <w:color w:val="000000"/>
        </w:rPr>
        <w:t>d in (1)(a);</w:t>
      </w:r>
    </w:p>
    <w:p w14:paraId="28F2601D" w14:textId="7AA3AD6E" w:rsidR="00BA4FAF" w:rsidRPr="00280F8B" w:rsidRDefault="007A51DF" w:rsidP="00BA4FAF">
      <w:pPr>
        <w:pStyle w:val="ColorfulList-Accent11"/>
        <w:widowControl w:val="0"/>
        <w:numPr>
          <w:ilvl w:val="0"/>
          <w:numId w:val="7"/>
        </w:numPr>
        <w:contextualSpacing w:val="0"/>
      </w:pPr>
      <w:r w:rsidRPr="00280F8B">
        <w:t>identifi</w:t>
      </w:r>
      <w:r w:rsidR="00280F8B">
        <w:t>es</w:t>
      </w:r>
      <w:r w:rsidRPr="00280F8B">
        <w:t xml:space="preserve"> the water resources legally available</w:t>
      </w:r>
      <w:r w:rsidR="00D17330">
        <w:t xml:space="preserve"> </w:t>
      </w:r>
      <w:bookmarkStart w:id="5" w:name="_GoBack"/>
      <w:bookmarkEnd w:id="5"/>
      <w:r w:rsidR="00140736">
        <w:t>to meet the</w:t>
      </w:r>
      <w:r w:rsidRPr="00280F8B">
        <w:t xml:space="preserve"> </w:t>
      </w:r>
      <w:r w:rsidR="00140736">
        <w:t xml:space="preserve">water supply needs within the </w:t>
      </w:r>
      <w:r w:rsidRPr="00280F8B">
        <w:t>jurisdiction;</w:t>
      </w:r>
      <w:r w:rsidR="00D17330" w:rsidRPr="00280F8B">
        <w:rPr>
          <w:rStyle w:val="FootnoteReference"/>
        </w:rPr>
        <w:footnoteReference w:id="4"/>
      </w:r>
      <w:r w:rsidR="00D17330" w:rsidRPr="00280F8B">
        <w:t xml:space="preserve"> </w:t>
      </w:r>
      <w:r w:rsidRPr="00280F8B">
        <w:t xml:space="preserve"> </w:t>
      </w:r>
    </w:p>
    <w:p w14:paraId="75E4002C" w14:textId="76A83E29" w:rsidR="00140736" w:rsidRPr="00140736" w:rsidRDefault="0023436D" w:rsidP="00140736">
      <w:pPr>
        <w:pStyle w:val="ColorfulList-Accent11"/>
        <w:widowControl w:val="0"/>
        <w:numPr>
          <w:ilvl w:val="0"/>
          <w:numId w:val="7"/>
        </w:numPr>
        <w:contextualSpacing w:val="0"/>
      </w:pPr>
      <w:proofErr w:type="gramStart"/>
      <w:r w:rsidRPr="00280F8B">
        <w:rPr>
          <w:color w:val="000000"/>
        </w:rPr>
        <w:t>projects</w:t>
      </w:r>
      <w:proofErr w:type="gramEnd"/>
      <w:r w:rsidRPr="00280F8B">
        <w:rPr>
          <w:color w:val="000000"/>
        </w:rPr>
        <w:t xml:space="preserve"> how</w:t>
      </w:r>
      <w:r w:rsidR="009D463E" w:rsidRPr="00280F8B">
        <w:rPr>
          <w:color w:val="000000"/>
        </w:rPr>
        <w:t xml:space="preserve"> future </w:t>
      </w:r>
      <w:r w:rsidR="00411208" w:rsidRPr="00280F8B">
        <w:rPr>
          <w:color w:val="000000"/>
        </w:rPr>
        <w:t xml:space="preserve">climate </w:t>
      </w:r>
      <w:r w:rsidR="009D463E" w:rsidRPr="00280F8B">
        <w:rPr>
          <w:color w:val="000000"/>
        </w:rPr>
        <w:t>varia</w:t>
      </w:r>
      <w:r w:rsidR="00411208" w:rsidRPr="00280F8B">
        <w:rPr>
          <w:color w:val="000000"/>
        </w:rPr>
        <w:t>bility</w:t>
      </w:r>
      <w:r w:rsidR="009D463E" w:rsidRPr="00280F8B">
        <w:rPr>
          <w:color w:val="000000"/>
        </w:rPr>
        <w:t xml:space="preserve"> </w:t>
      </w:r>
      <w:r w:rsidRPr="00280F8B">
        <w:rPr>
          <w:color w:val="000000"/>
        </w:rPr>
        <w:t xml:space="preserve">may affect the </w:t>
      </w:r>
      <w:r w:rsidR="00251F5E" w:rsidRPr="00280F8B">
        <w:rPr>
          <w:color w:val="000000"/>
        </w:rPr>
        <w:t>quantit</w:t>
      </w:r>
      <w:r w:rsidRPr="00280F8B">
        <w:rPr>
          <w:color w:val="000000"/>
        </w:rPr>
        <w:t>y</w:t>
      </w:r>
      <w:r w:rsidR="000A2FBA" w:rsidRPr="00280F8B">
        <w:rPr>
          <w:color w:val="000000"/>
        </w:rPr>
        <w:t xml:space="preserve">, </w:t>
      </w:r>
      <w:r w:rsidR="005F0A38" w:rsidRPr="00280F8B">
        <w:rPr>
          <w:color w:val="000000"/>
        </w:rPr>
        <w:t>q</w:t>
      </w:r>
      <w:r w:rsidR="000A2FBA" w:rsidRPr="00280F8B">
        <w:rPr>
          <w:color w:val="000000"/>
        </w:rPr>
        <w:t>uality</w:t>
      </w:r>
      <w:r w:rsidR="005F0A38" w:rsidRPr="00280F8B">
        <w:rPr>
          <w:color w:val="000000"/>
        </w:rPr>
        <w:t xml:space="preserve">, </w:t>
      </w:r>
      <w:r w:rsidR="00140736">
        <w:rPr>
          <w:color w:val="000000"/>
        </w:rPr>
        <w:t xml:space="preserve">hydrologic </w:t>
      </w:r>
      <w:r w:rsidR="00140736" w:rsidRPr="00280F8B">
        <w:rPr>
          <w:color w:val="000000"/>
        </w:rPr>
        <w:t xml:space="preserve">function, </w:t>
      </w:r>
      <w:r w:rsidR="005F0A38" w:rsidRPr="00280F8B">
        <w:rPr>
          <w:color w:val="000000"/>
        </w:rPr>
        <w:t>and legal availability</w:t>
      </w:r>
      <w:r w:rsidRPr="00280F8B">
        <w:rPr>
          <w:color w:val="000000"/>
        </w:rPr>
        <w:t xml:space="preserve"> of </w:t>
      </w:r>
      <w:r w:rsidR="000A2FBA" w:rsidRPr="00280F8B">
        <w:rPr>
          <w:color w:val="000000"/>
        </w:rPr>
        <w:t xml:space="preserve">all water resources </w:t>
      </w:r>
      <w:r w:rsidR="005B55FB" w:rsidRPr="00280F8B">
        <w:rPr>
          <w:color w:val="000000"/>
        </w:rPr>
        <w:t>describ</w:t>
      </w:r>
      <w:r w:rsidR="000A2FBA" w:rsidRPr="00280F8B">
        <w:rPr>
          <w:color w:val="000000"/>
        </w:rPr>
        <w:t xml:space="preserve">ed in </w:t>
      </w:r>
      <w:r w:rsidR="000936FB" w:rsidRPr="00280F8B">
        <w:rPr>
          <w:color w:val="000000"/>
        </w:rPr>
        <w:t>(1)</w:t>
      </w:r>
      <w:r w:rsidR="000A2FBA" w:rsidRPr="00280F8B">
        <w:rPr>
          <w:color w:val="000000"/>
        </w:rPr>
        <w:t>(a).</w:t>
      </w:r>
    </w:p>
    <w:p w14:paraId="1A1DE5F6" w14:textId="46E79082" w:rsidR="0023436D" w:rsidRPr="00280F8B" w:rsidRDefault="00140736" w:rsidP="00140736">
      <w:pPr>
        <w:pStyle w:val="ColorfulList-Accent11"/>
        <w:widowControl w:val="0"/>
        <w:contextualSpacing w:val="0"/>
      </w:pPr>
      <w:r w:rsidRPr="00280F8B">
        <w:t xml:space="preserve"> </w:t>
      </w:r>
    </w:p>
    <w:p w14:paraId="080BBCAD" w14:textId="5231137E" w:rsidR="0023436D" w:rsidRPr="00280F8B" w:rsidRDefault="005F0A38" w:rsidP="0023436D">
      <w:pPr>
        <w:pStyle w:val="ColorfulList-Accent11"/>
        <w:widowControl w:val="0"/>
        <w:numPr>
          <w:ilvl w:val="0"/>
          <w:numId w:val="4"/>
        </w:numPr>
        <w:contextualSpacing w:val="0"/>
      </w:pPr>
      <w:r w:rsidRPr="00280F8B">
        <w:rPr>
          <w:color w:val="000000"/>
        </w:rPr>
        <w:t xml:space="preserve"> </w:t>
      </w:r>
      <w:r w:rsidR="00ED3CFB" w:rsidRPr="00280F8B">
        <w:rPr>
          <w:color w:val="000000"/>
        </w:rPr>
        <w:t>A</w:t>
      </w:r>
      <w:r w:rsidR="00140736">
        <w:rPr>
          <w:color w:val="000000"/>
        </w:rPr>
        <w:t>n</w:t>
      </w:r>
      <w:r w:rsidR="007A51DF" w:rsidRPr="00280F8B">
        <w:rPr>
          <w:color w:val="000000"/>
        </w:rPr>
        <w:t xml:space="preserve"> </w:t>
      </w:r>
      <w:r w:rsidR="0023436D" w:rsidRPr="00280F8B">
        <w:rPr>
          <w:color w:val="000000"/>
        </w:rPr>
        <w:t xml:space="preserve">analysis </w:t>
      </w:r>
      <w:r w:rsidR="00140736">
        <w:rPr>
          <w:color w:val="000000"/>
        </w:rPr>
        <w:t>of</w:t>
      </w:r>
      <w:r w:rsidR="0023436D" w:rsidRPr="00280F8B">
        <w:rPr>
          <w:color w:val="000000"/>
        </w:rPr>
        <w:t xml:space="preserve"> the </w:t>
      </w:r>
      <w:r w:rsidR="00871E76" w:rsidRPr="00280F8B">
        <w:rPr>
          <w:color w:val="000000"/>
        </w:rPr>
        <w:t>local government</w:t>
      </w:r>
      <w:r w:rsidR="0023436D" w:rsidRPr="00280F8B">
        <w:rPr>
          <w:color w:val="000000"/>
        </w:rPr>
        <w:t>’s</w:t>
      </w:r>
      <w:r w:rsidR="005B55FB" w:rsidRPr="00280F8B">
        <w:rPr>
          <w:color w:val="000000"/>
        </w:rPr>
        <w:t xml:space="preserve"> water resources </w:t>
      </w:r>
      <w:r w:rsidR="00140736">
        <w:rPr>
          <w:color w:val="000000"/>
        </w:rPr>
        <w:t xml:space="preserve">capacity </w:t>
      </w:r>
      <w:r w:rsidR="005B55FB" w:rsidRPr="00280F8B">
        <w:rPr>
          <w:color w:val="000000"/>
        </w:rPr>
        <w:t>that</w:t>
      </w:r>
      <w:r w:rsidR="00305B41">
        <w:rPr>
          <w:color w:val="000000"/>
        </w:rPr>
        <w:t>:</w:t>
      </w:r>
      <w:r w:rsidR="005B55FB" w:rsidRPr="00280F8B">
        <w:rPr>
          <w:color w:val="000000"/>
        </w:rPr>
        <w:t xml:space="preserve"> </w:t>
      </w:r>
    </w:p>
    <w:p w14:paraId="4551F610" w14:textId="1A7825C8" w:rsidR="0023436D" w:rsidRPr="00280F8B" w:rsidRDefault="0023436D" w:rsidP="0023436D">
      <w:pPr>
        <w:pStyle w:val="ColorfulList-Accent11"/>
        <w:widowControl w:val="0"/>
        <w:numPr>
          <w:ilvl w:val="0"/>
          <w:numId w:val="8"/>
        </w:numPr>
        <w:contextualSpacing w:val="0"/>
      </w:pPr>
      <w:r w:rsidRPr="00280F8B">
        <w:rPr>
          <w:color w:val="000000"/>
        </w:rPr>
        <w:t>compar</w:t>
      </w:r>
      <w:r w:rsidR="00866826" w:rsidRPr="00280F8B">
        <w:rPr>
          <w:color w:val="000000"/>
        </w:rPr>
        <w:t>es</w:t>
      </w:r>
      <w:r w:rsidRPr="00280F8B">
        <w:rPr>
          <w:color w:val="000000"/>
        </w:rPr>
        <w:t xml:space="preserve"> </w:t>
      </w:r>
      <w:r w:rsidR="009F3EDB" w:rsidRPr="00280F8B">
        <w:rPr>
          <w:color w:val="000000"/>
        </w:rPr>
        <w:t xml:space="preserve">the </w:t>
      </w:r>
      <w:r w:rsidR="00305B41">
        <w:rPr>
          <w:color w:val="000000"/>
        </w:rPr>
        <w:t>jurisdiction’s water supply availability</w:t>
      </w:r>
      <w:r w:rsidR="0097341C" w:rsidRPr="00280F8B">
        <w:rPr>
          <w:color w:val="000000"/>
        </w:rPr>
        <w:t xml:space="preserve"> </w:t>
      </w:r>
      <w:r w:rsidR="00305B41">
        <w:rPr>
          <w:color w:val="000000"/>
        </w:rPr>
        <w:t xml:space="preserve">under </w:t>
      </w:r>
      <w:r w:rsidR="0097341C" w:rsidRPr="00280F8B">
        <w:rPr>
          <w:color w:val="000000"/>
        </w:rPr>
        <w:t xml:space="preserve">(1) </w:t>
      </w:r>
      <w:r w:rsidR="00305B41">
        <w:rPr>
          <w:color w:val="000000"/>
        </w:rPr>
        <w:t xml:space="preserve">with </w:t>
      </w:r>
      <w:r w:rsidR="009F3EDB" w:rsidRPr="00280F8B">
        <w:rPr>
          <w:color w:val="000000"/>
        </w:rPr>
        <w:t xml:space="preserve">the </w:t>
      </w:r>
      <w:r w:rsidR="00305B41">
        <w:rPr>
          <w:color w:val="000000"/>
        </w:rPr>
        <w:t xml:space="preserve">jurisdiction’s water </w:t>
      </w:r>
      <w:r w:rsidR="009F3EDB" w:rsidRPr="00280F8B">
        <w:rPr>
          <w:color w:val="000000"/>
        </w:rPr>
        <w:t>supply ne</w:t>
      </w:r>
      <w:r w:rsidR="00305B41">
        <w:rPr>
          <w:color w:val="000000"/>
        </w:rPr>
        <w:t xml:space="preserve">eds </w:t>
      </w:r>
      <w:r w:rsidR="00257755" w:rsidRPr="00280F8B">
        <w:rPr>
          <w:color w:val="000000"/>
        </w:rPr>
        <w:t>to support</w:t>
      </w:r>
      <w:r w:rsidR="009F3EDB" w:rsidRPr="00280F8B">
        <w:rPr>
          <w:color w:val="000000"/>
        </w:rPr>
        <w:t xml:space="preserve"> </w:t>
      </w:r>
      <w:r w:rsidR="00305B41">
        <w:rPr>
          <w:color w:val="000000"/>
        </w:rPr>
        <w:t xml:space="preserve">its </w:t>
      </w:r>
      <w:r w:rsidR="009F3EDB" w:rsidRPr="00280F8B">
        <w:rPr>
          <w:color w:val="000000"/>
        </w:rPr>
        <w:t xml:space="preserve">current and projected </w:t>
      </w:r>
      <w:r w:rsidR="00945E55" w:rsidRPr="00280F8B">
        <w:rPr>
          <w:color w:val="000000"/>
        </w:rPr>
        <w:t>population</w:t>
      </w:r>
      <w:r w:rsidR="00636F11">
        <w:rPr>
          <w:color w:val="000000"/>
        </w:rPr>
        <w:t xml:space="preserve"> and land uses</w:t>
      </w:r>
      <w:r w:rsidRPr="00280F8B">
        <w:rPr>
          <w:color w:val="000000"/>
        </w:rPr>
        <w:t>;</w:t>
      </w:r>
      <w:r w:rsidR="00305B41">
        <w:rPr>
          <w:rStyle w:val="FootnoteReference"/>
          <w:color w:val="000000"/>
        </w:rPr>
        <w:footnoteReference w:id="5"/>
      </w:r>
    </w:p>
    <w:p w14:paraId="7459AD02" w14:textId="739713E2" w:rsidR="0023436D" w:rsidRPr="00280F8B" w:rsidRDefault="00305B41" w:rsidP="00487BA9">
      <w:pPr>
        <w:pStyle w:val="ColorfulList-Accent11"/>
        <w:widowControl w:val="0"/>
        <w:numPr>
          <w:ilvl w:val="0"/>
          <w:numId w:val="8"/>
        </w:numPr>
        <w:contextualSpacing w:val="0"/>
      </w:pPr>
      <w:proofErr w:type="gramStart"/>
      <w:r>
        <w:rPr>
          <w:color w:val="000000"/>
        </w:rPr>
        <w:t>in</w:t>
      </w:r>
      <w:proofErr w:type="gramEnd"/>
      <w:r>
        <w:rPr>
          <w:color w:val="000000"/>
        </w:rPr>
        <w:t xml:space="preserve"> light of the comparison in (2)(a), </w:t>
      </w:r>
      <w:r w:rsidR="0023436D" w:rsidRPr="00280F8B">
        <w:rPr>
          <w:color w:val="000000"/>
        </w:rPr>
        <w:t>identi</w:t>
      </w:r>
      <w:r>
        <w:rPr>
          <w:color w:val="000000"/>
        </w:rPr>
        <w:t>fies</w:t>
      </w:r>
      <w:r w:rsidR="0023436D" w:rsidRPr="00280F8B">
        <w:rPr>
          <w:color w:val="000000"/>
        </w:rPr>
        <w:t xml:space="preserve"> existing </w:t>
      </w:r>
      <w:r w:rsidR="00257755" w:rsidRPr="00280F8B">
        <w:rPr>
          <w:color w:val="000000"/>
        </w:rPr>
        <w:t>or</w:t>
      </w:r>
      <w:r w:rsidR="0023436D" w:rsidRPr="00280F8B">
        <w:rPr>
          <w:color w:val="000000"/>
        </w:rPr>
        <w:t xml:space="preserve"> future </w:t>
      </w:r>
      <w:r w:rsidR="00CF0973" w:rsidRPr="00280F8B">
        <w:rPr>
          <w:color w:val="000000"/>
        </w:rPr>
        <w:t>water supply</w:t>
      </w:r>
      <w:r w:rsidR="00636F11">
        <w:rPr>
          <w:color w:val="000000"/>
        </w:rPr>
        <w:t xml:space="preserve"> issues, concerns,</w:t>
      </w:r>
      <w:r w:rsidR="005F0A38" w:rsidRPr="00280F8B">
        <w:rPr>
          <w:color w:val="000000"/>
        </w:rPr>
        <w:t xml:space="preserve"> </w:t>
      </w:r>
      <w:r w:rsidR="0026480A" w:rsidRPr="00280F8B">
        <w:rPr>
          <w:color w:val="000000"/>
        </w:rPr>
        <w:t>and vulnerabilities</w:t>
      </w:r>
      <w:r w:rsidR="00CF0973" w:rsidRPr="00280F8B">
        <w:rPr>
          <w:color w:val="000000"/>
        </w:rPr>
        <w:t>.</w:t>
      </w:r>
    </w:p>
    <w:p w14:paraId="2F4F26D4" w14:textId="77777777" w:rsidR="0023436D" w:rsidRPr="00280F8B" w:rsidRDefault="0023436D" w:rsidP="0023436D">
      <w:pPr>
        <w:pStyle w:val="ColorfulList-Accent11"/>
        <w:widowControl w:val="0"/>
        <w:ind w:left="1080"/>
        <w:contextualSpacing w:val="0"/>
      </w:pPr>
    </w:p>
    <w:p w14:paraId="0A916BA9" w14:textId="578CAA94" w:rsidR="0023436D" w:rsidRPr="00280F8B" w:rsidRDefault="00257755" w:rsidP="0023436D">
      <w:pPr>
        <w:pStyle w:val="ColorfulList-Accent11"/>
        <w:widowControl w:val="0"/>
        <w:numPr>
          <w:ilvl w:val="0"/>
          <w:numId w:val="4"/>
        </w:numPr>
        <w:contextualSpacing w:val="0"/>
      </w:pPr>
      <w:r w:rsidRPr="00280F8B">
        <w:rPr>
          <w:color w:val="000000"/>
        </w:rPr>
        <w:t xml:space="preserve">Community </w:t>
      </w:r>
      <w:r w:rsidR="001C0216" w:rsidRPr="00280F8B">
        <w:rPr>
          <w:color w:val="000000"/>
        </w:rPr>
        <w:t>w</w:t>
      </w:r>
      <w:r w:rsidRPr="00280F8B">
        <w:rPr>
          <w:color w:val="000000"/>
        </w:rPr>
        <w:t>ater</w:t>
      </w:r>
      <w:r w:rsidR="00636F11">
        <w:rPr>
          <w:color w:val="000000"/>
        </w:rPr>
        <w:t>-climate</w:t>
      </w:r>
      <w:r w:rsidRPr="00280F8B">
        <w:rPr>
          <w:color w:val="000000"/>
        </w:rPr>
        <w:t xml:space="preserve"> </w:t>
      </w:r>
      <w:r w:rsidR="001C0216" w:rsidRPr="00280F8B">
        <w:rPr>
          <w:color w:val="000000"/>
        </w:rPr>
        <w:t>g</w:t>
      </w:r>
      <w:r w:rsidRPr="00280F8B">
        <w:rPr>
          <w:color w:val="000000"/>
        </w:rPr>
        <w:t>oals</w:t>
      </w:r>
      <w:r w:rsidR="0023436D" w:rsidRPr="00280F8B">
        <w:rPr>
          <w:color w:val="000000"/>
        </w:rPr>
        <w:t xml:space="preserve"> </w:t>
      </w:r>
      <w:r w:rsidRPr="00280F8B">
        <w:rPr>
          <w:color w:val="000000"/>
        </w:rPr>
        <w:t>that</w:t>
      </w:r>
      <w:r w:rsidR="0023436D" w:rsidRPr="00280F8B">
        <w:rPr>
          <w:color w:val="000000"/>
        </w:rPr>
        <w:t>:</w:t>
      </w:r>
    </w:p>
    <w:p w14:paraId="2CBDF84B" w14:textId="126F6C7C" w:rsidR="00636F11" w:rsidRDefault="00636F11" w:rsidP="00FD4ABF">
      <w:pPr>
        <w:pStyle w:val="ColorfulList-Accent11"/>
        <w:widowControl w:val="0"/>
        <w:numPr>
          <w:ilvl w:val="0"/>
          <w:numId w:val="9"/>
        </w:numPr>
        <w:tabs>
          <w:tab w:val="left" w:pos="1890"/>
        </w:tabs>
        <w:contextualSpacing w:val="0"/>
      </w:pPr>
      <w:r>
        <w:rPr>
          <w:color w:val="000000"/>
        </w:rPr>
        <w:t>identify the water supply conditions necessary and desirable for the local government to meet i</w:t>
      </w:r>
      <w:r w:rsidR="001D49A4">
        <w:rPr>
          <w:color w:val="000000"/>
        </w:rPr>
        <w:t>t</w:t>
      </w:r>
      <w:r>
        <w:rPr>
          <w:color w:val="000000"/>
        </w:rPr>
        <w:t>s current and projected land use needs;</w:t>
      </w:r>
      <w:r>
        <w:t xml:space="preserve"> </w:t>
      </w:r>
    </w:p>
    <w:p w14:paraId="195F1593" w14:textId="7D197CD9" w:rsidR="0023436D" w:rsidRPr="00280F8B" w:rsidRDefault="00636F11" w:rsidP="00A0360D">
      <w:pPr>
        <w:pStyle w:val="ColorfulList-Accent11"/>
        <w:widowControl w:val="0"/>
        <w:numPr>
          <w:ilvl w:val="0"/>
          <w:numId w:val="9"/>
        </w:numPr>
        <w:tabs>
          <w:tab w:val="left" w:pos="1890"/>
        </w:tabs>
        <w:contextualSpacing w:val="0"/>
      </w:pPr>
      <w:r>
        <w:t xml:space="preserve">address the water supply issues, concerns, </w:t>
      </w:r>
      <w:r w:rsidR="00FD4ABF" w:rsidRPr="00280F8B">
        <w:t>and v</w:t>
      </w:r>
      <w:r w:rsidR="005F0A38" w:rsidRPr="00280F8B">
        <w:t>ulnerabilities</w:t>
      </w:r>
      <w:r w:rsidR="00FD4ABF" w:rsidRPr="00280F8B">
        <w:t xml:space="preserve"> identified in (2)(b)</w:t>
      </w:r>
      <w:r>
        <w:t xml:space="preserve">, including </w:t>
      </w:r>
      <w:r w:rsidRPr="00636F11">
        <w:rPr>
          <w:color w:val="000000"/>
        </w:rPr>
        <w:t>the potential impacts of climate variability</w:t>
      </w:r>
      <w:r w:rsidR="0023436D" w:rsidRPr="00636F11">
        <w:rPr>
          <w:color w:val="000000"/>
        </w:rPr>
        <w:t>;</w:t>
      </w:r>
      <w:r w:rsidR="00090923" w:rsidRPr="00636F11">
        <w:rPr>
          <w:color w:val="000000"/>
        </w:rPr>
        <w:t xml:space="preserve"> and</w:t>
      </w:r>
    </w:p>
    <w:p w14:paraId="6FCB70A1" w14:textId="3BD3619B" w:rsidR="008F3111" w:rsidRPr="00280F8B" w:rsidRDefault="00FC5988" w:rsidP="0023436D">
      <w:pPr>
        <w:pStyle w:val="ColorfulList-Accent11"/>
        <w:widowControl w:val="0"/>
        <w:numPr>
          <w:ilvl w:val="0"/>
          <w:numId w:val="9"/>
        </w:numPr>
        <w:tabs>
          <w:tab w:val="left" w:pos="1890"/>
        </w:tabs>
        <w:contextualSpacing w:val="0"/>
      </w:pPr>
      <w:proofErr w:type="gramStart"/>
      <w:r>
        <w:rPr>
          <w:color w:val="000000"/>
        </w:rPr>
        <w:t>indicate</w:t>
      </w:r>
      <w:proofErr w:type="gramEnd"/>
      <w:r w:rsidR="00636F11">
        <w:rPr>
          <w:color w:val="000000"/>
        </w:rPr>
        <w:t xml:space="preserve"> </w:t>
      </w:r>
      <w:r>
        <w:rPr>
          <w:color w:val="000000"/>
        </w:rPr>
        <w:t>priorities</w:t>
      </w:r>
      <w:r w:rsidR="00636F11">
        <w:rPr>
          <w:color w:val="000000"/>
        </w:rPr>
        <w:t xml:space="preserve"> to ensure that the most pressing water supply needs are adequately met</w:t>
      </w:r>
      <w:r w:rsidR="00741EA6" w:rsidRPr="00280F8B">
        <w:rPr>
          <w:color w:val="000000"/>
        </w:rPr>
        <w:t>.</w:t>
      </w:r>
    </w:p>
    <w:p w14:paraId="6AACD496" w14:textId="77777777" w:rsidR="009F4FF9" w:rsidRPr="00280F8B" w:rsidRDefault="009F4FF9" w:rsidP="009F4FF9">
      <w:pPr>
        <w:pStyle w:val="ColorfulList-Accent11"/>
        <w:widowControl w:val="0"/>
        <w:tabs>
          <w:tab w:val="left" w:pos="1890"/>
        </w:tabs>
        <w:ind w:left="360"/>
        <w:contextualSpacing w:val="0"/>
      </w:pPr>
    </w:p>
    <w:p w14:paraId="03646154" w14:textId="0D5DBC87" w:rsidR="0023436D" w:rsidRPr="00280F8B" w:rsidRDefault="0023436D" w:rsidP="0023436D">
      <w:pPr>
        <w:pStyle w:val="ColorfulList-Accent11"/>
        <w:widowControl w:val="0"/>
        <w:numPr>
          <w:ilvl w:val="0"/>
          <w:numId w:val="4"/>
        </w:numPr>
        <w:contextualSpacing w:val="0"/>
      </w:pPr>
      <w:r w:rsidRPr="00280F8B">
        <w:rPr>
          <w:color w:val="000000"/>
        </w:rPr>
        <w:t>Implementation strate</w:t>
      </w:r>
      <w:r w:rsidR="005F0A38" w:rsidRPr="00280F8B">
        <w:rPr>
          <w:color w:val="000000"/>
        </w:rPr>
        <w:t xml:space="preserve">gies to achieve </w:t>
      </w:r>
      <w:r w:rsidR="00636F11">
        <w:rPr>
          <w:color w:val="000000"/>
        </w:rPr>
        <w:t>c</w:t>
      </w:r>
      <w:r w:rsidR="005F0A38" w:rsidRPr="00280F8B">
        <w:rPr>
          <w:color w:val="000000"/>
        </w:rPr>
        <w:t xml:space="preserve">ommunity </w:t>
      </w:r>
      <w:r w:rsidR="00636F11">
        <w:rPr>
          <w:color w:val="000000"/>
        </w:rPr>
        <w:t>w</w:t>
      </w:r>
      <w:r w:rsidR="005F0A38" w:rsidRPr="00280F8B">
        <w:rPr>
          <w:color w:val="000000"/>
        </w:rPr>
        <w:t>ater</w:t>
      </w:r>
      <w:r w:rsidR="00636F11">
        <w:rPr>
          <w:color w:val="000000"/>
        </w:rPr>
        <w:t>-climate</w:t>
      </w:r>
      <w:r w:rsidR="005F0A38" w:rsidRPr="00280F8B">
        <w:rPr>
          <w:color w:val="000000"/>
        </w:rPr>
        <w:t xml:space="preserve"> </w:t>
      </w:r>
      <w:r w:rsidR="00636F11">
        <w:rPr>
          <w:color w:val="000000"/>
        </w:rPr>
        <w:t>g</w:t>
      </w:r>
      <w:r w:rsidRPr="00280F8B">
        <w:rPr>
          <w:color w:val="000000"/>
        </w:rPr>
        <w:t>oals</w:t>
      </w:r>
      <w:r w:rsidR="00FC5988">
        <w:rPr>
          <w:color w:val="000000"/>
        </w:rPr>
        <w:t xml:space="preserve"> that include:</w:t>
      </w:r>
      <w:r w:rsidRPr="00280F8B">
        <w:rPr>
          <w:color w:val="000000"/>
        </w:rPr>
        <w:t xml:space="preserve"> </w:t>
      </w:r>
    </w:p>
    <w:p w14:paraId="1CDB467F" w14:textId="52C429D6" w:rsidR="00FC5274" w:rsidRPr="00C13193" w:rsidRDefault="00FC5274" w:rsidP="00C13193">
      <w:pPr>
        <w:pStyle w:val="ListParagraph"/>
        <w:widowControl w:val="0"/>
        <w:numPr>
          <w:ilvl w:val="0"/>
          <w:numId w:val="47"/>
        </w:numPr>
        <w:tabs>
          <w:tab w:val="left" w:pos="720"/>
        </w:tabs>
        <w:ind w:left="720"/>
        <w:rPr>
          <w:color w:val="000000"/>
        </w:rPr>
      </w:pPr>
      <w:r w:rsidRPr="00C13193">
        <w:rPr>
          <w:color w:val="000000"/>
        </w:rPr>
        <w:t xml:space="preserve">identifiable actions to be taken toward each goal; </w:t>
      </w:r>
    </w:p>
    <w:p w14:paraId="2EA00079" w14:textId="4F690B69" w:rsidR="00FC5988" w:rsidRDefault="00FC5274" w:rsidP="00C13193">
      <w:pPr>
        <w:pStyle w:val="ListParagraph"/>
        <w:widowControl w:val="0"/>
        <w:numPr>
          <w:ilvl w:val="0"/>
          <w:numId w:val="47"/>
        </w:numPr>
        <w:tabs>
          <w:tab w:val="left" w:pos="720"/>
        </w:tabs>
        <w:ind w:left="720"/>
      </w:pPr>
      <w:r>
        <w:t xml:space="preserve">types of approaches to be used for each </w:t>
      </w:r>
      <w:r w:rsidR="00061240">
        <w:t>action</w:t>
      </w:r>
      <w:r>
        <w:t>, such as regulations, educational programs, incentive-based initiatives, fundraising, agreements, or water marketing or acquisition;</w:t>
      </w:r>
      <w:r w:rsidRPr="00280F8B">
        <w:rPr>
          <w:rStyle w:val="FootnoteReference"/>
        </w:rPr>
        <w:footnoteReference w:id="6"/>
      </w:r>
      <w:r>
        <w:t xml:space="preserve"> </w:t>
      </w:r>
    </w:p>
    <w:p w14:paraId="231C7E98" w14:textId="5B37249B" w:rsidR="00FC5988" w:rsidRPr="00C13193" w:rsidRDefault="00D4475F" w:rsidP="00C13193">
      <w:pPr>
        <w:pStyle w:val="ListParagraph"/>
        <w:widowControl w:val="0"/>
        <w:numPr>
          <w:ilvl w:val="0"/>
          <w:numId w:val="47"/>
        </w:numPr>
        <w:tabs>
          <w:tab w:val="left" w:pos="720"/>
        </w:tabs>
        <w:ind w:left="720"/>
        <w:rPr>
          <w:color w:val="000000"/>
        </w:rPr>
      </w:pPr>
      <w:r>
        <w:t xml:space="preserve">clear </w:t>
      </w:r>
      <w:r w:rsidR="00B766B7" w:rsidRPr="00C13193">
        <w:rPr>
          <w:color w:val="000000"/>
        </w:rPr>
        <w:t>roles and responsibilities</w:t>
      </w:r>
      <w:r w:rsidRPr="00C13193">
        <w:rPr>
          <w:color w:val="000000"/>
        </w:rPr>
        <w:t xml:space="preserve"> for </w:t>
      </w:r>
      <w:r w:rsidR="00FC5274" w:rsidRPr="00C13193">
        <w:rPr>
          <w:color w:val="000000"/>
        </w:rPr>
        <w:t xml:space="preserve">each </w:t>
      </w:r>
      <w:r w:rsidRPr="00C13193">
        <w:rPr>
          <w:color w:val="000000"/>
        </w:rPr>
        <w:t>implementation action</w:t>
      </w:r>
      <w:r w:rsidR="00B766B7" w:rsidRPr="00C13193">
        <w:rPr>
          <w:color w:val="000000"/>
        </w:rPr>
        <w:t>;  </w:t>
      </w:r>
    </w:p>
    <w:p w14:paraId="7B2632F6" w14:textId="048790A1" w:rsidR="00D4475F" w:rsidRDefault="00C13193" w:rsidP="00C13193">
      <w:pPr>
        <w:pStyle w:val="ListParagraph"/>
        <w:widowControl w:val="0"/>
        <w:numPr>
          <w:ilvl w:val="0"/>
          <w:numId w:val="47"/>
        </w:numPr>
        <w:tabs>
          <w:tab w:val="left" w:pos="720"/>
        </w:tabs>
        <w:ind w:left="720"/>
      </w:pPr>
      <w:r w:rsidRPr="00C13193">
        <w:rPr>
          <w:color w:val="000000"/>
        </w:rPr>
        <w:t xml:space="preserve">time frames for taking identifiable actions toward each goal; </w:t>
      </w:r>
    </w:p>
    <w:p w14:paraId="483754A3" w14:textId="5CB54B33" w:rsidR="00FC5274" w:rsidRDefault="00C13193" w:rsidP="00C13193">
      <w:pPr>
        <w:pStyle w:val="ListParagraph"/>
        <w:widowControl w:val="0"/>
        <w:numPr>
          <w:ilvl w:val="0"/>
          <w:numId w:val="47"/>
        </w:numPr>
        <w:tabs>
          <w:tab w:val="left" w:pos="720"/>
        </w:tabs>
        <w:ind w:left="720"/>
      </w:pPr>
      <w:r w:rsidRPr="00C13193">
        <w:rPr>
          <w:color w:val="000000"/>
        </w:rPr>
        <w:t>specific plans for coordinating with other jurisdictions that share the same water resources;</w:t>
      </w:r>
      <w:r>
        <w:rPr>
          <w:rStyle w:val="FootnoteReference"/>
          <w:color w:val="000000"/>
        </w:rPr>
        <w:footnoteReference w:id="7"/>
      </w:r>
      <w:r w:rsidRPr="00C13193">
        <w:rPr>
          <w:color w:val="000000"/>
        </w:rPr>
        <w:t xml:space="preserve"> </w:t>
      </w:r>
      <w:r w:rsidR="00FC5274" w:rsidRPr="00C13193">
        <w:rPr>
          <w:color w:val="000000"/>
        </w:rPr>
        <w:t>and</w:t>
      </w:r>
    </w:p>
    <w:p w14:paraId="0BA05A75" w14:textId="7E67C6BA" w:rsidR="00FC5988" w:rsidRPr="00280F8B" w:rsidRDefault="00D4475F" w:rsidP="00C13193">
      <w:pPr>
        <w:pStyle w:val="ListParagraph"/>
        <w:widowControl w:val="0"/>
        <w:numPr>
          <w:ilvl w:val="0"/>
          <w:numId w:val="47"/>
        </w:numPr>
        <w:tabs>
          <w:tab w:val="left" w:pos="720"/>
        </w:tabs>
        <w:ind w:left="720"/>
      </w:pPr>
      <w:proofErr w:type="gramStart"/>
      <w:r>
        <w:t>p</w:t>
      </w:r>
      <w:r w:rsidRPr="00C13193">
        <w:rPr>
          <w:color w:val="000000"/>
        </w:rPr>
        <w:t>erformance</w:t>
      </w:r>
      <w:proofErr w:type="gramEnd"/>
      <w:r w:rsidRPr="00C13193">
        <w:rPr>
          <w:color w:val="000000"/>
        </w:rPr>
        <w:t xml:space="preserve"> benchmarks </w:t>
      </w:r>
      <w:r w:rsidR="00FC5274" w:rsidRPr="00C13193">
        <w:rPr>
          <w:color w:val="000000"/>
        </w:rPr>
        <w:t xml:space="preserve">and targets </w:t>
      </w:r>
      <w:r w:rsidRPr="00C13193">
        <w:rPr>
          <w:color w:val="000000"/>
        </w:rPr>
        <w:t>for measuring the</w:t>
      </w:r>
      <w:r w:rsidR="00C06C6E">
        <w:rPr>
          <w:color w:val="000000"/>
        </w:rPr>
        <w:t xml:space="preserve"> progress and</w:t>
      </w:r>
      <w:r w:rsidRPr="00C13193">
        <w:rPr>
          <w:color w:val="000000"/>
        </w:rPr>
        <w:t xml:space="preserve"> success of implementation strategies.</w:t>
      </w:r>
      <w:r w:rsidRPr="00280F8B">
        <w:rPr>
          <w:rStyle w:val="FootnoteReference"/>
          <w:color w:val="000000"/>
        </w:rPr>
        <w:footnoteReference w:id="8"/>
      </w:r>
      <w:r w:rsidR="00FC5988">
        <w:t xml:space="preserve"> </w:t>
      </w:r>
    </w:p>
    <w:p w14:paraId="7EF3677B" w14:textId="77777777" w:rsidR="00B766B7" w:rsidRPr="00280F8B" w:rsidRDefault="00B766B7" w:rsidP="00704DEE">
      <w:pPr>
        <w:pStyle w:val="ListParagraph"/>
        <w:widowControl w:val="0"/>
        <w:ind w:left="1800"/>
        <w:textAlignment w:val="baseline"/>
        <w:rPr>
          <w:b/>
        </w:rPr>
      </w:pPr>
    </w:p>
    <w:p w14:paraId="5AD5D0E5" w14:textId="164FE248" w:rsidR="000B30DA" w:rsidRPr="00280F8B" w:rsidRDefault="00733939">
      <w:pPr>
        <w:pStyle w:val="ColorfulList-Accent11"/>
        <w:widowControl w:val="0"/>
        <w:ind w:left="0"/>
        <w:contextualSpacing w:val="0"/>
        <w:rPr>
          <w:b/>
        </w:rPr>
      </w:pPr>
      <w:r w:rsidRPr="00280F8B">
        <w:rPr>
          <w:b/>
        </w:rPr>
        <w:t>[</w:t>
      </w:r>
      <w:r w:rsidR="00A241C3" w:rsidRPr="00280F8B">
        <w:rPr>
          <w:b/>
        </w:rPr>
        <w:t>§ B</w:t>
      </w:r>
      <w:r w:rsidRPr="00280F8B">
        <w:rPr>
          <w:b/>
        </w:rPr>
        <w:t xml:space="preserve">] </w:t>
      </w:r>
      <w:r w:rsidR="0023436D" w:rsidRPr="00280F8B">
        <w:rPr>
          <w:b/>
        </w:rPr>
        <w:t>Inter-Governmental Coordination</w:t>
      </w:r>
      <w:r w:rsidR="00096139" w:rsidRPr="00096139">
        <w:rPr>
          <w:rStyle w:val="FootnoteReference"/>
        </w:rPr>
        <w:footnoteReference w:id="9"/>
      </w:r>
      <w:r w:rsidR="0023436D" w:rsidRPr="00096139">
        <w:t xml:space="preserve"> </w:t>
      </w:r>
      <w:r w:rsidR="0023436D" w:rsidRPr="00280F8B">
        <w:rPr>
          <w:b/>
        </w:rPr>
        <w:t>and</w:t>
      </w:r>
      <w:r w:rsidR="00703811">
        <w:rPr>
          <w:b/>
        </w:rPr>
        <w:t xml:space="preserve"> Joint</w:t>
      </w:r>
      <w:r w:rsidR="0023436D" w:rsidRPr="00280F8B">
        <w:rPr>
          <w:b/>
        </w:rPr>
        <w:t xml:space="preserve"> </w:t>
      </w:r>
      <w:r w:rsidR="001673F4" w:rsidRPr="00280F8B">
        <w:rPr>
          <w:b/>
        </w:rPr>
        <w:t>P</w:t>
      </w:r>
      <w:r w:rsidR="0023436D" w:rsidRPr="00280F8B">
        <w:rPr>
          <w:b/>
        </w:rPr>
        <w:t>lanning</w:t>
      </w:r>
      <w:r w:rsidR="001673F4" w:rsidRPr="00280F8B">
        <w:rPr>
          <w:b/>
        </w:rPr>
        <w:t xml:space="preserve">. </w:t>
      </w:r>
    </w:p>
    <w:p w14:paraId="57BBBABB" w14:textId="77777777" w:rsidR="000B30DA" w:rsidRPr="00280F8B" w:rsidRDefault="000B30DA">
      <w:pPr>
        <w:pStyle w:val="ColorfulList-Accent11"/>
        <w:widowControl w:val="0"/>
        <w:ind w:left="0"/>
        <w:contextualSpacing w:val="0"/>
        <w:rPr>
          <w:b/>
        </w:rPr>
      </w:pPr>
    </w:p>
    <w:p w14:paraId="57836F45" w14:textId="1C319A16" w:rsidR="00DF4654" w:rsidRDefault="000B30DA" w:rsidP="00163A4B">
      <w:pPr>
        <w:pStyle w:val="ColorfulList-Accent11"/>
        <w:widowControl w:val="0"/>
        <w:ind w:left="0"/>
        <w:contextualSpacing w:val="0"/>
      </w:pPr>
      <w:r w:rsidRPr="00280F8B">
        <w:rPr>
          <w:b/>
        </w:rPr>
        <w:t xml:space="preserve">(1) </w:t>
      </w:r>
      <w:r w:rsidR="001673F4" w:rsidRPr="00280F8B">
        <w:t xml:space="preserve">In carrying out </w:t>
      </w:r>
      <w:r w:rsidR="00F9243D">
        <w:t>its responsibilities under</w:t>
      </w:r>
      <w:r w:rsidR="001673F4" w:rsidRPr="00280F8B">
        <w:t xml:space="preserve"> the Water-</w:t>
      </w:r>
      <w:r w:rsidR="00F9243D">
        <w:t>C</w:t>
      </w:r>
      <w:r w:rsidR="001673F4" w:rsidRPr="00280F8B">
        <w:t xml:space="preserve">limate Element, </w:t>
      </w:r>
      <w:r w:rsidR="00F9243D">
        <w:t xml:space="preserve">a </w:t>
      </w:r>
      <w:r w:rsidR="001673F4" w:rsidRPr="00280F8B">
        <w:t xml:space="preserve">local </w:t>
      </w:r>
      <w:r w:rsidR="00703811">
        <w:t>g</w:t>
      </w:r>
      <w:r w:rsidR="001673F4" w:rsidRPr="00280F8B">
        <w:t xml:space="preserve">overnment </w:t>
      </w:r>
      <w:r w:rsidR="00F9243D">
        <w:t>is</w:t>
      </w:r>
      <w:r w:rsidR="001673F4" w:rsidRPr="00280F8B">
        <w:t xml:space="preserve"> authorized to</w:t>
      </w:r>
      <w:r w:rsidRPr="00280F8B">
        <w:t xml:space="preserve">: </w:t>
      </w:r>
    </w:p>
    <w:p w14:paraId="60B3644C" w14:textId="6375EBE2" w:rsidR="00703811" w:rsidRDefault="001673F4" w:rsidP="00C13193">
      <w:pPr>
        <w:pStyle w:val="ColorfulList-Accent11"/>
        <w:widowControl w:val="0"/>
        <w:numPr>
          <w:ilvl w:val="0"/>
          <w:numId w:val="48"/>
        </w:numPr>
        <w:ind w:left="630"/>
        <w:contextualSpacing w:val="0"/>
      </w:pPr>
      <w:r w:rsidRPr="00280F8B">
        <w:t>enter into inter</w:t>
      </w:r>
      <w:r w:rsidR="00703811">
        <w:t>-</w:t>
      </w:r>
      <w:r w:rsidRPr="00280F8B">
        <w:t xml:space="preserve">governmental </w:t>
      </w:r>
      <w:r w:rsidR="0023436D" w:rsidRPr="00280F8B">
        <w:t>partnerships</w:t>
      </w:r>
      <w:r w:rsidR="00DF4654">
        <w:t>, collaborations</w:t>
      </w:r>
      <w:r w:rsidR="008F3111" w:rsidRPr="00280F8B">
        <w:t>,</w:t>
      </w:r>
      <w:r w:rsidR="0023436D" w:rsidRPr="00280F8B">
        <w:t xml:space="preserve"> </w:t>
      </w:r>
      <w:r w:rsidR="00C13193">
        <w:t xml:space="preserve">or </w:t>
      </w:r>
      <w:r w:rsidR="0023436D" w:rsidRPr="00280F8B">
        <w:t>agreements</w:t>
      </w:r>
      <w:r w:rsidRPr="00280F8B">
        <w:t>,</w:t>
      </w:r>
      <w:r w:rsidR="0023436D" w:rsidRPr="00280F8B">
        <w:rPr>
          <w:rStyle w:val="FootnoteReference"/>
        </w:rPr>
        <w:footnoteReference w:id="10"/>
      </w:r>
      <w:r w:rsidR="0023436D" w:rsidRPr="00280F8B">
        <w:t xml:space="preserve"> </w:t>
      </w:r>
      <w:r w:rsidRPr="00280F8B">
        <w:t xml:space="preserve">with </w:t>
      </w:r>
      <w:r w:rsidR="00703811">
        <w:t xml:space="preserve">local jurisdictions, </w:t>
      </w:r>
      <w:r w:rsidR="00703811" w:rsidRPr="00280F8B">
        <w:t xml:space="preserve">special districts, </w:t>
      </w:r>
      <w:r w:rsidR="00703811">
        <w:t>f</w:t>
      </w:r>
      <w:r w:rsidR="0023436D" w:rsidRPr="00280F8B">
        <w:t xml:space="preserve">ederal and </w:t>
      </w:r>
      <w:r w:rsidR="00703811">
        <w:t>s</w:t>
      </w:r>
      <w:r w:rsidR="0023436D" w:rsidRPr="00280F8B">
        <w:t>tate agencies</w:t>
      </w:r>
      <w:r w:rsidR="008F3111" w:rsidRPr="00280F8B">
        <w:t>,</w:t>
      </w:r>
      <w:r w:rsidR="0023436D" w:rsidRPr="00280F8B">
        <w:t xml:space="preserve"> </w:t>
      </w:r>
      <w:r w:rsidR="00703811">
        <w:t xml:space="preserve">or </w:t>
      </w:r>
      <w:r w:rsidR="0023436D" w:rsidRPr="00280F8B">
        <w:t>Indian Tribes</w:t>
      </w:r>
      <w:r w:rsidR="00703811">
        <w:t xml:space="preserve"> that share a common interest in the water resources; </w:t>
      </w:r>
    </w:p>
    <w:p w14:paraId="749EE46A" w14:textId="7052AB7B" w:rsidR="00DF4654" w:rsidRDefault="00703811" w:rsidP="00C13193">
      <w:pPr>
        <w:pStyle w:val="ColorfulList-Accent11"/>
        <w:widowControl w:val="0"/>
        <w:numPr>
          <w:ilvl w:val="0"/>
          <w:numId w:val="48"/>
        </w:numPr>
        <w:ind w:left="630"/>
        <w:contextualSpacing w:val="0"/>
      </w:pPr>
      <w:r>
        <w:t xml:space="preserve">collaborate with </w:t>
      </w:r>
      <w:r w:rsidR="0023436D" w:rsidRPr="00280F8B">
        <w:t xml:space="preserve">citizen interest groups, </w:t>
      </w:r>
      <w:r>
        <w:t xml:space="preserve">nonprofit organizations, </w:t>
      </w:r>
      <w:r w:rsidR="003878E2" w:rsidRPr="00280F8B">
        <w:t>c</w:t>
      </w:r>
      <w:r w:rsidR="0023436D" w:rsidRPr="00280F8B">
        <w:t>o</w:t>
      </w:r>
      <w:r>
        <w:t>mpanies</w:t>
      </w:r>
      <w:r w:rsidR="008F3111" w:rsidRPr="00280F8B">
        <w:t>,</w:t>
      </w:r>
      <w:r w:rsidR="0023436D" w:rsidRPr="00280F8B">
        <w:t xml:space="preserve"> and </w:t>
      </w:r>
      <w:r>
        <w:t>individuals</w:t>
      </w:r>
      <w:r w:rsidR="008F3111" w:rsidRPr="00280F8B">
        <w:t>;</w:t>
      </w:r>
      <w:r w:rsidR="0023436D" w:rsidRPr="00280F8B">
        <w:rPr>
          <w:rStyle w:val="FootnoteReference"/>
        </w:rPr>
        <w:footnoteReference w:id="11"/>
      </w:r>
      <w:r w:rsidR="008F3111" w:rsidRPr="00280F8B">
        <w:t xml:space="preserve"> </w:t>
      </w:r>
    </w:p>
    <w:p w14:paraId="38B1BC97" w14:textId="2E8989C4" w:rsidR="00DF4654" w:rsidRDefault="00703811" w:rsidP="00C13193">
      <w:pPr>
        <w:pStyle w:val="ColorfulList-Accent11"/>
        <w:widowControl w:val="0"/>
        <w:numPr>
          <w:ilvl w:val="0"/>
          <w:numId w:val="48"/>
        </w:numPr>
        <w:ind w:left="630"/>
        <w:contextualSpacing w:val="0"/>
      </w:pPr>
      <w:r>
        <w:t xml:space="preserve">undertake joint water-climate studies and share water-climate </w:t>
      </w:r>
      <w:r w:rsidR="0023436D" w:rsidRPr="00280F8B">
        <w:t>data</w:t>
      </w:r>
      <w:r w:rsidR="000B30DA" w:rsidRPr="00280F8B">
        <w:t>;</w:t>
      </w:r>
      <w:r w:rsidR="0023436D" w:rsidRPr="00280F8B">
        <w:rPr>
          <w:rStyle w:val="FootnoteReference"/>
        </w:rPr>
        <w:footnoteReference w:id="12"/>
      </w:r>
      <w:r w:rsidR="000B30DA" w:rsidRPr="00280F8B">
        <w:t xml:space="preserve"> </w:t>
      </w:r>
    </w:p>
    <w:p w14:paraId="34A90453" w14:textId="6D76F63F" w:rsidR="00703811" w:rsidRDefault="000B30DA" w:rsidP="00C13193">
      <w:pPr>
        <w:pStyle w:val="ColorfulList-Accent11"/>
        <w:widowControl w:val="0"/>
        <w:numPr>
          <w:ilvl w:val="0"/>
          <w:numId w:val="48"/>
        </w:numPr>
        <w:ind w:left="630"/>
        <w:contextualSpacing w:val="0"/>
      </w:pPr>
      <w:r w:rsidRPr="00280F8B">
        <w:t xml:space="preserve">form </w:t>
      </w:r>
      <w:r w:rsidR="00DF4654">
        <w:t>inter-governmental</w:t>
      </w:r>
      <w:r w:rsidR="00703811">
        <w:t xml:space="preserve"> advisory commissions and bodies</w:t>
      </w:r>
      <w:r w:rsidR="00FD30D2" w:rsidRPr="00280F8B">
        <w:t>;</w:t>
      </w:r>
      <w:r w:rsidRPr="00280F8B">
        <w:rPr>
          <w:rStyle w:val="FootnoteReference"/>
        </w:rPr>
        <w:footnoteReference w:id="13"/>
      </w:r>
      <w:r w:rsidR="00FD30D2" w:rsidRPr="00280F8B">
        <w:t xml:space="preserve"> </w:t>
      </w:r>
    </w:p>
    <w:p w14:paraId="414CC8A3" w14:textId="76C0A4B6" w:rsidR="00703811" w:rsidRDefault="00FD30D2" w:rsidP="00C13193">
      <w:pPr>
        <w:pStyle w:val="ColorfulList-Accent11"/>
        <w:widowControl w:val="0"/>
        <w:numPr>
          <w:ilvl w:val="0"/>
          <w:numId w:val="48"/>
        </w:numPr>
        <w:ind w:left="630"/>
        <w:contextualSpacing w:val="0"/>
      </w:pPr>
      <w:r w:rsidRPr="00280F8B">
        <w:t xml:space="preserve">coordinate across </w:t>
      </w:r>
      <w:r w:rsidR="00703811">
        <w:t xml:space="preserve">local </w:t>
      </w:r>
      <w:r w:rsidRPr="00280F8B">
        <w:t>departments</w:t>
      </w:r>
      <w:r w:rsidR="00703811">
        <w:t>; and</w:t>
      </w:r>
    </w:p>
    <w:p w14:paraId="57F77418" w14:textId="3DE73390" w:rsidR="00FD30D2" w:rsidRPr="00280F8B" w:rsidRDefault="00703811" w:rsidP="00C13193">
      <w:pPr>
        <w:pStyle w:val="ColorfulList-Accent11"/>
        <w:widowControl w:val="0"/>
        <w:numPr>
          <w:ilvl w:val="0"/>
          <w:numId w:val="48"/>
        </w:numPr>
        <w:ind w:left="630"/>
        <w:contextualSpacing w:val="0"/>
      </w:pPr>
      <w:proofErr w:type="gramStart"/>
      <w:r>
        <w:t>exercise</w:t>
      </w:r>
      <w:proofErr w:type="gramEnd"/>
      <w:r>
        <w:t xml:space="preserve"> any other </w:t>
      </w:r>
      <w:r w:rsidR="00C13193">
        <w:t xml:space="preserve">local government </w:t>
      </w:r>
      <w:r>
        <w:t>powers recognized by law.</w:t>
      </w:r>
      <w:r w:rsidR="00FD30D2" w:rsidRPr="00280F8B">
        <w:t xml:space="preserve"> </w:t>
      </w:r>
    </w:p>
    <w:p w14:paraId="4B2DA698" w14:textId="77777777" w:rsidR="00FD30D2" w:rsidRPr="00280F8B" w:rsidRDefault="00FD30D2" w:rsidP="00163A4B">
      <w:pPr>
        <w:pStyle w:val="ColorfulList-Accent11"/>
        <w:widowControl w:val="0"/>
        <w:contextualSpacing w:val="0"/>
      </w:pPr>
    </w:p>
    <w:p w14:paraId="5354DAC1" w14:textId="6912C828" w:rsidR="0023436D" w:rsidRPr="00280F8B" w:rsidRDefault="001673F4" w:rsidP="001673F4">
      <w:pPr>
        <w:pStyle w:val="ColorfulList-Accent11"/>
        <w:widowControl w:val="0"/>
        <w:ind w:left="0"/>
        <w:contextualSpacing w:val="0"/>
      </w:pPr>
      <w:r w:rsidRPr="00CE1181">
        <w:rPr>
          <w:b/>
        </w:rPr>
        <w:t>(</w:t>
      </w:r>
      <w:r w:rsidR="00CE1181" w:rsidRPr="00CE1181">
        <w:rPr>
          <w:b/>
        </w:rPr>
        <w:t>2</w:t>
      </w:r>
      <w:r w:rsidRPr="00CE1181">
        <w:rPr>
          <w:b/>
        </w:rPr>
        <w:t>)</w:t>
      </w:r>
      <w:r w:rsidRPr="00280F8B">
        <w:t xml:space="preserve"> </w:t>
      </w:r>
      <w:r w:rsidR="00C3720D">
        <w:t>When a local government action u</w:t>
      </w:r>
      <w:r w:rsidR="00BA51D6">
        <w:t xml:space="preserve">nder the Water-Climate Element </w:t>
      </w:r>
      <w:r w:rsidR="00C3720D">
        <w:t xml:space="preserve">has the potential to </w:t>
      </w:r>
      <w:r w:rsidR="00645BAD" w:rsidRPr="00280F8B">
        <w:t xml:space="preserve">implicate the </w:t>
      </w:r>
      <w:r w:rsidR="00C3720D">
        <w:t>interests</w:t>
      </w:r>
      <w:r w:rsidR="00645BAD" w:rsidRPr="00280F8B">
        <w:t xml:space="preserve"> of an</w:t>
      </w:r>
      <w:r w:rsidR="00B2559A" w:rsidRPr="00280F8B">
        <w:t xml:space="preserve"> Indian Tribe</w:t>
      </w:r>
      <w:r w:rsidR="00F34074" w:rsidRPr="00280F8B">
        <w:t>,</w:t>
      </w:r>
      <w:r w:rsidR="0023436D" w:rsidRPr="00280F8B">
        <w:t xml:space="preserve"> </w:t>
      </w:r>
      <w:r w:rsidR="00BA51D6">
        <w:t xml:space="preserve">a </w:t>
      </w:r>
      <w:r w:rsidR="0023436D" w:rsidRPr="00280F8B">
        <w:t xml:space="preserve">local </w:t>
      </w:r>
      <w:r w:rsidR="00BA51D6">
        <w:t xml:space="preserve">government </w:t>
      </w:r>
      <w:r w:rsidR="0023436D" w:rsidRPr="00280F8B">
        <w:t>shall</w:t>
      </w:r>
      <w:r w:rsidR="00F34074" w:rsidRPr="00280F8B">
        <w:t>:</w:t>
      </w:r>
      <w:r w:rsidR="00BA51D6" w:rsidRPr="00280F8B">
        <w:rPr>
          <w:rStyle w:val="FootnoteReference"/>
        </w:rPr>
        <w:footnoteReference w:id="14"/>
      </w:r>
    </w:p>
    <w:p w14:paraId="7958EFC8" w14:textId="109059D3" w:rsidR="0023436D" w:rsidRPr="00280F8B" w:rsidRDefault="00C3720D" w:rsidP="0023436D">
      <w:pPr>
        <w:pStyle w:val="ColorfulList-Accent11"/>
        <w:widowControl w:val="0"/>
        <w:numPr>
          <w:ilvl w:val="0"/>
          <w:numId w:val="12"/>
        </w:numPr>
        <w:tabs>
          <w:tab w:val="left" w:pos="1710"/>
          <w:tab w:val="left" w:pos="1800"/>
          <w:tab w:val="left" w:pos="2070"/>
        </w:tabs>
        <w:contextualSpacing w:val="0"/>
      </w:pPr>
      <w:r>
        <w:t>consult with the Indian Tribe in advance of taking the action</w:t>
      </w:r>
      <w:r w:rsidR="0023436D" w:rsidRPr="00280F8B">
        <w:t>;</w:t>
      </w:r>
      <w:r>
        <w:rPr>
          <w:rStyle w:val="FootnoteReference"/>
        </w:rPr>
        <w:footnoteReference w:id="15"/>
      </w:r>
      <w:r w:rsidR="007800AC">
        <w:t xml:space="preserve"> and</w:t>
      </w:r>
    </w:p>
    <w:p w14:paraId="1ACF4972" w14:textId="765AF8ED" w:rsidR="0023436D" w:rsidRPr="00280F8B" w:rsidRDefault="0023436D" w:rsidP="00A0360D">
      <w:pPr>
        <w:pStyle w:val="ColorfulList-Accent11"/>
        <w:widowControl w:val="0"/>
        <w:numPr>
          <w:ilvl w:val="0"/>
          <w:numId w:val="12"/>
        </w:numPr>
        <w:tabs>
          <w:tab w:val="left" w:pos="1710"/>
          <w:tab w:val="left" w:pos="1800"/>
          <w:tab w:val="left" w:pos="2070"/>
        </w:tabs>
        <w:contextualSpacing w:val="0"/>
      </w:pPr>
      <w:proofErr w:type="gramStart"/>
      <w:r w:rsidRPr="00280F8B">
        <w:t>coordinate</w:t>
      </w:r>
      <w:proofErr w:type="gramEnd"/>
      <w:r w:rsidRPr="00280F8B">
        <w:t xml:space="preserve"> </w:t>
      </w:r>
      <w:r w:rsidR="007800AC">
        <w:t xml:space="preserve">water-climate </w:t>
      </w:r>
      <w:r w:rsidRPr="00280F8B">
        <w:t xml:space="preserve">planning efforts with </w:t>
      </w:r>
      <w:r w:rsidR="00C3720D">
        <w:t xml:space="preserve">the </w:t>
      </w:r>
      <w:r w:rsidRPr="00280F8B">
        <w:t>Indian Tribe</w:t>
      </w:r>
      <w:r w:rsidR="007800AC">
        <w:t>.</w:t>
      </w:r>
      <w:r w:rsidRPr="00280F8B">
        <w:rPr>
          <w:rStyle w:val="FootnoteReference"/>
        </w:rPr>
        <w:footnoteReference w:id="16"/>
      </w:r>
      <w:r w:rsidRPr="00280F8B">
        <w:t xml:space="preserve"> </w:t>
      </w:r>
    </w:p>
    <w:p w14:paraId="5DBF8E02" w14:textId="77777777" w:rsidR="00C3720D" w:rsidRDefault="00C3720D" w:rsidP="00733939">
      <w:pPr>
        <w:pStyle w:val="ColorfulList-Accent11"/>
        <w:widowControl w:val="0"/>
        <w:ind w:left="0"/>
        <w:contextualSpacing w:val="0"/>
        <w:rPr>
          <w:b/>
        </w:rPr>
      </w:pPr>
    </w:p>
    <w:p w14:paraId="48872854" w14:textId="77777777" w:rsidR="008D388C" w:rsidRDefault="008D388C">
      <w:pPr>
        <w:rPr>
          <w:b/>
        </w:rPr>
      </w:pPr>
      <w:r>
        <w:rPr>
          <w:b/>
        </w:rPr>
        <w:br w:type="page"/>
      </w:r>
    </w:p>
    <w:p w14:paraId="45A3FA9E" w14:textId="2FE36508" w:rsidR="00991528" w:rsidRDefault="00733939" w:rsidP="00733939">
      <w:pPr>
        <w:pStyle w:val="ColorfulList-Accent11"/>
        <w:widowControl w:val="0"/>
        <w:ind w:left="0"/>
        <w:contextualSpacing w:val="0"/>
      </w:pPr>
      <w:r w:rsidRPr="00280F8B">
        <w:rPr>
          <w:b/>
        </w:rPr>
        <w:t>[</w:t>
      </w:r>
      <w:r w:rsidR="00A241C3" w:rsidRPr="00280F8B">
        <w:rPr>
          <w:b/>
        </w:rPr>
        <w:t>§ C</w:t>
      </w:r>
      <w:r w:rsidRPr="00280F8B">
        <w:rPr>
          <w:b/>
        </w:rPr>
        <w:t xml:space="preserve">] </w:t>
      </w:r>
      <w:r w:rsidR="001673F4" w:rsidRPr="00280F8B">
        <w:rPr>
          <w:b/>
        </w:rPr>
        <w:t>Updates</w:t>
      </w:r>
      <w:r w:rsidR="00F30E47">
        <w:rPr>
          <w:b/>
        </w:rPr>
        <w:t xml:space="preserve"> and Regular Assessment</w:t>
      </w:r>
      <w:r w:rsidR="001673F4" w:rsidRPr="008D388C">
        <w:t>.</w:t>
      </w:r>
      <w:r w:rsidR="008D388C" w:rsidRPr="008D388C">
        <w:rPr>
          <w:rStyle w:val="FootnoteReference"/>
        </w:rPr>
        <w:footnoteReference w:id="17"/>
      </w:r>
    </w:p>
    <w:p w14:paraId="26B92AB4" w14:textId="77777777" w:rsidR="00991528" w:rsidRDefault="00991528" w:rsidP="00733939">
      <w:pPr>
        <w:pStyle w:val="ColorfulList-Accent11"/>
        <w:widowControl w:val="0"/>
        <w:ind w:left="0"/>
        <w:contextualSpacing w:val="0"/>
      </w:pPr>
    </w:p>
    <w:p w14:paraId="23803274" w14:textId="292E8ED5" w:rsidR="0023436D" w:rsidRPr="00280F8B" w:rsidRDefault="00487BA9" w:rsidP="00D42E14">
      <w:pPr>
        <w:pStyle w:val="ColorfulList-Accent11"/>
        <w:widowControl w:val="0"/>
        <w:ind w:left="0"/>
        <w:contextualSpacing w:val="0"/>
      </w:pPr>
      <w:r w:rsidRPr="00991528">
        <w:rPr>
          <w:b/>
        </w:rPr>
        <w:t>(1)</w:t>
      </w:r>
      <w:r w:rsidRPr="00280F8B">
        <w:t xml:space="preserve"> </w:t>
      </w:r>
      <w:r w:rsidR="00D42E14">
        <w:t>A l</w:t>
      </w:r>
      <w:r w:rsidR="00D42E14" w:rsidRPr="00280F8B">
        <w:t xml:space="preserve">ocal government shall update </w:t>
      </w:r>
      <w:r w:rsidR="00D42E14">
        <w:t>its</w:t>
      </w:r>
      <w:r w:rsidR="00D42E14" w:rsidRPr="00280F8B">
        <w:t xml:space="preserve"> </w:t>
      </w:r>
      <w:r w:rsidR="00627C9C">
        <w:t xml:space="preserve">entire </w:t>
      </w:r>
      <w:r w:rsidR="00D42E14" w:rsidRPr="00280F8B">
        <w:t xml:space="preserve">Water-Climate Element at least </w:t>
      </w:r>
      <w:r w:rsidR="00627C9C">
        <w:t xml:space="preserve">once </w:t>
      </w:r>
      <w:r w:rsidR="00D42E14" w:rsidRPr="00280F8B">
        <w:t>every five</w:t>
      </w:r>
      <w:r w:rsidR="00627C9C">
        <w:t xml:space="preserve"> </w:t>
      </w:r>
      <w:r w:rsidR="00D42E14" w:rsidRPr="00280F8B">
        <w:t xml:space="preserve">years. </w:t>
      </w:r>
    </w:p>
    <w:p w14:paraId="081C50DB" w14:textId="77777777" w:rsidR="00487BA9" w:rsidRPr="00280F8B" w:rsidRDefault="00487BA9" w:rsidP="00487BA9">
      <w:pPr>
        <w:pStyle w:val="ColorfulList-Accent11"/>
        <w:widowControl w:val="0"/>
        <w:ind w:left="0"/>
        <w:contextualSpacing w:val="0"/>
      </w:pPr>
    </w:p>
    <w:p w14:paraId="417C5E2A" w14:textId="6F65140E" w:rsidR="00D42E14" w:rsidRPr="00280F8B" w:rsidRDefault="00487BA9" w:rsidP="00627C9C">
      <w:pPr>
        <w:pStyle w:val="ColorfulList-Accent11"/>
        <w:widowControl w:val="0"/>
        <w:ind w:left="0"/>
        <w:contextualSpacing w:val="0"/>
      </w:pPr>
      <w:r w:rsidRPr="00991528">
        <w:rPr>
          <w:b/>
        </w:rPr>
        <w:t>(2)</w:t>
      </w:r>
      <w:r w:rsidRPr="00280F8B">
        <w:t xml:space="preserve"> </w:t>
      </w:r>
      <w:r w:rsidR="00D42E14" w:rsidRPr="00280F8B">
        <w:t xml:space="preserve">Local governments shall </w:t>
      </w:r>
      <w:r w:rsidR="00D42E14">
        <w:t xml:space="preserve">also </w:t>
      </w:r>
      <w:r w:rsidR="00D42E14" w:rsidRPr="00280F8B">
        <w:t>regularly assess</w:t>
      </w:r>
      <w:r w:rsidR="00822A03">
        <w:t xml:space="preserve"> </w:t>
      </w:r>
      <w:r w:rsidR="00627C9C">
        <w:t xml:space="preserve">whether </w:t>
      </w:r>
      <w:r w:rsidR="00F30E47">
        <w:t xml:space="preserve">new or changed information related to its Water-Climate Element </w:t>
      </w:r>
      <w:r w:rsidR="00627C9C">
        <w:t>warrant</w:t>
      </w:r>
      <w:r w:rsidR="00F30E47">
        <w:t>s a</w:t>
      </w:r>
      <w:r w:rsidR="00627C9C">
        <w:t xml:space="preserve"> more immediate updating or modification </w:t>
      </w:r>
      <w:r w:rsidR="00822A03">
        <w:t>of the e</w:t>
      </w:r>
      <w:r w:rsidR="00627C9C">
        <w:t>lement.</w:t>
      </w:r>
      <w:r w:rsidR="00D42E14" w:rsidRPr="00280F8B">
        <w:rPr>
          <w:rStyle w:val="FootnoteReference"/>
        </w:rPr>
        <w:footnoteReference w:id="18"/>
      </w:r>
      <w:r w:rsidR="00811FE6">
        <w:t xml:space="preserve"> This assessment shall occur at least once a year.</w:t>
      </w:r>
    </w:p>
    <w:p w14:paraId="41568453" w14:textId="3E1154FF" w:rsidR="00487BA9" w:rsidRPr="00280F8B" w:rsidRDefault="00487BA9" w:rsidP="00487BA9">
      <w:pPr>
        <w:pStyle w:val="ColorfulList-Accent11"/>
        <w:widowControl w:val="0"/>
        <w:ind w:left="0"/>
        <w:contextualSpacing w:val="0"/>
      </w:pPr>
    </w:p>
    <w:p w14:paraId="3CD009B2" w14:textId="1AE80014" w:rsidR="00305B41" w:rsidRPr="00305B41" w:rsidRDefault="00A241C3" w:rsidP="00305B41">
      <w:pPr>
        <w:pStyle w:val="Heading2"/>
      </w:pPr>
      <w:bookmarkStart w:id="6" w:name="_Toc405804316"/>
      <w:r w:rsidRPr="00280F8B">
        <w:t>Definitions</w:t>
      </w:r>
      <w:bookmarkEnd w:id="6"/>
      <w:r w:rsidR="00305B41" w:rsidRPr="00305B41">
        <w:rPr>
          <w:rStyle w:val="FootnoteReference"/>
          <w:b w:val="0"/>
          <w:iCs/>
          <w:color w:val="000000"/>
          <w:sz w:val="24"/>
          <w:szCs w:val="24"/>
          <w14:textFill>
            <w14:solidFill>
              <w14:srgbClr w14:val="000000">
                <w14:lumMod w14:val="50000"/>
              </w14:srgbClr>
            </w14:solidFill>
          </w14:textFill>
        </w:rPr>
        <w:footnoteReference w:id="19"/>
      </w:r>
    </w:p>
    <w:p w14:paraId="243E4F90" w14:textId="77777777" w:rsidR="0023436D" w:rsidRPr="00280F8B" w:rsidRDefault="0023436D" w:rsidP="0023436D">
      <w:pPr>
        <w:widowControl w:val="0"/>
        <w:rPr>
          <w:b/>
          <w:bCs/>
          <w:color w:val="000000"/>
        </w:rPr>
      </w:pPr>
    </w:p>
    <w:p w14:paraId="001A3B2E" w14:textId="2A8E739F" w:rsidR="00D42E14" w:rsidRPr="00A0360D" w:rsidRDefault="004C1601" w:rsidP="00A0360D">
      <w:pPr>
        <w:numPr>
          <w:ilvl w:val="0"/>
          <w:numId w:val="16"/>
        </w:numPr>
        <w:ind w:left="360"/>
        <w:textAlignment w:val="baseline"/>
        <w:rPr>
          <w:color w:val="000000"/>
        </w:rPr>
      </w:pPr>
      <w:r>
        <w:rPr>
          <w:b/>
        </w:rPr>
        <w:t>“</w:t>
      </w:r>
      <w:proofErr w:type="gramStart"/>
      <w:r>
        <w:rPr>
          <w:b/>
        </w:rPr>
        <w:t>a</w:t>
      </w:r>
      <w:r w:rsidR="00D42E14" w:rsidRPr="00D42E14">
        <w:rPr>
          <w:b/>
        </w:rPr>
        <w:t>ssessment</w:t>
      </w:r>
      <w:proofErr w:type="gramEnd"/>
      <w:r w:rsidR="00D42E14" w:rsidRPr="00D42E14">
        <w:rPr>
          <w:b/>
        </w:rPr>
        <w:t>”</w:t>
      </w:r>
      <w:r w:rsidR="00D42E14" w:rsidRPr="00D42E14">
        <w:t xml:space="preserve"> </w:t>
      </w:r>
      <w:r w:rsidR="00D42E14">
        <w:t>means an ongoing,</w:t>
      </w:r>
      <w:r w:rsidR="00D42E14" w:rsidRPr="00D42E14">
        <w:t xml:space="preserve"> iterative </w:t>
      </w:r>
      <w:r w:rsidR="00627C9C">
        <w:t>process that</w:t>
      </w:r>
      <w:r w:rsidR="00D42E14">
        <w:t xml:space="preserve"> </w:t>
      </w:r>
      <w:r w:rsidR="00627C9C">
        <w:t xml:space="preserve">examines (1) </w:t>
      </w:r>
      <w:r w:rsidR="00B40CD8">
        <w:t xml:space="preserve">whether </w:t>
      </w:r>
      <w:r w:rsidR="00D42E14">
        <w:t>underlying data</w:t>
      </w:r>
      <w:r w:rsidR="00F30E47">
        <w:t>, information,</w:t>
      </w:r>
      <w:r w:rsidR="00D42E14">
        <w:t xml:space="preserve"> </w:t>
      </w:r>
      <w:r w:rsidR="00F30E47">
        <w:t xml:space="preserve">or </w:t>
      </w:r>
      <w:r w:rsidR="00D42E14">
        <w:t xml:space="preserve">assumptions </w:t>
      </w:r>
      <w:r w:rsidR="00E6007D">
        <w:t>have changed</w:t>
      </w:r>
      <w:r w:rsidR="00D42E14">
        <w:t xml:space="preserve"> and</w:t>
      </w:r>
      <w:r w:rsidR="00627C9C">
        <w:t xml:space="preserve"> (2) </w:t>
      </w:r>
      <w:r w:rsidR="00482B23">
        <w:t xml:space="preserve">whether </w:t>
      </w:r>
      <w:r w:rsidR="00D42E14">
        <w:t>goals</w:t>
      </w:r>
      <w:r w:rsidR="00F30E47">
        <w:t>,</w:t>
      </w:r>
      <w:r w:rsidR="00D42E14">
        <w:t xml:space="preserve"> implementation strategies</w:t>
      </w:r>
      <w:r w:rsidR="00F30E47">
        <w:t xml:space="preserve">, </w:t>
      </w:r>
      <w:r w:rsidR="00482B23">
        <w:t>coordination effort</w:t>
      </w:r>
      <w:r w:rsidR="00F30E47">
        <w:t xml:space="preserve">s, or other features of a plan element </w:t>
      </w:r>
      <w:r w:rsidR="00627C9C">
        <w:t xml:space="preserve">should be modified </w:t>
      </w:r>
      <w:r w:rsidR="00F30E47">
        <w:t>accordingly</w:t>
      </w:r>
      <w:r w:rsidR="00D42E14" w:rsidRPr="00D42E14">
        <w:t>.</w:t>
      </w:r>
    </w:p>
    <w:p w14:paraId="078869A1" w14:textId="77777777" w:rsidR="00A0360D" w:rsidRPr="00A0360D" w:rsidRDefault="00A0360D" w:rsidP="00A0360D">
      <w:pPr>
        <w:ind w:left="360" w:hanging="360"/>
        <w:textAlignment w:val="baseline"/>
        <w:rPr>
          <w:color w:val="000000"/>
        </w:rPr>
      </w:pPr>
    </w:p>
    <w:p w14:paraId="1748F4EC" w14:textId="004EB7A5" w:rsidR="00A0360D" w:rsidRPr="00280F8B" w:rsidRDefault="00A0360D" w:rsidP="00A0360D">
      <w:pPr>
        <w:numPr>
          <w:ilvl w:val="0"/>
          <w:numId w:val="16"/>
        </w:numPr>
        <w:tabs>
          <w:tab w:val="left" w:pos="360"/>
        </w:tabs>
        <w:ind w:left="360"/>
        <w:textAlignment w:val="baseline"/>
        <w:rPr>
          <w:color w:val="000000"/>
        </w:rPr>
      </w:pPr>
      <w:r>
        <w:rPr>
          <w:b/>
          <w:color w:val="000000"/>
        </w:rPr>
        <w:t>“hydrologic</w:t>
      </w:r>
      <w:r w:rsidRPr="00280F8B">
        <w:rPr>
          <w:b/>
          <w:color w:val="000000"/>
        </w:rPr>
        <w:t xml:space="preserve"> function” </w:t>
      </w:r>
      <w:r w:rsidRPr="00280F8B">
        <w:rPr>
          <w:color w:val="000000"/>
        </w:rPr>
        <w:t>means the way</w:t>
      </w:r>
      <w:r>
        <w:rPr>
          <w:color w:val="000000"/>
        </w:rPr>
        <w:t>s</w:t>
      </w:r>
      <w:r w:rsidRPr="00280F8B">
        <w:rPr>
          <w:color w:val="000000"/>
        </w:rPr>
        <w:t xml:space="preserve"> </w:t>
      </w:r>
      <w:r w:rsidR="00C06C6E">
        <w:rPr>
          <w:color w:val="000000"/>
        </w:rPr>
        <w:t xml:space="preserve">in which a </w:t>
      </w:r>
      <w:r w:rsidRPr="00280F8B">
        <w:rPr>
          <w:color w:val="000000"/>
        </w:rPr>
        <w:t>water</w:t>
      </w:r>
      <w:r w:rsidR="00C06C6E">
        <w:rPr>
          <w:color w:val="000000"/>
        </w:rPr>
        <w:t>shed</w:t>
      </w:r>
      <w:r w:rsidRPr="00280F8B">
        <w:rPr>
          <w:color w:val="000000"/>
        </w:rPr>
        <w:t xml:space="preserve"> affects the </w:t>
      </w:r>
      <w:r>
        <w:rPr>
          <w:color w:val="000000"/>
        </w:rPr>
        <w:t xml:space="preserve">human and </w:t>
      </w:r>
      <w:r w:rsidRPr="00280F8B">
        <w:rPr>
          <w:color w:val="000000"/>
        </w:rPr>
        <w:t>natural environment</w:t>
      </w:r>
      <w:r>
        <w:rPr>
          <w:color w:val="000000"/>
        </w:rPr>
        <w:t xml:space="preserve">, including: </w:t>
      </w:r>
      <w:r w:rsidRPr="007D1C51">
        <w:rPr>
          <w:color w:val="000000"/>
        </w:rPr>
        <w:t>collecting water from rainfall and snowmelt; storing  water in various amounts and durations; discharg</w:t>
      </w:r>
      <w:r>
        <w:rPr>
          <w:color w:val="000000"/>
        </w:rPr>
        <w:t xml:space="preserve">ing </w:t>
      </w:r>
      <w:r w:rsidRPr="007D1C51">
        <w:rPr>
          <w:color w:val="000000"/>
        </w:rPr>
        <w:t xml:space="preserve">water as runoff; </w:t>
      </w:r>
      <w:r>
        <w:rPr>
          <w:color w:val="000000"/>
        </w:rPr>
        <w:t xml:space="preserve">responding </w:t>
      </w:r>
      <w:r w:rsidR="00C06C6E">
        <w:rPr>
          <w:color w:val="000000"/>
        </w:rPr>
        <w:t>during</w:t>
      </w:r>
      <w:r>
        <w:rPr>
          <w:color w:val="000000"/>
        </w:rPr>
        <w:t xml:space="preserve"> flood events; </w:t>
      </w:r>
      <w:r w:rsidRPr="007D1C51">
        <w:rPr>
          <w:color w:val="000000"/>
        </w:rPr>
        <w:t xml:space="preserve">providing habitat for plants and animals; and creating conditions </w:t>
      </w:r>
      <w:r w:rsidR="00C06C6E">
        <w:rPr>
          <w:color w:val="000000"/>
        </w:rPr>
        <w:t>that affect</w:t>
      </w:r>
      <w:r w:rsidRPr="007D1C51">
        <w:rPr>
          <w:color w:val="000000"/>
        </w:rPr>
        <w:t xml:space="preserve"> water quality</w:t>
      </w:r>
      <w:r w:rsidRPr="00280F8B">
        <w:rPr>
          <w:color w:val="000000"/>
        </w:rPr>
        <w:t xml:space="preserve">. </w:t>
      </w:r>
    </w:p>
    <w:p w14:paraId="7441B860" w14:textId="77777777" w:rsidR="00A0360D" w:rsidRPr="00D42E14" w:rsidRDefault="00A0360D" w:rsidP="00A0360D">
      <w:pPr>
        <w:ind w:left="360" w:hanging="360"/>
        <w:textAlignment w:val="baseline"/>
        <w:rPr>
          <w:color w:val="000000"/>
        </w:rPr>
      </w:pPr>
    </w:p>
    <w:p w14:paraId="215C68D2" w14:textId="1D2F5FD9" w:rsidR="0023436D" w:rsidRDefault="007D1C51" w:rsidP="00A0360D">
      <w:pPr>
        <w:numPr>
          <w:ilvl w:val="0"/>
          <w:numId w:val="16"/>
        </w:numPr>
        <w:ind w:left="360"/>
        <w:textAlignment w:val="baseline"/>
        <w:rPr>
          <w:color w:val="000000"/>
        </w:rPr>
      </w:pPr>
      <w:r>
        <w:rPr>
          <w:b/>
          <w:bCs/>
          <w:color w:val="000000"/>
        </w:rPr>
        <w:t>“Indian Tribe</w:t>
      </w:r>
      <w:r w:rsidR="0023436D" w:rsidRPr="00280F8B">
        <w:rPr>
          <w:b/>
          <w:bCs/>
          <w:color w:val="000000"/>
        </w:rPr>
        <w:t>”</w:t>
      </w:r>
      <w:r w:rsidR="0023436D" w:rsidRPr="00280F8B">
        <w:rPr>
          <w:color w:val="000000"/>
        </w:rPr>
        <w:t xml:space="preserve"> means an Indian or Alaska Native tribe, band, nation, pueblo, village, or community that the Secretary of the Interior acknowledges to exist as an Indian tribe pursuant to the Federally Recognized Indian Tribe List Act, 25 U.S.C. 479a.</w:t>
      </w:r>
    </w:p>
    <w:p w14:paraId="370212DD" w14:textId="77777777" w:rsidR="004C1601" w:rsidRDefault="004C1601" w:rsidP="00A0360D">
      <w:pPr>
        <w:ind w:left="360" w:hanging="360"/>
        <w:textAlignment w:val="baseline"/>
        <w:rPr>
          <w:color w:val="000000"/>
        </w:rPr>
      </w:pPr>
    </w:p>
    <w:p w14:paraId="67E428E7" w14:textId="2493C1E8" w:rsidR="004C1601" w:rsidRPr="00280F8B" w:rsidRDefault="004C1601" w:rsidP="00A0360D">
      <w:pPr>
        <w:numPr>
          <w:ilvl w:val="0"/>
          <w:numId w:val="16"/>
        </w:numPr>
        <w:ind w:left="360"/>
        <w:textAlignment w:val="baseline"/>
        <w:rPr>
          <w:color w:val="000000"/>
        </w:rPr>
      </w:pPr>
      <w:r w:rsidRPr="00494837">
        <w:rPr>
          <w:b/>
          <w:color w:val="000000"/>
        </w:rPr>
        <w:t>“</w:t>
      </w:r>
      <w:proofErr w:type="gramStart"/>
      <w:r w:rsidRPr="00494837">
        <w:rPr>
          <w:b/>
          <w:color w:val="000000"/>
        </w:rPr>
        <w:t>interests</w:t>
      </w:r>
      <w:proofErr w:type="gramEnd"/>
      <w:r w:rsidR="00307897" w:rsidRPr="00307897">
        <w:rPr>
          <w:b/>
          <w:color w:val="000000"/>
        </w:rPr>
        <w:t xml:space="preserve"> </w:t>
      </w:r>
      <w:r w:rsidR="00307897">
        <w:rPr>
          <w:b/>
          <w:color w:val="000000"/>
        </w:rPr>
        <w:t xml:space="preserve">of an </w:t>
      </w:r>
      <w:r w:rsidR="00307897" w:rsidRPr="00494837">
        <w:rPr>
          <w:b/>
          <w:color w:val="000000"/>
        </w:rPr>
        <w:t>Indian Tribe</w:t>
      </w:r>
      <w:r w:rsidRPr="00494837">
        <w:rPr>
          <w:b/>
          <w:color w:val="000000"/>
        </w:rPr>
        <w:t>”</w:t>
      </w:r>
      <w:r>
        <w:rPr>
          <w:color w:val="000000"/>
        </w:rPr>
        <w:t xml:space="preserve"> </w:t>
      </w:r>
      <w:r w:rsidR="00597AB8">
        <w:rPr>
          <w:color w:val="000000"/>
        </w:rPr>
        <w:t>mean</w:t>
      </w:r>
      <w:r>
        <w:rPr>
          <w:color w:val="000000"/>
        </w:rPr>
        <w:t xml:space="preserve"> interests related to a Tribe’s </w:t>
      </w:r>
      <w:r w:rsidR="00307897">
        <w:rPr>
          <w:color w:val="000000"/>
        </w:rPr>
        <w:t xml:space="preserve">water supply, </w:t>
      </w:r>
      <w:r>
        <w:rPr>
          <w:color w:val="000000"/>
        </w:rPr>
        <w:t xml:space="preserve">water resources, </w:t>
      </w:r>
      <w:r w:rsidR="00307897">
        <w:rPr>
          <w:color w:val="000000"/>
        </w:rPr>
        <w:t xml:space="preserve">water rights, </w:t>
      </w:r>
      <w:r>
        <w:rPr>
          <w:color w:val="000000"/>
        </w:rPr>
        <w:t xml:space="preserve">land use </w:t>
      </w:r>
      <w:r w:rsidR="00307897">
        <w:rPr>
          <w:color w:val="000000"/>
        </w:rPr>
        <w:t xml:space="preserve">planning or </w:t>
      </w:r>
      <w:r>
        <w:rPr>
          <w:color w:val="000000"/>
        </w:rPr>
        <w:t xml:space="preserve">governance, or other related issues </w:t>
      </w:r>
      <w:r w:rsidR="00307897">
        <w:rPr>
          <w:color w:val="000000"/>
        </w:rPr>
        <w:t xml:space="preserve">that may </w:t>
      </w:r>
      <w:r>
        <w:rPr>
          <w:color w:val="000000"/>
        </w:rPr>
        <w:t xml:space="preserve">affect a Tribe’s </w:t>
      </w:r>
      <w:r w:rsidR="00307897" w:rsidRPr="00307897">
        <w:rPr>
          <w:color w:val="000000"/>
        </w:rPr>
        <w:t>political integrity, economic security, health or welfare</w:t>
      </w:r>
      <w:r w:rsidR="00307897">
        <w:rPr>
          <w:color w:val="000000"/>
        </w:rPr>
        <w:t>.</w:t>
      </w:r>
      <w:r w:rsidR="00307897">
        <w:rPr>
          <w:rStyle w:val="FootnoteReference"/>
          <w:color w:val="000000"/>
        </w:rPr>
        <w:footnoteReference w:id="20"/>
      </w:r>
    </w:p>
    <w:p w14:paraId="712DFDF4" w14:textId="77777777" w:rsidR="0023436D" w:rsidRPr="00280F8B" w:rsidRDefault="0023436D" w:rsidP="00A0360D">
      <w:pPr>
        <w:ind w:left="360" w:hanging="360"/>
        <w:textAlignment w:val="baseline"/>
        <w:rPr>
          <w:color w:val="000000"/>
        </w:rPr>
      </w:pPr>
    </w:p>
    <w:p w14:paraId="540EBD23" w14:textId="7B291F04" w:rsidR="0023436D" w:rsidRPr="00280F8B" w:rsidRDefault="0023436D" w:rsidP="00A0360D">
      <w:pPr>
        <w:numPr>
          <w:ilvl w:val="0"/>
          <w:numId w:val="16"/>
        </w:numPr>
        <w:tabs>
          <w:tab w:val="left" w:pos="720"/>
        </w:tabs>
        <w:ind w:left="360"/>
        <w:textAlignment w:val="baseline"/>
        <w:rPr>
          <w:color w:val="000000"/>
        </w:rPr>
      </w:pPr>
      <w:r w:rsidRPr="00280F8B">
        <w:rPr>
          <w:b/>
          <w:color w:val="000000"/>
        </w:rPr>
        <w:t>“</w:t>
      </w:r>
      <w:proofErr w:type="gramStart"/>
      <w:r w:rsidR="00A0360D">
        <w:rPr>
          <w:b/>
          <w:color w:val="000000"/>
        </w:rPr>
        <w:t>p</w:t>
      </w:r>
      <w:r w:rsidRPr="00280F8B">
        <w:rPr>
          <w:b/>
          <w:color w:val="000000"/>
        </w:rPr>
        <w:t>erformance</w:t>
      </w:r>
      <w:proofErr w:type="gramEnd"/>
      <w:r w:rsidRPr="00280F8B">
        <w:rPr>
          <w:b/>
          <w:color w:val="000000"/>
        </w:rPr>
        <w:t xml:space="preserve"> </w:t>
      </w:r>
      <w:r w:rsidR="00CE14B4" w:rsidRPr="00280F8B">
        <w:rPr>
          <w:b/>
          <w:color w:val="000000"/>
        </w:rPr>
        <w:t>b</w:t>
      </w:r>
      <w:r w:rsidRPr="00280F8B">
        <w:rPr>
          <w:b/>
          <w:color w:val="000000"/>
        </w:rPr>
        <w:t>enchmarks”</w:t>
      </w:r>
      <w:r w:rsidRPr="00280F8B">
        <w:rPr>
          <w:color w:val="000000"/>
        </w:rPr>
        <w:t xml:space="preserve"> mean</w:t>
      </w:r>
      <w:r w:rsidRPr="00280F8B">
        <w:t xml:space="preserve"> </w:t>
      </w:r>
      <w:r w:rsidRPr="00280F8B">
        <w:rPr>
          <w:color w:val="000000"/>
        </w:rPr>
        <w:t xml:space="preserve">monitoring </w:t>
      </w:r>
      <w:r w:rsidR="00A0360D">
        <w:rPr>
          <w:color w:val="000000"/>
        </w:rPr>
        <w:t xml:space="preserve">measures or </w:t>
      </w:r>
      <w:r w:rsidRPr="00280F8B">
        <w:rPr>
          <w:color w:val="000000"/>
        </w:rPr>
        <w:t>standards,</w:t>
      </w:r>
      <w:r w:rsidR="00A0360D">
        <w:rPr>
          <w:color w:val="000000"/>
        </w:rPr>
        <w:t xml:space="preserve"> based on pre-determined time frames, by which a local government can measure whether goals and implementation strategies</w:t>
      </w:r>
      <w:r w:rsidRPr="00280F8B">
        <w:rPr>
          <w:color w:val="000000"/>
        </w:rPr>
        <w:t xml:space="preserve"> are being achieved </w:t>
      </w:r>
      <w:r w:rsidRPr="00280F8B">
        <w:t>over time</w:t>
      </w:r>
      <w:r w:rsidRPr="00280F8B">
        <w:rPr>
          <w:color w:val="000000"/>
        </w:rPr>
        <w:t>.</w:t>
      </w:r>
    </w:p>
    <w:p w14:paraId="547ADA21" w14:textId="77777777" w:rsidR="00FC6D6F" w:rsidRPr="00280F8B" w:rsidRDefault="00FC6D6F" w:rsidP="00A0360D">
      <w:pPr>
        <w:tabs>
          <w:tab w:val="left" w:pos="900"/>
        </w:tabs>
        <w:ind w:left="360" w:hanging="360"/>
        <w:textAlignment w:val="baseline"/>
        <w:rPr>
          <w:color w:val="000000"/>
        </w:rPr>
      </w:pPr>
    </w:p>
    <w:p w14:paraId="44460781" w14:textId="6E254F67" w:rsidR="001A3688" w:rsidRPr="0027480F" w:rsidRDefault="00727E3C" w:rsidP="00AD20EE">
      <w:pPr>
        <w:numPr>
          <w:ilvl w:val="0"/>
          <w:numId w:val="16"/>
        </w:numPr>
        <w:tabs>
          <w:tab w:val="left" w:pos="900"/>
        </w:tabs>
        <w:ind w:left="360"/>
        <w:textAlignment w:val="baseline"/>
        <w:rPr>
          <w:color w:val="000000"/>
        </w:rPr>
      </w:pPr>
      <w:r w:rsidRPr="0027480F">
        <w:rPr>
          <w:b/>
          <w:color w:val="000000"/>
        </w:rPr>
        <w:t>“</w:t>
      </w:r>
      <w:proofErr w:type="gramStart"/>
      <w:r w:rsidR="00307897" w:rsidRPr="0027480F">
        <w:rPr>
          <w:b/>
          <w:color w:val="000000"/>
        </w:rPr>
        <w:t>w</w:t>
      </w:r>
      <w:r w:rsidRPr="0027480F">
        <w:rPr>
          <w:b/>
          <w:color w:val="000000"/>
        </w:rPr>
        <w:t>ater</w:t>
      </w:r>
      <w:proofErr w:type="gramEnd"/>
      <w:r w:rsidRPr="0027480F">
        <w:rPr>
          <w:b/>
          <w:color w:val="000000"/>
        </w:rPr>
        <w:t xml:space="preserve"> marketing”</w:t>
      </w:r>
      <w:r w:rsidRPr="0027480F">
        <w:rPr>
          <w:color w:val="000000"/>
        </w:rPr>
        <w:t xml:space="preserve"> means the </w:t>
      </w:r>
      <w:r w:rsidR="003A25B5" w:rsidRPr="0027480F">
        <w:rPr>
          <w:color w:val="000000"/>
        </w:rPr>
        <w:t>b</w:t>
      </w:r>
      <w:r w:rsidR="00307897" w:rsidRPr="0027480F">
        <w:rPr>
          <w:color w:val="000000"/>
        </w:rPr>
        <w:t>uying, selling, exchanging, changing, or transporting of water supply under the laws governing water rights.</w:t>
      </w:r>
      <w:r w:rsidRPr="0027480F">
        <w:rPr>
          <w:color w:val="000000"/>
        </w:rPr>
        <w:t xml:space="preserve"> </w:t>
      </w:r>
    </w:p>
    <w:p w14:paraId="6568ECB6" w14:textId="14A1BF8A" w:rsidR="0023436D" w:rsidRPr="0027480F" w:rsidRDefault="00EE6B1B" w:rsidP="0027480F">
      <w:pPr>
        <w:pStyle w:val="Heading1"/>
      </w:pPr>
      <w:bookmarkStart w:id="7" w:name="_Toc405804317"/>
      <w:r>
        <w:br w:type="page"/>
      </w:r>
      <w:r w:rsidR="003B5D2D" w:rsidRPr="0027480F">
        <w:t>Part II</w:t>
      </w:r>
      <w:r w:rsidR="0023436D" w:rsidRPr="0027480F">
        <w:t>:</w:t>
      </w:r>
      <w:bookmarkEnd w:id="7"/>
    </w:p>
    <w:p w14:paraId="5761424F" w14:textId="77777777" w:rsidR="004A0791" w:rsidRPr="0027480F" w:rsidRDefault="0023436D" w:rsidP="0027480F">
      <w:pPr>
        <w:pStyle w:val="Heading1"/>
      </w:pPr>
      <w:bookmarkStart w:id="8" w:name="_Toc405804318"/>
      <w:r w:rsidRPr="0027480F">
        <w:t>Supporting Arguments for</w:t>
      </w:r>
      <w:bookmarkEnd w:id="8"/>
      <w:r w:rsidRPr="0027480F">
        <w:t xml:space="preserve"> </w:t>
      </w:r>
    </w:p>
    <w:p w14:paraId="054DFECD" w14:textId="6D941F12" w:rsidR="0023436D" w:rsidRPr="004A0791" w:rsidRDefault="0023436D" w:rsidP="0027480F">
      <w:pPr>
        <w:pStyle w:val="Heading1"/>
      </w:pPr>
      <w:bookmarkStart w:id="9" w:name="_Toc405804319"/>
      <w:r w:rsidRPr="0027480F">
        <w:t>Water-Climate Planning</w:t>
      </w:r>
      <w:bookmarkEnd w:id="9"/>
      <w:r w:rsidR="004D6ABD">
        <w:t xml:space="preserve"> </w:t>
      </w:r>
    </w:p>
    <w:p w14:paraId="1C34BB8B" w14:textId="77777777" w:rsidR="0023436D" w:rsidRPr="00ED3CFB" w:rsidRDefault="0023436D" w:rsidP="0023436D">
      <w:pPr>
        <w:jc w:val="center"/>
        <w:rPr>
          <w:b/>
        </w:rPr>
      </w:pPr>
    </w:p>
    <w:p w14:paraId="2E0B7866" w14:textId="77777777" w:rsidR="0023436D" w:rsidRPr="00ED3CFB" w:rsidRDefault="0023436D" w:rsidP="0023436D">
      <w:pPr>
        <w:rPr>
          <w:b/>
          <w:u w:val="single"/>
        </w:rPr>
      </w:pPr>
    </w:p>
    <w:p w14:paraId="09169DAD" w14:textId="6678E8ED" w:rsidR="0023436D" w:rsidRPr="00ED3CFB" w:rsidRDefault="0023436D" w:rsidP="00A241C3">
      <w:pPr>
        <w:pStyle w:val="Heading2"/>
      </w:pPr>
      <w:bookmarkStart w:id="10" w:name="_Toc405804320"/>
      <w:r w:rsidRPr="00ED3CFB">
        <w:t>General Arguments</w:t>
      </w:r>
      <w:bookmarkEnd w:id="10"/>
      <w:r w:rsidR="004D6ABD" w:rsidRPr="004D6ABD">
        <w:rPr>
          <w:rStyle w:val="FootnoteReference"/>
          <w:b w:val="0"/>
          <w:color w:val="auto"/>
        </w:rPr>
        <w:footnoteReference w:id="21"/>
      </w:r>
    </w:p>
    <w:p w14:paraId="43ABA74D" w14:textId="77777777" w:rsidR="0023436D" w:rsidRPr="00ED3CFB" w:rsidRDefault="0023436D" w:rsidP="0023436D"/>
    <w:p w14:paraId="2B3E0A51" w14:textId="5A9F619F" w:rsidR="0023436D" w:rsidRPr="00ED3CFB" w:rsidRDefault="004D6ABD" w:rsidP="0023436D">
      <w:pPr>
        <w:pStyle w:val="ColorfulList-Accent11"/>
        <w:numPr>
          <w:ilvl w:val="0"/>
          <w:numId w:val="6"/>
        </w:numPr>
      </w:pPr>
      <w:r>
        <w:t>L</w:t>
      </w:r>
      <w:r w:rsidR="00E76D08" w:rsidRPr="003B5D2D">
        <w:t xml:space="preserve">ocal governments </w:t>
      </w:r>
      <w:r>
        <w:t xml:space="preserve">have a significant role to play in planning how land use and water resources will function together in their community, particularly in the face of climate variability. </w:t>
      </w:r>
      <w:r w:rsidR="0023436D" w:rsidRPr="00ED3CFB">
        <w:t xml:space="preserve">Protecting healthy watersheds, restoring degraded hydrologic systems, and preparing for anticipated future water needs, are a few of the nation’s most significant unmet environmental challenges. </w:t>
      </w:r>
      <w:r>
        <w:t>And u</w:t>
      </w:r>
      <w:r w:rsidR="0023436D" w:rsidRPr="00ED3CFB">
        <w:t>nlike other natural resources, which exist in more static natural boundaries, watersheds do not respect political borders</w:t>
      </w:r>
      <w:r>
        <w:t xml:space="preserve"> and require a highly collaborative approach among all users of shared water resources</w:t>
      </w:r>
      <w:r w:rsidR="0023436D" w:rsidRPr="00ED3CFB">
        <w:t xml:space="preserve">. </w:t>
      </w:r>
    </w:p>
    <w:p w14:paraId="061E9AFF" w14:textId="77777777" w:rsidR="0023436D" w:rsidRPr="00ED3CFB" w:rsidRDefault="0023436D" w:rsidP="0023436D"/>
    <w:p w14:paraId="2835591B" w14:textId="4BBEC0CD" w:rsidR="007D1C51" w:rsidRDefault="004D6ABD" w:rsidP="00AD20EE">
      <w:pPr>
        <w:pStyle w:val="ColorfulList-Accent11"/>
        <w:numPr>
          <w:ilvl w:val="0"/>
          <w:numId w:val="6"/>
        </w:numPr>
      </w:pPr>
      <w:bookmarkStart w:id="11" w:name="OLE_LINK1"/>
      <w:r>
        <w:t>T</w:t>
      </w:r>
      <w:r w:rsidR="0023436D" w:rsidRPr="003B5D2D">
        <w:t xml:space="preserve">he urgency of population growth, over-tapped water supplies, and dramatic climate change impacts in the West underscore the need for a </w:t>
      </w:r>
      <w:r>
        <w:t>mandatory water-climate element in local comprehensive plans.</w:t>
      </w:r>
      <w:bookmarkEnd w:id="11"/>
      <w:r w:rsidR="00355663">
        <w:t xml:space="preserve"> </w:t>
      </w:r>
      <w:r w:rsidR="0023436D" w:rsidRPr="00ED3CFB">
        <w:t>Making water-climate planning a universal and compulsory part of existing comprehensive plans provides the benefit of uniformity, predictability, cost savings and</w:t>
      </w:r>
      <w:r>
        <w:t xml:space="preserve"> ease of integration with state, federal and Tribal water </w:t>
      </w:r>
      <w:r w:rsidR="0023436D" w:rsidRPr="00ED3CFB">
        <w:t>p</w:t>
      </w:r>
      <w:r>
        <w:t>lan</w:t>
      </w:r>
      <w:r w:rsidR="0023436D" w:rsidRPr="00ED3CFB">
        <w:t xml:space="preserve">s. </w:t>
      </w:r>
      <w:r w:rsidR="0023436D" w:rsidRPr="003B5D2D">
        <w:t xml:space="preserve">Water-climate planning increases certainty about water supply availability, promotes sustainable and functioning water systems, and provides local governments with the flexibility to adapt to future climatic variations. Further, mandatory water-climate planning provides a mechanism to integrate state policies, where they exist, with local planning and provides means by which plans of adjoining local governments are taken into account, minimizing the risk of incongruities. </w:t>
      </w:r>
    </w:p>
    <w:p w14:paraId="565E8571" w14:textId="77777777" w:rsidR="008A1FD3" w:rsidRDefault="008A1FD3" w:rsidP="008A1FD3">
      <w:pPr>
        <w:pStyle w:val="ListParagraph"/>
      </w:pPr>
    </w:p>
    <w:p w14:paraId="4B329793" w14:textId="6C41B0F1" w:rsidR="008A1FD3" w:rsidRDefault="008A1FD3" w:rsidP="00AD20EE">
      <w:pPr>
        <w:pStyle w:val="ColorfulList-Accent11"/>
        <w:numPr>
          <w:ilvl w:val="0"/>
          <w:numId w:val="6"/>
        </w:numPr>
      </w:pPr>
      <w:r w:rsidRPr="00ED3CFB">
        <w:t>Because water law is predominantly a matter of state</w:t>
      </w:r>
      <w:r>
        <w:t xml:space="preserve"> and federal </w:t>
      </w:r>
      <w:r w:rsidRPr="00ED3CFB">
        <w:t xml:space="preserve">law, local governments </w:t>
      </w:r>
      <w:r>
        <w:t xml:space="preserve">have historically </w:t>
      </w:r>
      <w:r w:rsidRPr="00ED3CFB">
        <w:t>experience</w:t>
      </w:r>
      <w:r>
        <w:t>d</w:t>
      </w:r>
      <w:r w:rsidRPr="00ED3CFB">
        <w:t xml:space="preserve"> disproportionate, if not little, control over water use.</w:t>
      </w:r>
      <w:r w:rsidRPr="00ED3CFB">
        <w:rPr>
          <w:rStyle w:val="FootnoteReference"/>
        </w:rPr>
        <w:footnoteReference w:id="22"/>
      </w:r>
      <w:r w:rsidRPr="00ED3CFB">
        <w:t xml:space="preserve"> </w:t>
      </w:r>
      <w:r>
        <w:t xml:space="preserve">Yet local governments are at the front lines of environmental regulation through their regulation of private land use activities that directly connect to water supply. </w:t>
      </w:r>
      <w:r w:rsidRPr="00ED3CFB">
        <w:t xml:space="preserve">Thus, this </w:t>
      </w:r>
      <w:r>
        <w:t>adoption of a Water-Climate Element</w:t>
      </w:r>
      <w:r w:rsidRPr="00ED3CFB">
        <w:t xml:space="preserve"> is a critical step toward local communities playing a more active role in the outcome of their water future.</w:t>
      </w:r>
    </w:p>
    <w:p w14:paraId="3C0D6806" w14:textId="77777777" w:rsidR="008A1FD3" w:rsidRDefault="008A1FD3" w:rsidP="008A1FD3">
      <w:pPr>
        <w:pStyle w:val="ListParagraph"/>
        <w:spacing w:after="100" w:afterAutospacing="1"/>
        <w:ind w:left="0"/>
      </w:pPr>
    </w:p>
    <w:p w14:paraId="2F3D8B73" w14:textId="3E3508B0" w:rsidR="0046615B" w:rsidRDefault="007D1C51" w:rsidP="00A0360D">
      <w:pPr>
        <w:pStyle w:val="ListParagraph"/>
        <w:numPr>
          <w:ilvl w:val="0"/>
          <w:numId w:val="6"/>
        </w:numPr>
        <w:spacing w:before="100" w:beforeAutospacing="1" w:after="100" w:afterAutospacing="1"/>
      </w:pPr>
      <w:r w:rsidRPr="004D6ABD">
        <w:t xml:space="preserve">While the issue of funding will likely pose challenges to the development and administration of water-climate planning, a variety of creative funding options exist in the form of </w:t>
      </w:r>
      <w:r w:rsidR="004D6ABD">
        <w:t xml:space="preserve">levies, state- and federal-funded hydrologic studies, </w:t>
      </w:r>
      <w:r w:rsidRPr="004D6ABD">
        <w:t>taxes, fees</w:t>
      </w:r>
      <w:r w:rsidR="00355663">
        <w:t xml:space="preserve"> and assessments</w:t>
      </w:r>
      <w:r w:rsidRPr="004D6ABD">
        <w:t>,</w:t>
      </w:r>
      <w:r w:rsidR="00355663">
        <w:t xml:space="preserve"> grants, university-funded research,</w:t>
      </w:r>
      <w:r w:rsidRPr="004D6ABD">
        <w:t xml:space="preserve"> awards and private donations. </w:t>
      </w:r>
    </w:p>
    <w:p w14:paraId="26F93065" w14:textId="77777777" w:rsidR="0046615B" w:rsidRDefault="0046615B" w:rsidP="0046615B">
      <w:pPr>
        <w:pStyle w:val="ListParagraph"/>
      </w:pPr>
    </w:p>
    <w:p w14:paraId="60F4C998" w14:textId="77777777" w:rsidR="0046615B" w:rsidRPr="00ED3CFB" w:rsidRDefault="0046615B" w:rsidP="0046615B">
      <w:pPr>
        <w:rPr>
          <w:b/>
        </w:rPr>
      </w:pPr>
      <w:r w:rsidRPr="00ED3CFB">
        <w:rPr>
          <w:b/>
        </w:rPr>
        <w:t>Examples:</w:t>
      </w:r>
    </w:p>
    <w:p w14:paraId="799C8081" w14:textId="77777777" w:rsidR="0046615B" w:rsidRDefault="0046615B" w:rsidP="0046615B">
      <w:pPr>
        <w:pStyle w:val="ListParagraph"/>
      </w:pPr>
    </w:p>
    <w:p w14:paraId="4AF3F4BF" w14:textId="0EF48EDE" w:rsidR="00A241C3" w:rsidRPr="004D6ABD" w:rsidRDefault="007D1C51" w:rsidP="00A0360D">
      <w:pPr>
        <w:pStyle w:val="ListParagraph"/>
        <w:numPr>
          <w:ilvl w:val="0"/>
          <w:numId w:val="6"/>
        </w:numPr>
        <w:spacing w:before="100" w:beforeAutospacing="1" w:after="100" w:afterAutospacing="1"/>
      </w:pPr>
      <w:r w:rsidRPr="004D6ABD">
        <w:t xml:space="preserve">Examples of mechanisms commonly used to generate revenue for environmental programs include general property tax, sales and use tax, utility fees, per parcel assessments, real estate excise tax and pollution discharge tax. </w:t>
      </w:r>
      <w:r w:rsidR="00355663">
        <w:t xml:space="preserve">Non-regulatory options </w:t>
      </w:r>
      <w:r w:rsidRPr="004D6ABD">
        <w:t>such as mini-grants can also be effective in involving schools, volunteer organizations and community groups in local environmental initiatives. The State of Washington is in the process of designing Watershed Investment Districts which are organized on watershed boundaries and authorize local governments to raise and disburse funds to conserve and restore lands and waters.</w:t>
      </w:r>
      <w:r w:rsidR="00355663" w:rsidRPr="004D6ABD">
        <w:rPr>
          <w:rStyle w:val="FootnoteReference"/>
        </w:rPr>
        <w:footnoteReference w:id="23"/>
      </w:r>
      <w:r w:rsidRPr="004D6ABD">
        <w:t> </w:t>
      </w:r>
    </w:p>
    <w:p w14:paraId="6A1E714A" w14:textId="3E4728C5" w:rsidR="0023436D" w:rsidRPr="00ED3CFB" w:rsidRDefault="00FF7F2A" w:rsidP="00A241C3">
      <w:pPr>
        <w:pStyle w:val="Heading2"/>
        <w:rPr>
          <w:rFonts w:eastAsia="Times New Roman"/>
        </w:rPr>
      </w:pPr>
      <w:bookmarkStart w:id="12" w:name="_Toc405804321"/>
      <w:r w:rsidRPr="00A241C3">
        <w:t>C</w:t>
      </w:r>
      <w:r w:rsidR="0062010C" w:rsidRPr="00A241C3">
        <w:t>omprehensive Inventory of Water Resources</w:t>
      </w:r>
      <w:bookmarkEnd w:id="12"/>
      <w:r w:rsidR="0062010C" w:rsidRPr="00A241C3">
        <w:t xml:space="preserve"> </w:t>
      </w:r>
    </w:p>
    <w:p w14:paraId="2CED0D15" w14:textId="77777777" w:rsidR="0023436D" w:rsidRPr="00ED3CFB" w:rsidRDefault="0023436D" w:rsidP="0023436D">
      <w:pPr>
        <w:rPr>
          <w:rFonts w:eastAsia="Times New Roman"/>
        </w:rPr>
      </w:pPr>
    </w:p>
    <w:p w14:paraId="4BA323B7" w14:textId="1A28E755" w:rsidR="005A6882" w:rsidRDefault="00FF7F2A" w:rsidP="00AD20EE">
      <w:pPr>
        <w:pStyle w:val="ColorfulList-Accent11"/>
        <w:numPr>
          <w:ilvl w:val="0"/>
          <w:numId w:val="2"/>
        </w:numPr>
      </w:pPr>
      <w:r w:rsidRPr="00A82EA2">
        <w:t xml:space="preserve">A community’s first step </w:t>
      </w:r>
      <w:r w:rsidR="00355663">
        <w:t xml:space="preserve">toward water-climate planning </w:t>
      </w:r>
      <w:r w:rsidRPr="00A82EA2">
        <w:t xml:space="preserve">is to take account of local water resources as they exist, both physically and legally. </w:t>
      </w:r>
      <w:r w:rsidR="008B5649">
        <w:t>Only by u</w:t>
      </w:r>
      <w:r w:rsidR="001448C3" w:rsidRPr="001448C3">
        <w:t>nderstanding the legal and scientif</w:t>
      </w:r>
      <w:r w:rsidR="00601531">
        <w:t>ic connections between</w:t>
      </w:r>
      <w:r w:rsidR="00E003C1">
        <w:t xml:space="preserve"> water supply</w:t>
      </w:r>
      <w:r w:rsidR="00355663">
        <w:t xml:space="preserve"> (both surface and ground)</w:t>
      </w:r>
      <w:r w:rsidR="00E003C1">
        <w:t>,</w:t>
      </w:r>
      <w:r w:rsidR="00355663">
        <w:rPr>
          <w:rStyle w:val="FootnoteReference"/>
        </w:rPr>
        <w:footnoteReference w:id="24"/>
      </w:r>
      <w:r w:rsidR="001448C3" w:rsidRPr="001448C3">
        <w:t xml:space="preserve"> </w:t>
      </w:r>
      <w:r w:rsidR="00355663">
        <w:t>hydrologic</w:t>
      </w:r>
      <w:r w:rsidR="001448C3" w:rsidRPr="001448C3">
        <w:t xml:space="preserve"> functions</w:t>
      </w:r>
      <w:r w:rsidR="00355663">
        <w:t xml:space="preserve"> of watersheds</w:t>
      </w:r>
      <w:r w:rsidR="001448C3" w:rsidRPr="001448C3">
        <w:t>, and regional climate</w:t>
      </w:r>
      <w:r w:rsidR="00355663">
        <w:t xml:space="preserve"> impacts</w:t>
      </w:r>
      <w:r w:rsidR="00601531">
        <w:t>,</w:t>
      </w:r>
      <w:r w:rsidR="001448C3" w:rsidRPr="001448C3">
        <w:t xml:space="preserve"> </w:t>
      </w:r>
      <w:r w:rsidR="008B5649">
        <w:t>can a community effectively evaluate and</w:t>
      </w:r>
      <w:r w:rsidR="001448C3">
        <w:t xml:space="preserve"> plan for</w:t>
      </w:r>
      <w:r w:rsidR="001448C3" w:rsidRPr="001448C3">
        <w:t xml:space="preserve"> its future.</w:t>
      </w:r>
      <w:r w:rsidR="003E63C5">
        <w:t xml:space="preserve"> </w:t>
      </w:r>
      <w:r w:rsidR="001448C3">
        <w:t xml:space="preserve"> </w:t>
      </w:r>
    </w:p>
    <w:p w14:paraId="4D4639EC" w14:textId="77777777" w:rsidR="00355663" w:rsidRDefault="00355663" w:rsidP="00355663">
      <w:pPr>
        <w:pStyle w:val="ColorfulList-Accent11"/>
        <w:ind w:left="0"/>
      </w:pPr>
    </w:p>
    <w:p w14:paraId="65B84918" w14:textId="61E33FE8" w:rsidR="0023436D" w:rsidRPr="00ED3CFB" w:rsidRDefault="0023436D" w:rsidP="006F4DAD">
      <w:pPr>
        <w:pStyle w:val="ColorfulList-Accent11"/>
        <w:numPr>
          <w:ilvl w:val="0"/>
          <w:numId w:val="2"/>
        </w:numPr>
      </w:pPr>
      <w:r w:rsidRPr="00ED3CFB">
        <w:t xml:space="preserve">Local governments’ greatest opportunity to achieve </w:t>
      </w:r>
      <w:r w:rsidR="00631B45">
        <w:t xml:space="preserve">healthy </w:t>
      </w:r>
      <w:r w:rsidRPr="00ED3CFB">
        <w:t>watershed</w:t>
      </w:r>
      <w:r w:rsidR="00631B45">
        <w:t>s</w:t>
      </w:r>
      <w:r w:rsidRPr="00ED3CFB">
        <w:t xml:space="preserve"> is through </w:t>
      </w:r>
      <w:r w:rsidR="00631B45">
        <w:t>intimate familiarity with their own water resources. In many cases data gathering and modeling have already been done by state or federal agencies, local water districts, or water rights users. In these instances, local governments can build on existing information. When such information does not exist, states should provide funding to fulfill the mandates contained in the Water-Climate Element.</w:t>
      </w:r>
      <w:r w:rsidRPr="00ED3CFB">
        <w:rPr>
          <w:rStyle w:val="FootnoteReference"/>
        </w:rPr>
        <w:footnoteReference w:id="25"/>
      </w:r>
    </w:p>
    <w:p w14:paraId="44BA8DD1" w14:textId="77777777" w:rsidR="00063A2E" w:rsidRPr="00ED3CFB" w:rsidRDefault="0023436D" w:rsidP="0023436D">
      <w:pPr>
        <w:rPr>
          <w:b/>
        </w:rPr>
      </w:pPr>
      <w:r w:rsidRPr="00ED3CFB">
        <w:rPr>
          <w:b/>
        </w:rPr>
        <w:t>Examples:</w:t>
      </w:r>
    </w:p>
    <w:p w14:paraId="43DF7254" w14:textId="77777777" w:rsidR="0023436D" w:rsidRPr="00ED3CFB" w:rsidRDefault="0023436D" w:rsidP="0023436D"/>
    <w:p w14:paraId="33EB9872" w14:textId="0BBBAF1C" w:rsidR="00631B45" w:rsidRPr="008A1FD3" w:rsidRDefault="0023436D" w:rsidP="00AD20EE">
      <w:pPr>
        <w:pStyle w:val="ColorfulList-Accent11"/>
        <w:numPr>
          <w:ilvl w:val="0"/>
          <w:numId w:val="2"/>
        </w:numPr>
        <w:rPr>
          <w:b/>
          <w:bCs/>
          <w:color w:val="1F4E79" w:themeColor="accent1" w:themeShade="80"/>
          <w:sz w:val="28"/>
          <w:szCs w:val="28"/>
        </w:rPr>
      </w:pPr>
      <w:r w:rsidRPr="00ED3CFB">
        <w:t>California provides a worthy illustration of attempted local governance.  On a state level, California has chosen to bypass statewide groundwater management in favor of management by local water districts. As explained by Stanford Professor, Barton H. Thompson Jr., “a number of these districts have set a goal of minimizing surface-water impacts, studied interactions between groundwater and surface water, and even encouraged groundwater users in areas with a high probability of impacts to switch to surface supplies. However, no local district has fully integrated the two systems.”</w:t>
      </w:r>
      <w:r w:rsidRPr="00ED3CFB">
        <w:rPr>
          <w:rStyle w:val="FootnoteReference"/>
        </w:rPr>
        <w:footnoteReference w:id="26"/>
      </w:r>
      <w:bookmarkStart w:id="13" w:name="_Toc405804322"/>
    </w:p>
    <w:p w14:paraId="3A398A08" w14:textId="77777777" w:rsidR="008A1FD3" w:rsidRPr="008A1FD3" w:rsidRDefault="008A1FD3" w:rsidP="008A1FD3">
      <w:pPr>
        <w:pStyle w:val="ColorfulList-Accent11"/>
        <w:ind w:left="0"/>
        <w:rPr>
          <w:b/>
          <w:bCs/>
          <w:color w:val="1F4E79" w:themeColor="accent1" w:themeShade="80"/>
          <w:sz w:val="28"/>
          <w:szCs w:val="28"/>
        </w:rPr>
      </w:pPr>
    </w:p>
    <w:p w14:paraId="42C40847" w14:textId="1E01EF27" w:rsidR="0023436D" w:rsidRPr="00A241C3" w:rsidRDefault="00A241C3" w:rsidP="00A241C3">
      <w:pPr>
        <w:pStyle w:val="Heading2"/>
      </w:pPr>
      <w:r>
        <w:t>Capacity-</w:t>
      </w:r>
      <w:r w:rsidR="0023436D" w:rsidRPr="00A241C3">
        <w:t>Vulnerability Analysis</w:t>
      </w:r>
      <w:bookmarkEnd w:id="13"/>
    </w:p>
    <w:p w14:paraId="757E743D" w14:textId="77777777" w:rsidR="0023436D" w:rsidRPr="00ED3CFB" w:rsidRDefault="0023436D" w:rsidP="0023436D">
      <w:pPr>
        <w:rPr>
          <w:rFonts w:eastAsia="Times New Roman"/>
        </w:rPr>
      </w:pPr>
      <w:r w:rsidRPr="00ED3CFB">
        <w:rPr>
          <w:rFonts w:eastAsia="Times New Roman"/>
        </w:rPr>
        <w:tab/>
      </w:r>
    </w:p>
    <w:p w14:paraId="0F3E504F" w14:textId="76B457A5" w:rsidR="0023436D" w:rsidRPr="00ED3CFB" w:rsidRDefault="0023436D" w:rsidP="0023436D">
      <w:pPr>
        <w:pStyle w:val="ColorfulList-Accent11"/>
        <w:numPr>
          <w:ilvl w:val="0"/>
          <w:numId w:val="2"/>
        </w:numPr>
        <w:rPr>
          <w:rFonts w:eastAsia="Times New Roman"/>
        </w:rPr>
      </w:pPr>
      <w:r w:rsidRPr="00ED3CFB">
        <w:rPr>
          <w:rFonts w:eastAsia="Times New Roman"/>
        </w:rPr>
        <w:t>After collecting valuable scientific data regarding the community</w:t>
      </w:r>
      <w:r w:rsidR="00631B45">
        <w:rPr>
          <w:rFonts w:eastAsia="Times New Roman"/>
        </w:rPr>
        <w:t>’s</w:t>
      </w:r>
      <w:r w:rsidRPr="00ED3CFB">
        <w:rPr>
          <w:rFonts w:eastAsia="Times New Roman"/>
        </w:rPr>
        <w:t xml:space="preserve"> water</w:t>
      </w:r>
      <w:r w:rsidR="00631B45">
        <w:rPr>
          <w:rFonts w:eastAsia="Times New Roman"/>
        </w:rPr>
        <w:t xml:space="preserve"> resources</w:t>
      </w:r>
      <w:r w:rsidRPr="00ED3CFB">
        <w:rPr>
          <w:rFonts w:eastAsia="Times New Roman"/>
        </w:rPr>
        <w:t xml:space="preserve">, local governments are then in a unique and advantageous position to overlay that information against land use projections. By </w:t>
      </w:r>
      <w:r w:rsidR="00631B45">
        <w:rPr>
          <w:rFonts w:eastAsia="Times New Roman"/>
        </w:rPr>
        <w:t>comparing supply and demand through a “water budget” approach</w:t>
      </w:r>
      <w:r w:rsidRPr="00ED3CFB">
        <w:rPr>
          <w:rFonts w:eastAsia="Times New Roman"/>
        </w:rPr>
        <w:t xml:space="preserve">, a community is able to clearly identify where, how, when, why and to what degree its available water supply and hydrologic system capacity are not harmony with its current land use models, or growth projections, </w:t>
      </w:r>
      <w:r w:rsidR="00631B45">
        <w:rPr>
          <w:rFonts w:eastAsia="Times New Roman"/>
        </w:rPr>
        <w:t xml:space="preserve">particularly </w:t>
      </w:r>
      <w:r w:rsidRPr="00ED3CFB">
        <w:rPr>
          <w:rFonts w:eastAsia="Times New Roman"/>
        </w:rPr>
        <w:t xml:space="preserve">in light of future climatic shifts.  </w:t>
      </w:r>
    </w:p>
    <w:p w14:paraId="649B9BD2" w14:textId="77777777" w:rsidR="0023436D" w:rsidRPr="00ED3CFB" w:rsidRDefault="0023436D" w:rsidP="0023436D">
      <w:pPr>
        <w:pStyle w:val="ColorfulList-Accent11"/>
        <w:ind w:left="0"/>
        <w:rPr>
          <w:rFonts w:eastAsia="Times New Roman"/>
        </w:rPr>
      </w:pPr>
    </w:p>
    <w:p w14:paraId="40B5BF2D" w14:textId="6437FAC7" w:rsidR="0023436D" w:rsidRPr="00ED3CFB" w:rsidRDefault="0023436D" w:rsidP="0023436D">
      <w:pPr>
        <w:pStyle w:val="ColorfulList-Accent11"/>
        <w:numPr>
          <w:ilvl w:val="0"/>
          <w:numId w:val="2"/>
        </w:numPr>
        <w:rPr>
          <w:rFonts w:eastAsia="Times New Roman"/>
        </w:rPr>
      </w:pPr>
      <w:r w:rsidRPr="00ED3CFB">
        <w:rPr>
          <w:rFonts w:eastAsia="Times New Roman"/>
        </w:rPr>
        <w:t xml:space="preserve">Ultimately, by highlighting these areas of </w:t>
      </w:r>
      <w:r w:rsidR="008A1FD3">
        <w:rPr>
          <w:rFonts w:eastAsia="Times New Roman"/>
        </w:rPr>
        <w:t>vulnerability</w:t>
      </w:r>
      <w:r w:rsidRPr="00ED3CFB">
        <w:rPr>
          <w:rFonts w:eastAsia="Times New Roman"/>
        </w:rPr>
        <w:t xml:space="preserve">, local governments can </w:t>
      </w:r>
      <w:r w:rsidR="009A6DF3">
        <w:rPr>
          <w:rFonts w:eastAsia="Times New Roman"/>
        </w:rPr>
        <w:t>i</w:t>
      </w:r>
      <w:r w:rsidRPr="00ED3CFB">
        <w:rPr>
          <w:rFonts w:eastAsia="Times New Roman"/>
        </w:rPr>
        <w:t xml:space="preserve">dentify, plan for, and adapt to </w:t>
      </w:r>
      <w:r w:rsidR="008A1FD3">
        <w:rPr>
          <w:rFonts w:eastAsia="Times New Roman"/>
        </w:rPr>
        <w:t>the limits of their watersheds</w:t>
      </w:r>
      <w:r w:rsidRPr="00ED3CFB">
        <w:rPr>
          <w:rFonts w:eastAsia="Times New Roman"/>
        </w:rPr>
        <w:t>. Some scholars have argued that “[a]s our concerns over the consequences of climate change heighten, the legal system must continue to adapt and lead the way to create climate friendly settlement patterns.”</w:t>
      </w:r>
      <w:r w:rsidRPr="00ED3CFB">
        <w:rPr>
          <w:rStyle w:val="FootnoteReference"/>
          <w:rFonts w:eastAsia="Times New Roman"/>
        </w:rPr>
        <w:footnoteReference w:id="27"/>
      </w:r>
      <w:r w:rsidRPr="00ED3CFB">
        <w:rPr>
          <w:rFonts w:eastAsia="Times New Roman"/>
        </w:rPr>
        <w:t xml:space="preserve"> </w:t>
      </w:r>
    </w:p>
    <w:p w14:paraId="1773ECCE" w14:textId="77777777" w:rsidR="0023436D" w:rsidRPr="00ED3CFB" w:rsidRDefault="0023436D" w:rsidP="0023436D">
      <w:pPr>
        <w:rPr>
          <w:rFonts w:eastAsia="Times New Roman"/>
        </w:rPr>
      </w:pPr>
    </w:p>
    <w:p w14:paraId="55504AF0" w14:textId="77777777" w:rsidR="0023436D" w:rsidRPr="00ED3CFB" w:rsidRDefault="0023436D" w:rsidP="005B347C">
      <w:pPr>
        <w:rPr>
          <w:rFonts w:eastAsia="Times New Roman"/>
          <w:b/>
        </w:rPr>
      </w:pPr>
      <w:r w:rsidRPr="00ED3CFB">
        <w:rPr>
          <w:rFonts w:eastAsia="Times New Roman"/>
          <w:b/>
        </w:rPr>
        <w:t>Examples:</w:t>
      </w:r>
    </w:p>
    <w:p w14:paraId="0457CA8F" w14:textId="77777777" w:rsidR="0023436D" w:rsidRPr="00ED3CFB" w:rsidRDefault="0023436D" w:rsidP="0023436D">
      <w:pPr>
        <w:pStyle w:val="ColorfulList-Accent11"/>
        <w:ind w:left="0"/>
        <w:rPr>
          <w:rFonts w:eastAsia="Times New Roman"/>
        </w:rPr>
      </w:pPr>
    </w:p>
    <w:p w14:paraId="37027C9B" w14:textId="710E889C" w:rsidR="0023436D" w:rsidRPr="00ED3CFB" w:rsidRDefault="0023436D" w:rsidP="005B347C">
      <w:pPr>
        <w:pStyle w:val="ColorfulList-Accent11"/>
        <w:numPr>
          <w:ilvl w:val="0"/>
          <w:numId w:val="2"/>
        </w:numPr>
      </w:pPr>
      <w:r w:rsidRPr="00ED3CFB">
        <w:rPr>
          <w:rFonts w:eastAsia="Times New Roman"/>
        </w:rPr>
        <w:t>On the national level, the federal Environmental Protection Agency (EPA) has recognized the importance of identifying and acknowledging areas of community vulnerability. In the EPA’s Climate Change Adaptation Plan, the agency highlights an extensive list of negative impacts that can and may affect natural hydrologic systems, as a result of a warmer drier climate in the future.</w:t>
      </w:r>
      <w:r w:rsidRPr="00ED3CFB">
        <w:rPr>
          <w:rStyle w:val="FootnoteReference"/>
          <w:rFonts w:eastAsia="Times New Roman"/>
        </w:rPr>
        <w:footnoteReference w:id="28"/>
      </w:r>
      <w:r w:rsidR="00303C72">
        <w:rPr>
          <w:rFonts w:eastAsia="Times New Roman"/>
        </w:rPr>
        <w:t xml:space="preserve"> </w:t>
      </w:r>
      <w:r w:rsidRPr="00ED3CFB">
        <w:rPr>
          <w:rFonts w:eastAsia="Times New Roman"/>
        </w:rPr>
        <w:t xml:space="preserve">These problems can be exacerbated by in situations where aquatic systems are currently experiencing a degraded or stressed state. Thus, for a local government to reap the greatest benefits from </w:t>
      </w:r>
      <w:r w:rsidR="00F37A66">
        <w:rPr>
          <w:rFonts w:eastAsia="Times New Roman"/>
        </w:rPr>
        <w:t>its</w:t>
      </w:r>
      <w:r w:rsidRPr="00ED3CFB">
        <w:rPr>
          <w:rFonts w:eastAsia="Times New Roman"/>
        </w:rPr>
        <w:t xml:space="preserve"> comparative vulnerability analysis, it is critical that</w:t>
      </w:r>
      <w:r w:rsidR="00303C72">
        <w:rPr>
          <w:rFonts w:eastAsia="Times New Roman"/>
        </w:rPr>
        <w:t xml:space="preserve"> it</w:t>
      </w:r>
      <w:r w:rsidRPr="00ED3CFB">
        <w:rPr>
          <w:rFonts w:eastAsia="Times New Roman"/>
        </w:rPr>
        <w:t xml:space="preserve"> do so with realistic expectations in light of the current reality of the health of </w:t>
      </w:r>
      <w:r w:rsidR="00303C72">
        <w:rPr>
          <w:rFonts w:eastAsia="Times New Roman"/>
        </w:rPr>
        <w:t>its</w:t>
      </w:r>
      <w:r w:rsidRPr="00ED3CFB">
        <w:rPr>
          <w:rFonts w:eastAsia="Times New Roman"/>
        </w:rPr>
        <w:t xml:space="preserve"> watersheds.</w:t>
      </w:r>
      <w:r w:rsidRPr="00ED3CFB">
        <w:rPr>
          <w:rStyle w:val="FootnoteReference"/>
          <w:rFonts w:eastAsia="Times New Roman"/>
        </w:rPr>
        <w:footnoteReference w:id="29"/>
      </w:r>
      <w:r w:rsidRPr="00ED3CFB">
        <w:rPr>
          <w:rFonts w:eastAsia="Times New Roman"/>
        </w:rPr>
        <w:t xml:space="preserve"> </w:t>
      </w:r>
    </w:p>
    <w:p w14:paraId="5E209267" w14:textId="5D7FF0F2" w:rsidR="0023436D" w:rsidRPr="00ED3CFB" w:rsidRDefault="003D2BA4" w:rsidP="00A241C3">
      <w:pPr>
        <w:pStyle w:val="Heading2"/>
        <w:rPr>
          <w:rFonts w:eastAsia="Times New Roman"/>
        </w:rPr>
      </w:pPr>
      <w:bookmarkStart w:id="14" w:name="_Toc405804323"/>
      <w:r>
        <w:t>Community Water Goals</w:t>
      </w:r>
      <w:bookmarkEnd w:id="14"/>
    </w:p>
    <w:p w14:paraId="229D726E" w14:textId="77777777" w:rsidR="0023436D" w:rsidRPr="00ED3CFB" w:rsidRDefault="0023436D" w:rsidP="0023436D"/>
    <w:p w14:paraId="0D3BA6DA" w14:textId="64818253" w:rsidR="0023436D" w:rsidRPr="00ED3CFB" w:rsidRDefault="00F37A66" w:rsidP="005B347C">
      <w:pPr>
        <w:pStyle w:val="ColorfulList-Accent11"/>
        <w:numPr>
          <w:ilvl w:val="0"/>
          <w:numId w:val="2"/>
        </w:numPr>
        <w:tabs>
          <w:tab w:val="left" w:pos="360"/>
        </w:tabs>
        <w:rPr>
          <w:u w:val="single"/>
        </w:rPr>
      </w:pPr>
      <w:r>
        <w:t xml:space="preserve">Communities have long set land use planning goals within their comprehensive plans. </w:t>
      </w:r>
      <w:r w:rsidR="0023436D" w:rsidRPr="00ED3CFB">
        <w:t xml:space="preserve">Setting goals that </w:t>
      </w:r>
      <w:r>
        <w:t>address</w:t>
      </w:r>
      <w:r w:rsidR="0023436D" w:rsidRPr="00ED3CFB">
        <w:t xml:space="preserve"> vulnerability </w:t>
      </w:r>
      <w:r>
        <w:t>in water supply helps</w:t>
      </w:r>
      <w:r w:rsidR="0023436D" w:rsidRPr="00ED3CFB">
        <w:t xml:space="preserve"> </w:t>
      </w:r>
      <w:r>
        <w:t xml:space="preserve">a </w:t>
      </w:r>
      <w:r w:rsidR="0023436D" w:rsidRPr="00ED3CFB">
        <w:t xml:space="preserve">local government </w:t>
      </w:r>
      <w:r>
        <w:t>make connections between its traditional land use planning goals and the realities of water supply and climate, better integrating those important issues in the future</w:t>
      </w:r>
      <w:r w:rsidR="0023436D" w:rsidRPr="00ED3CFB">
        <w:t xml:space="preserve">. </w:t>
      </w:r>
    </w:p>
    <w:p w14:paraId="447CB836" w14:textId="77777777" w:rsidR="0023436D" w:rsidRPr="00ED3CFB" w:rsidRDefault="0023436D" w:rsidP="0023436D">
      <w:pPr>
        <w:pStyle w:val="ColorfulList-Accent11"/>
        <w:tabs>
          <w:tab w:val="left" w:pos="6052"/>
        </w:tabs>
        <w:rPr>
          <w:u w:val="single"/>
        </w:rPr>
      </w:pPr>
    </w:p>
    <w:p w14:paraId="7FB3C03D" w14:textId="77777777" w:rsidR="0023436D" w:rsidRPr="00ED3CFB" w:rsidRDefault="0023436D" w:rsidP="0023436D">
      <w:pPr>
        <w:pStyle w:val="ColorfulList-Accent11"/>
        <w:tabs>
          <w:tab w:val="left" w:pos="360"/>
        </w:tabs>
        <w:ind w:left="0"/>
        <w:rPr>
          <w:b/>
        </w:rPr>
      </w:pPr>
      <w:r w:rsidRPr="00ED3CFB">
        <w:rPr>
          <w:b/>
        </w:rPr>
        <w:t xml:space="preserve">Examples: </w:t>
      </w:r>
    </w:p>
    <w:p w14:paraId="2DE2CF16" w14:textId="77777777" w:rsidR="0023436D" w:rsidRPr="00ED3CFB" w:rsidDel="00B51930" w:rsidRDefault="0023436D" w:rsidP="0023436D">
      <w:pPr>
        <w:pStyle w:val="ColorfulList-Accent11"/>
        <w:tabs>
          <w:tab w:val="left" w:pos="360"/>
        </w:tabs>
        <w:ind w:left="0"/>
        <w:rPr>
          <w:b/>
        </w:rPr>
      </w:pPr>
    </w:p>
    <w:p w14:paraId="712F3A42" w14:textId="5157206A" w:rsidR="0023436D" w:rsidRPr="00ED3CFB" w:rsidRDefault="0023436D" w:rsidP="005B347C">
      <w:pPr>
        <w:pStyle w:val="ColorfulList-Accent11"/>
        <w:numPr>
          <w:ilvl w:val="0"/>
          <w:numId w:val="2"/>
        </w:numPr>
      </w:pPr>
      <w:r w:rsidRPr="00ED3CFB">
        <w:t>The Department of Land Conservation in Oregon provides a notable example. This singl</w:t>
      </w:r>
      <w:r w:rsidR="007B2B08">
        <w:t>e agency</w:t>
      </w:r>
      <w:r w:rsidRPr="00ED3CFB">
        <w:t xml:space="preserve"> is responsible for the creation, adoption, and implementation of Oregon’s statewide planning goals. Most important, since state planning goals are often evolving, designing goals specifically related to an individual community’s needs, provides local governments with the ability to easily adapt and/or amend the goals to changing circumstances. </w:t>
      </w:r>
    </w:p>
    <w:p w14:paraId="3BDAE9D1" w14:textId="77777777" w:rsidR="0023436D" w:rsidRPr="00ED3CFB" w:rsidRDefault="0023436D" w:rsidP="0023436D">
      <w:pPr>
        <w:rPr>
          <w:b/>
        </w:rPr>
      </w:pPr>
    </w:p>
    <w:p w14:paraId="5848C9DF" w14:textId="664FD303" w:rsidR="002B3892" w:rsidRPr="00ED3CFB" w:rsidDel="000751F5" w:rsidRDefault="0023436D" w:rsidP="002B3892">
      <w:pPr>
        <w:ind w:left="-720"/>
        <w:rPr>
          <w:b/>
          <w:u w:val="single"/>
        </w:rPr>
      </w:pPr>
      <w:r w:rsidRPr="00ED3CFB" w:rsidDel="00F92C31">
        <w:t xml:space="preserve"> </w:t>
      </w:r>
      <w:bookmarkStart w:id="15" w:name="_Toc405804324"/>
      <w:r w:rsidR="002B3892" w:rsidRPr="00A241C3">
        <w:rPr>
          <w:rStyle w:val="Heading2Char"/>
        </w:rPr>
        <w:t>Implementation Strategies</w:t>
      </w:r>
      <w:bookmarkEnd w:id="15"/>
    </w:p>
    <w:p w14:paraId="7B754CC5" w14:textId="77777777" w:rsidR="002B3892" w:rsidRPr="00ED3CFB" w:rsidRDefault="002B3892" w:rsidP="002B3892">
      <w:pPr>
        <w:pStyle w:val="ColorfulList-Accent11"/>
        <w:rPr>
          <w:color w:val="000000"/>
        </w:rPr>
      </w:pPr>
    </w:p>
    <w:p w14:paraId="5E0F1CD2" w14:textId="4DC5BDC8" w:rsidR="002B3892" w:rsidRPr="00ED3CFB" w:rsidRDefault="002B3892" w:rsidP="002B3892">
      <w:pPr>
        <w:pStyle w:val="ColorfulList-Accent11"/>
        <w:numPr>
          <w:ilvl w:val="0"/>
          <w:numId w:val="15"/>
        </w:numPr>
        <w:rPr>
          <w:color w:val="000000"/>
        </w:rPr>
      </w:pPr>
      <w:r w:rsidRPr="00ED3CFB">
        <w:rPr>
          <w:color w:val="000000"/>
        </w:rPr>
        <w:t xml:space="preserve">The </w:t>
      </w:r>
      <w:r w:rsidR="00B84F21">
        <w:rPr>
          <w:color w:val="000000"/>
        </w:rPr>
        <w:t>W</w:t>
      </w:r>
      <w:r w:rsidRPr="00ED3CFB">
        <w:rPr>
          <w:color w:val="000000"/>
        </w:rPr>
        <w:t>ater-</w:t>
      </w:r>
      <w:r w:rsidR="00B84F21">
        <w:rPr>
          <w:color w:val="000000"/>
        </w:rPr>
        <w:t>C</w:t>
      </w:r>
      <w:r w:rsidRPr="00ED3CFB">
        <w:rPr>
          <w:color w:val="000000"/>
        </w:rPr>
        <w:t xml:space="preserve">limate </w:t>
      </w:r>
      <w:r w:rsidR="00B84F21">
        <w:rPr>
          <w:color w:val="000000"/>
        </w:rPr>
        <w:t>E</w:t>
      </w:r>
      <w:r w:rsidRPr="00ED3CFB">
        <w:rPr>
          <w:color w:val="000000"/>
        </w:rPr>
        <w:t>lement should include detailed strategies for implementation that</w:t>
      </w:r>
    </w:p>
    <w:p w14:paraId="04D19CDA" w14:textId="77777777" w:rsidR="002B3892" w:rsidRPr="00085685" w:rsidRDefault="002B3892" w:rsidP="002B3892">
      <w:pPr>
        <w:pStyle w:val="ColorfulList-Accent11"/>
        <w:ind w:left="0"/>
      </w:pPr>
      <w:proofErr w:type="gramStart"/>
      <w:r w:rsidRPr="00ED3CFB">
        <w:rPr>
          <w:color w:val="000000"/>
        </w:rPr>
        <w:t>integrate</w:t>
      </w:r>
      <w:proofErr w:type="gramEnd"/>
      <w:r w:rsidRPr="00ED3CFB">
        <w:rPr>
          <w:color w:val="000000"/>
        </w:rPr>
        <w:t xml:space="preserve"> performance benchmarks. These strategies explain how the local</w:t>
      </w:r>
      <w:r>
        <w:rPr>
          <w:color w:val="000000"/>
        </w:rPr>
        <w:t xml:space="preserve"> </w:t>
      </w:r>
      <w:r w:rsidRPr="00ED3CFB">
        <w:rPr>
          <w:color w:val="000000"/>
        </w:rPr>
        <w:t xml:space="preserve">government’s </w:t>
      </w:r>
      <w:r>
        <w:rPr>
          <w:color w:val="000000"/>
        </w:rPr>
        <w:t xml:space="preserve">long and short term </w:t>
      </w:r>
      <w:r w:rsidRPr="00ED3CFB">
        <w:rPr>
          <w:color w:val="000000"/>
        </w:rPr>
        <w:t>goals, targets, and priorities will be met.</w:t>
      </w:r>
      <w:r>
        <w:rPr>
          <w:color w:val="000000"/>
        </w:rPr>
        <w:t xml:space="preserve"> </w:t>
      </w:r>
      <w:r w:rsidRPr="00ED3CFB">
        <w:rPr>
          <w:color w:val="000000"/>
        </w:rPr>
        <w:t>For performance benchmarks to be effective in monitoring the achievement of Community Water Goals, they should compare the previously identified growth and development assumptions, targets, and objectives with verifiable changes in water use and climate.</w:t>
      </w:r>
      <w:r w:rsidRPr="00085685">
        <w:rPr>
          <w:color w:val="000000"/>
        </w:rPr>
        <w:t xml:space="preserve"> Overall, implementation strategies should look broadly across public and private spheres to share the responsibility for water-climate plan realization.</w:t>
      </w:r>
    </w:p>
    <w:p w14:paraId="787B14A2" w14:textId="77777777" w:rsidR="002B3892" w:rsidRPr="00ED3CFB" w:rsidRDefault="002B3892" w:rsidP="002B3892">
      <w:pPr>
        <w:pStyle w:val="ColorfulList-Accent11"/>
        <w:ind w:left="0"/>
        <w:rPr>
          <w:color w:val="000000"/>
        </w:rPr>
      </w:pPr>
    </w:p>
    <w:p w14:paraId="24D388F5" w14:textId="77777777" w:rsidR="002B3892" w:rsidRPr="00847F56" w:rsidRDefault="002B3892" w:rsidP="002B3892">
      <w:pPr>
        <w:pStyle w:val="ColorfulList-Accent11"/>
        <w:numPr>
          <w:ilvl w:val="0"/>
          <w:numId w:val="2"/>
        </w:numPr>
        <w:rPr>
          <w:color w:val="000000"/>
        </w:rPr>
      </w:pPr>
      <w:r w:rsidRPr="00ED3CFB">
        <w:rPr>
          <w:color w:val="000000"/>
        </w:rPr>
        <w:t xml:space="preserve">To ensure accountability, all strategies must include the following: a timeframe </w:t>
      </w:r>
      <w:r>
        <w:rPr>
          <w:color w:val="000000"/>
        </w:rPr>
        <w:t>that</w:t>
      </w:r>
      <w:r w:rsidRPr="00ED3CFB">
        <w:rPr>
          <w:color w:val="000000"/>
        </w:rPr>
        <w:t xml:space="preserve"> identifies a specific schedule for action; an assessment of how</w:t>
      </w:r>
      <w:r>
        <w:rPr>
          <w:color w:val="000000"/>
        </w:rPr>
        <w:t xml:space="preserve"> </w:t>
      </w:r>
      <w:r w:rsidRPr="00847F56">
        <w:rPr>
          <w:color w:val="000000"/>
        </w:rPr>
        <w:t>coordination between various groups of stakeholders can best be utilized; a detailed</w:t>
      </w:r>
      <w:r>
        <w:rPr>
          <w:color w:val="000000"/>
        </w:rPr>
        <w:t xml:space="preserve"> </w:t>
      </w:r>
      <w:r w:rsidRPr="00847F56">
        <w:rPr>
          <w:color w:val="000000"/>
        </w:rPr>
        <w:t>allocation of specific roles and responsibilities; and standards by which the effectiveness</w:t>
      </w:r>
      <w:r>
        <w:rPr>
          <w:color w:val="000000"/>
        </w:rPr>
        <w:t xml:space="preserve"> </w:t>
      </w:r>
      <w:r w:rsidRPr="00847F56">
        <w:rPr>
          <w:color w:val="000000"/>
        </w:rPr>
        <w:t>of the particular strategy can be measured. Within this framework, the decision as to</w:t>
      </w:r>
      <w:r>
        <w:rPr>
          <w:color w:val="000000"/>
        </w:rPr>
        <w:t xml:space="preserve"> </w:t>
      </w:r>
      <w:r w:rsidRPr="00847F56">
        <w:rPr>
          <w:color w:val="000000"/>
        </w:rPr>
        <w:t>which strategies will be utilized and how, should be left to the designated agency’s</w:t>
      </w:r>
      <w:r>
        <w:rPr>
          <w:color w:val="000000"/>
        </w:rPr>
        <w:t xml:space="preserve"> </w:t>
      </w:r>
      <w:r w:rsidRPr="00847F56">
        <w:rPr>
          <w:color w:val="000000"/>
        </w:rPr>
        <w:t>discretion.</w:t>
      </w:r>
      <w:r w:rsidRPr="00ED3CFB">
        <w:rPr>
          <w:rStyle w:val="FootnoteReference"/>
          <w:color w:val="000000"/>
        </w:rPr>
        <w:footnoteReference w:id="30"/>
      </w:r>
      <w:r w:rsidRPr="00847F56">
        <w:rPr>
          <w:color w:val="000000"/>
        </w:rPr>
        <w:t xml:space="preserve"> </w:t>
      </w:r>
    </w:p>
    <w:p w14:paraId="6239ED74" w14:textId="77777777" w:rsidR="002B3892" w:rsidRPr="00ED3CFB" w:rsidRDefault="002B3892" w:rsidP="002B3892">
      <w:pPr>
        <w:ind w:hanging="720"/>
      </w:pPr>
    </w:p>
    <w:p w14:paraId="63575BCC" w14:textId="2A23DAE9" w:rsidR="002B3892" w:rsidRDefault="002B3892" w:rsidP="002B3892">
      <w:pPr>
        <w:pStyle w:val="ColorfulList-Accent11"/>
        <w:numPr>
          <w:ilvl w:val="0"/>
          <w:numId w:val="2"/>
        </w:numPr>
        <w:rPr>
          <w:color w:val="000000"/>
        </w:rPr>
      </w:pPr>
      <w:r w:rsidRPr="00ED3CFB">
        <w:rPr>
          <w:color w:val="000000"/>
        </w:rPr>
        <w:t>Local governments should be enabled to utilize both micro and macro-level strategies for implementation.</w:t>
      </w:r>
      <w:r w:rsidRPr="00ED3CFB">
        <w:rPr>
          <w:rStyle w:val="FootnoteReference"/>
          <w:color w:val="000000"/>
        </w:rPr>
        <w:footnoteReference w:id="31"/>
      </w:r>
      <w:r w:rsidRPr="00ED3CFB">
        <w:rPr>
          <w:color w:val="000000"/>
        </w:rPr>
        <w:t xml:space="preserve"> Micro-level strategies are generally focused </w:t>
      </w:r>
      <w:r w:rsidR="00093377">
        <w:rPr>
          <w:color w:val="000000"/>
        </w:rPr>
        <w:t>on small-</w:t>
      </w:r>
      <w:r w:rsidRPr="00ED3CFB">
        <w:rPr>
          <w:color w:val="000000"/>
        </w:rPr>
        <w:t>scale project site design</w:t>
      </w:r>
      <w:r w:rsidR="00093377">
        <w:rPr>
          <w:color w:val="000000"/>
        </w:rPr>
        <w:t>,</w:t>
      </w:r>
      <w:r>
        <w:rPr>
          <w:color w:val="000000"/>
        </w:rPr>
        <w:t xml:space="preserve"> whereas m</w:t>
      </w:r>
      <w:r w:rsidRPr="00ED3CFB">
        <w:rPr>
          <w:color w:val="000000"/>
        </w:rPr>
        <w:t xml:space="preserve">acro-level strategies for water climate planning focus on coordinating programs and actions on a larger watershed or regional scale. </w:t>
      </w:r>
      <w:r>
        <w:rPr>
          <w:color w:val="000000"/>
        </w:rPr>
        <w:t xml:space="preserve">Such strategies may take either </w:t>
      </w:r>
      <w:r w:rsidR="00093377">
        <w:rPr>
          <w:color w:val="000000"/>
        </w:rPr>
        <w:t xml:space="preserve">a voluntary or mandatory form. </w:t>
      </w:r>
      <w:r>
        <w:rPr>
          <w:color w:val="000000"/>
        </w:rPr>
        <w:t xml:space="preserve">Voluntary strategies </w:t>
      </w:r>
      <w:r w:rsidR="00093377">
        <w:rPr>
          <w:color w:val="000000"/>
        </w:rPr>
        <w:t>c</w:t>
      </w:r>
      <w:r>
        <w:rPr>
          <w:color w:val="000000"/>
        </w:rPr>
        <w:t xml:space="preserve">ould consist of working with public and private </w:t>
      </w:r>
      <w:r w:rsidRPr="00ED3CFB">
        <w:rPr>
          <w:color w:val="000000"/>
        </w:rPr>
        <w:t xml:space="preserve">organizations and landowners to encourage </w:t>
      </w:r>
      <w:proofErr w:type="spellStart"/>
      <w:r w:rsidR="00093377">
        <w:rPr>
          <w:color w:val="000000"/>
        </w:rPr>
        <w:t>instream</w:t>
      </w:r>
      <w:proofErr w:type="spellEnd"/>
      <w:r w:rsidR="00093377">
        <w:rPr>
          <w:color w:val="000000"/>
        </w:rPr>
        <w:t xml:space="preserve"> flow leasing,</w:t>
      </w:r>
      <w:r w:rsidRPr="00ED3CFB">
        <w:rPr>
          <w:color w:val="000000"/>
        </w:rPr>
        <w:t xml:space="preserve"> </w:t>
      </w:r>
      <w:r>
        <w:rPr>
          <w:color w:val="000000"/>
        </w:rPr>
        <w:t xml:space="preserve">whereas mandatory strategies </w:t>
      </w:r>
      <w:r w:rsidR="00093377">
        <w:rPr>
          <w:color w:val="000000"/>
        </w:rPr>
        <w:t>c</w:t>
      </w:r>
      <w:r>
        <w:rPr>
          <w:color w:val="000000"/>
        </w:rPr>
        <w:t>ould include the use of city and county ordinances or zoning and subdivision regulations.</w:t>
      </w:r>
    </w:p>
    <w:p w14:paraId="29698717" w14:textId="77777777" w:rsidR="002B3892" w:rsidRDefault="002B3892" w:rsidP="002B3892">
      <w:pPr>
        <w:pStyle w:val="ColorfulList-Accent11"/>
        <w:rPr>
          <w:color w:val="000000"/>
        </w:rPr>
      </w:pPr>
    </w:p>
    <w:p w14:paraId="507038FF" w14:textId="1231170F" w:rsidR="002B3892" w:rsidRDefault="002B3892" w:rsidP="002B3892">
      <w:pPr>
        <w:pStyle w:val="NormalWeb"/>
        <w:widowControl w:val="0"/>
        <w:numPr>
          <w:ilvl w:val="0"/>
          <w:numId w:val="2"/>
        </w:numPr>
        <w:spacing w:before="0" w:beforeAutospacing="0" w:after="0" w:afterAutospacing="0"/>
        <w:rPr>
          <w:rFonts w:ascii="Cambria" w:hAnsi="Cambria"/>
          <w:sz w:val="24"/>
          <w:szCs w:val="24"/>
        </w:rPr>
      </w:pPr>
      <w:r w:rsidRPr="00ED3CFB">
        <w:rPr>
          <w:rFonts w:ascii="Cambria" w:hAnsi="Cambria"/>
          <w:sz w:val="24"/>
          <w:szCs w:val="24"/>
        </w:rPr>
        <w:t>Water markets have been identified as one of the best vehicles for communities to manage water systems in light of unpredictable future climatic conditions. The use of this type of free-market system has been shown to promote flexibility in water allocation, allowing the successful balancing of human</w:t>
      </w:r>
      <w:r w:rsidR="00093377">
        <w:rPr>
          <w:rFonts w:ascii="Cambria" w:hAnsi="Cambria"/>
          <w:sz w:val="24"/>
          <w:szCs w:val="24"/>
        </w:rPr>
        <w:t xml:space="preserve"> an</w:t>
      </w:r>
      <w:r w:rsidRPr="00ED3CFB">
        <w:rPr>
          <w:rFonts w:ascii="Cambria" w:hAnsi="Cambria"/>
          <w:sz w:val="24"/>
          <w:szCs w:val="24"/>
        </w:rPr>
        <w:t>d environmental needs.</w:t>
      </w:r>
      <w:r w:rsidRPr="00ED3CFB">
        <w:rPr>
          <w:rStyle w:val="FootnoteReference"/>
          <w:rFonts w:ascii="Cambria" w:hAnsi="Cambria"/>
          <w:sz w:val="24"/>
          <w:szCs w:val="24"/>
        </w:rPr>
        <w:footnoteReference w:id="32"/>
      </w:r>
      <w:r w:rsidRPr="00ED3CFB">
        <w:rPr>
          <w:rFonts w:ascii="Cambria" w:hAnsi="Cambria"/>
          <w:sz w:val="24"/>
          <w:szCs w:val="24"/>
        </w:rPr>
        <w:t xml:space="preserve"> </w:t>
      </w:r>
      <w:r>
        <w:rPr>
          <w:rFonts w:ascii="Cambria" w:hAnsi="Cambria"/>
          <w:color w:val="000000"/>
          <w:sz w:val="24"/>
          <w:szCs w:val="24"/>
        </w:rPr>
        <w:t xml:space="preserve">The reality of shared water supply </w:t>
      </w:r>
      <w:r w:rsidRPr="00ED3CFB">
        <w:rPr>
          <w:rFonts w:ascii="Cambria" w:hAnsi="Cambria"/>
          <w:color w:val="000000"/>
          <w:sz w:val="24"/>
          <w:szCs w:val="24"/>
        </w:rPr>
        <w:t>necessita</w:t>
      </w:r>
      <w:r w:rsidR="00AD20EE">
        <w:rPr>
          <w:rFonts w:ascii="Cambria" w:hAnsi="Cambria"/>
          <w:color w:val="000000"/>
          <w:sz w:val="24"/>
          <w:szCs w:val="24"/>
        </w:rPr>
        <w:t>tes creative planning solutions,</w:t>
      </w:r>
      <w:r w:rsidRPr="00ED3CFB">
        <w:rPr>
          <w:rFonts w:ascii="Cambria" w:hAnsi="Cambria"/>
          <w:color w:val="000000"/>
          <w:sz w:val="24"/>
          <w:szCs w:val="24"/>
        </w:rPr>
        <w:t xml:space="preserve"> both for communities that have identified surpluses, and those that have found they are operating in deficit</w:t>
      </w:r>
      <w:r w:rsidR="00AD20EE">
        <w:rPr>
          <w:rFonts w:ascii="Cambria" w:hAnsi="Cambria"/>
          <w:color w:val="000000"/>
          <w:sz w:val="24"/>
          <w:szCs w:val="24"/>
        </w:rPr>
        <w:t>.</w:t>
      </w:r>
      <w:r w:rsidRPr="00ED3CFB">
        <w:rPr>
          <w:rStyle w:val="FootnoteReference"/>
          <w:rFonts w:ascii="Cambria" w:hAnsi="Cambria"/>
          <w:color w:val="000000"/>
          <w:sz w:val="24"/>
          <w:szCs w:val="24"/>
        </w:rPr>
        <w:footnoteReference w:id="33"/>
      </w:r>
      <w:r>
        <w:rPr>
          <w:rFonts w:ascii="Cambria" w:hAnsi="Cambria"/>
          <w:color w:val="000000"/>
          <w:sz w:val="24"/>
          <w:szCs w:val="24"/>
        </w:rPr>
        <w:t xml:space="preserve"> </w:t>
      </w:r>
      <w:r w:rsidRPr="00ED3CFB">
        <w:rPr>
          <w:rFonts w:ascii="Cambria" w:hAnsi="Cambria"/>
          <w:color w:val="000000"/>
          <w:sz w:val="24"/>
          <w:szCs w:val="24"/>
        </w:rPr>
        <w:t>Water marketing is one such creative mechanism, providing communities with a “flexible water ‘product’ that can be used, bought, or sold, depending on short and long-term goals.”</w:t>
      </w:r>
      <w:r w:rsidRPr="00ED3CFB">
        <w:rPr>
          <w:rStyle w:val="FootnoteReference"/>
          <w:rFonts w:ascii="Cambria" w:hAnsi="Cambria"/>
          <w:color w:val="000000"/>
          <w:sz w:val="24"/>
          <w:szCs w:val="24"/>
        </w:rPr>
        <w:footnoteReference w:id="34"/>
      </w:r>
    </w:p>
    <w:p w14:paraId="7C477EF3" w14:textId="77777777" w:rsidR="002B3892" w:rsidDel="00CD23C2" w:rsidRDefault="002B3892" w:rsidP="002B3892">
      <w:pPr>
        <w:pStyle w:val="NormalWeb"/>
        <w:widowControl w:val="0"/>
        <w:spacing w:before="0" w:beforeAutospacing="0" w:after="0" w:afterAutospacing="0"/>
        <w:rPr>
          <w:rFonts w:ascii="Cambria" w:hAnsi="Cambria"/>
          <w:sz w:val="24"/>
          <w:szCs w:val="24"/>
        </w:rPr>
      </w:pPr>
    </w:p>
    <w:p w14:paraId="5DDE3B31" w14:textId="42233A4F" w:rsidR="002B3892" w:rsidRPr="00FC1AC9" w:rsidRDefault="00AD20EE" w:rsidP="002B3892">
      <w:pPr>
        <w:pStyle w:val="NormalWeb"/>
        <w:widowControl w:val="0"/>
        <w:numPr>
          <w:ilvl w:val="0"/>
          <w:numId w:val="2"/>
        </w:numPr>
        <w:spacing w:before="0" w:beforeAutospacing="0" w:after="0" w:afterAutospacing="0"/>
        <w:rPr>
          <w:rFonts w:ascii="Cambria" w:hAnsi="Cambria"/>
          <w:sz w:val="24"/>
          <w:szCs w:val="24"/>
        </w:rPr>
      </w:pPr>
      <w:r>
        <w:rPr>
          <w:rFonts w:ascii="Cambria" w:hAnsi="Cambria"/>
          <w:sz w:val="24"/>
          <w:szCs w:val="24"/>
        </w:rPr>
        <w:t>Water markets</w:t>
      </w:r>
      <w:r w:rsidR="002B3892" w:rsidRPr="00ED3CFB">
        <w:rPr>
          <w:rFonts w:ascii="Cambria" w:hAnsi="Cambria"/>
          <w:sz w:val="24"/>
          <w:szCs w:val="24"/>
        </w:rPr>
        <w:t xml:space="preserve"> exist and are operating throughout much of the western United States.</w:t>
      </w:r>
      <w:r w:rsidR="002B3892" w:rsidRPr="00ED3CFB">
        <w:rPr>
          <w:rStyle w:val="FootnoteReference"/>
          <w:rFonts w:ascii="Cambria" w:hAnsi="Cambria"/>
          <w:sz w:val="24"/>
          <w:szCs w:val="24"/>
        </w:rPr>
        <w:footnoteReference w:id="35"/>
      </w:r>
      <w:r w:rsidR="002B3892" w:rsidRPr="00ED3CFB">
        <w:rPr>
          <w:rFonts w:ascii="Cambria" w:hAnsi="Cambria"/>
          <w:sz w:val="24"/>
          <w:szCs w:val="24"/>
        </w:rPr>
        <w:t xml:space="preserve">  However, the diversity of physical landscapes and water-related legal schemes found between the individual states suggests that water markets will be most effective when developed in light of “location-specific conditions and needs.”</w:t>
      </w:r>
      <w:r w:rsidR="002B3892" w:rsidRPr="00ED3CFB">
        <w:rPr>
          <w:rStyle w:val="FootnoteReference"/>
          <w:rFonts w:ascii="Cambria" w:hAnsi="Cambria"/>
          <w:sz w:val="24"/>
          <w:szCs w:val="24"/>
        </w:rPr>
        <w:footnoteReference w:id="36"/>
      </w:r>
      <w:r w:rsidR="002B3892" w:rsidRPr="00ED3CFB">
        <w:rPr>
          <w:rFonts w:ascii="Cambria" w:hAnsi="Cambria"/>
          <w:sz w:val="24"/>
          <w:szCs w:val="24"/>
        </w:rPr>
        <w:t xml:space="preserve"> As a result, it is suggested, both on the state and local level, that in planning for the future, communities will benefit from analyzing restrictive </w:t>
      </w:r>
      <w:r w:rsidR="002B3892" w:rsidRPr="0077205A">
        <w:rPr>
          <w:rFonts w:ascii="Cambria" w:hAnsi="Cambria"/>
          <w:sz w:val="24"/>
          <w:szCs w:val="24"/>
        </w:rPr>
        <w:t xml:space="preserve">barriers to the free trade of water resources that exist in their jurisdiction, and subsequently designing new policies that encourage development in market-based systems. </w:t>
      </w:r>
      <w:r w:rsidR="002B3892">
        <w:rPr>
          <w:rFonts w:ascii="Cambria" w:hAnsi="Cambria"/>
          <w:sz w:val="24"/>
        </w:rPr>
        <w:t>I</w:t>
      </w:r>
      <w:r w:rsidR="002B3892" w:rsidRPr="0077205A">
        <w:rPr>
          <w:rFonts w:ascii="Cambria" w:hAnsi="Cambria"/>
          <w:sz w:val="24"/>
        </w:rPr>
        <w:t>f properly devised, these markets stand to contribute to sustainable development in addition to protecting identified community values.</w:t>
      </w:r>
      <w:r w:rsidR="008C6CEE">
        <w:rPr>
          <w:rStyle w:val="FootnoteReference"/>
          <w:rFonts w:ascii="Cambria" w:hAnsi="Cambria"/>
          <w:sz w:val="24"/>
        </w:rPr>
        <w:footnoteReference w:id="37"/>
      </w:r>
    </w:p>
    <w:p w14:paraId="3191BE03" w14:textId="77777777" w:rsidR="002B3892" w:rsidRPr="00ED3CFB" w:rsidRDefault="002B3892" w:rsidP="002B3892">
      <w:pPr>
        <w:rPr>
          <w:b/>
          <w:color w:val="000000"/>
          <w:u w:val="single"/>
        </w:rPr>
      </w:pPr>
    </w:p>
    <w:p w14:paraId="3BBB9819" w14:textId="77777777" w:rsidR="00C0278C" w:rsidRDefault="00C0278C">
      <w:pPr>
        <w:rPr>
          <w:b/>
        </w:rPr>
      </w:pPr>
      <w:r>
        <w:rPr>
          <w:b/>
        </w:rPr>
        <w:br w:type="page"/>
      </w:r>
    </w:p>
    <w:p w14:paraId="3F33528E" w14:textId="57719706" w:rsidR="002B3892" w:rsidRPr="00FC1AC9" w:rsidRDefault="002B3892" w:rsidP="002B3892">
      <w:pPr>
        <w:rPr>
          <w:b/>
        </w:rPr>
      </w:pPr>
      <w:r w:rsidRPr="00FC1AC9">
        <w:rPr>
          <w:b/>
        </w:rPr>
        <w:t>Examples:</w:t>
      </w:r>
    </w:p>
    <w:p w14:paraId="2EF2E6C8" w14:textId="77777777" w:rsidR="002B3892" w:rsidRPr="00ED3CFB" w:rsidRDefault="002B3892" w:rsidP="002B3892"/>
    <w:p w14:paraId="378C4E4A" w14:textId="3294D311" w:rsidR="002B3892" w:rsidRPr="00EC5306" w:rsidRDefault="002B3892" w:rsidP="00AD20EE">
      <w:pPr>
        <w:pStyle w:val="ColorfulList-Accent11"/>
        <w:numPr>
          <w:ilvl w:val="0"/>
          <w:numId w:val="2"/>
        </w:numPr>
        <w:tabs>
          <w:tab w:val="left" w:pos="0"/>
          <w:tab w:val="left" w:pos="360"/>
        </w:tabs>
        <w:rPr>
          <w:u w:val="single"/>
        </w:rPr>
      </w:pPr>
      <w:r w:rsidRPr="00ED3CFB">
        <w:t xml:space="preserve">King County in Washington </w:t>
      </w:r>
      <w:r>
        <w:t>S</w:t>
      </w:r>
      <w:r w:rsidRPr="00ED3CFB">
        <w:t>tate serves as a strong example of the important role of performance ben</w:t>
      </w:r>
      <w:r w:rsidR="00C0278C">
        <w:t xml:space="preserve">chmarks in effective planning. </w:t>
      </w:r>
      <w:r w:rsidRPr="00ED3CFB">
        <w:t>There, 35 cities in the Seattle metropolitan area established and adopted a benchmarking system to monitor the effectiveness of countywide planning policies. The participating communities prepared a report tracking the outcomes described in the benchmarks.</w:t>
      </w:r>
      <w:r w:rsidRPr="00ED3CFB">
        <w:rPr>
          <w:rStyle w:val="FootnoteReference"/>
        </w:rPr>
        <w:footnoteReference w:id="38"/>
      </w:r>
      <w:r w:rsidRPr="00ED3CFB">
        <w:t xml:space="preserve"> This system has proved effective in enabling King County to meet goals regarding surface and groundwater quality data, Chinook salmon returns, amount of forest land, decreases in domestic water consumption, and aquatic habitat continuity.</w:t>
      </w:r>
      <w:r w:rsidRPr="00ED3CFB">
        <w:rPr>
          <w:rStyle w:val="FootnoteReference"/>
        </w:rPr>
        <w:footnoteReference w:id="39"/>
      </w:r>
      <w:r w:rsidR="00EC5306">
        <w:t xml:space="preserve"> Another example of how local governments may set water conservation targets is California’s target for twenty percent per capita reduction in urban water use by 2020 in the Bay-Delta area.</w:t>
      </w:r>
    </w:p>
    <w:p w14:paraId="1CA4393D" w14:textId="77777777" w:rsidR="002B3892" w:rsidRPr="00ED3CFB" w:rsidRDefault="002B3892" w:rsidP="002B3892"/>
    <w:p w14:paraId="63349028" w14:textId="351509B9" w:rsidR="002B3892" w:rsidRPr="00FC1AC9" w:rsidRDefault="002B3892" w:rsidP="002B3892">
      <w:pPr>
        <w:pStyle w:val="ColorfulList-Accent11"/>
        <w:numPr>
          <w:ilvl w:val="0"/>
          <w:numId w:val="2"/>
        </w:numPr>
        <w:rPr>
          <w:color w:val="000000"/>
        </w:rPr>
      </w:pPr>
      <w:r w:rsidRPr="00ED3CFB">
        <w:rPr>
          <w:color w:val="000000"/>
        </w:rPr>
        <w:t xml:space="preserve">There are a variety of options for micro-level implementation strategies including: green building requirements, </w:t>
      </w:r>
      <w:r w:rsidR="003D2BA4" w:rsidRPr="00ED3CFB">
        <w:rPr>
          <w:color w:val="000000"/>
        </w:rPr>
        <w:t>xeriscaping</w:t>
      </w:r>
      <w:r w:rsidRPr="00ED3CFB">
        <w:rPr>
          <w:color w:val="000000"/>
        </w:rPr>
        <w:t xml:space="preserve"> requirements, and other small-scale efficiency focused requirements. California’s 1:1 offset requirement highlights the role micro-level strategies can play in successful implementation.</w:t>
      </w:r>
      <w:r w:rsidRPr="00ED3CFB">
        <w:rPr>
          <w:rStyle w:val="FootnoteReference"/>
          <w:color w:val="000000"/>
        </w:rPr>
        <w:footnoteReference w:id="40"/>
      </w:r>
      <w:r w:rsidRPr="00ED3CFB">
        <w:rPr>
          <w:color w:val="000000"/>
        </w:rPr>
        <w:t xml:space="preserve"> In this program, local governments in the San Francisco Bay area require all new developments to offset its required water use with off-site water savings of equal amounts.</w:t>
      </w:r>
      <w:r>
        <w:rPr>
          <w:color w:val="000000"/>
        </w:rPr>
        <w:t xml:space="preserve"> </w:t>
      </w:r>
      <w:r w:rsidRPr="00ED3CFB">
        <w:t>Macro level strategies might take the form of Integrated Regional Water Management Planning, regional drought planning, or synthesizing multiple implementation tools together to form a comprehensive plan of attack.</w:t>
      </w:r>
      <w:r w:rsidRPr="00ED3CFB">
        <w:rPr>
          <w:rStyle w:val="FootnoteReference"/>
          <w:color w:val="000000"/>
        </w:rPr>
        <w:footnoteReference w:id="41"/>
      </w:r>
      <w:r w:rsidRPr="00ED3CFB">
        <w:t xml:space="preserve">  For example, i</w:t>
      </w:r>
      <w:r w:rsidRPr="00ED3CFB">
        <w:rPr>
          <w:rFonts w:eastAsia="Times New Roman"/>
        </w:rPr>
        <w:t>n a study done by the Rocky Mountain Land Use Institute, “the vast majority of communities with water conservation ordinances in place couple those regulatory tools with a variety of educational materials and financial incentives to promote additional efficiency.”</w:t>
      </w:r>
      <w:r w:rsidRPr="00ED3CFB">
        <w:rPr>
          <w:rStyle w:val="FootnoteReference"/>
          <w:rFonts w:eastAsia="Times New Roman"/>
        </w:rPr>
        <w:footnoteReference w:id="42"/>
      </w:r>
      <w:r w:rsidRPr="00ED3CFB">
        <w:rPr>
          <w:rFonts w:eastAsia="Times New Roman"/>
        </w:rPr>
        <w:t xml:space="preserve"> </w:t>
      </w:r>
    </w:p>
    <w:p w14:paraId="728B34CE" w14:textId="77777777" w:rsidR="002B3892" w:rsidRPr="00ED3CFB" w:rsidRDefault="002B3892" w:rsidP="002B3892">
      <w:pPr>
        <w:pStyle w:val="ColorfulList-Accent11"/>
        <w:ind w:left="360"/>
      </w:pPr>
    </w:p>
    <w:p w14:paraId="7D6F0C4F" w14:textId="5DD18EE6" w:rsidR="002B3892" w:rsidRPr="00ED3CFB" w:rsidRDefault="00A241C3" w:rsidP="00A241C3">
      <w:pPr>
        <w:pStyle w:val="Heading2"/>
      </w:pPr>
      <w:bookmarkStart w:id="16" w:name="_Toc405804325"/>
      <w:r>
        <w:t>Intergovernmental Coordination</w:t>
      </w:r>
      <w:bookmarkEnd w:id="16"/>
    </w:p>
    <w:p w14:paraId="28383F1E" w14:textId="77777777" w:rsidR="002B3892" w:rsidRPr="00ED3CFB" w:rsidRDefault="002B3892" w:rsidP="002B3892"/>
    <w:p w14:paraId="10DA24AA" w14:textId="5E6C77FD" w:rsidR="002B3892" w:rsidRPr="00ED3CFB" w:rsidRDefault="002B3892" w:rsidP="002B3892">
      <w:pPr>
        <w:pStyle w:val="ColorfulList-Accent11"/>
        <w:numPr>
          <w:ilvl w:val="0"/>
          <w:numId w:val="2"/>
        </w:numPr>
      </w:pPr>
      <w:r w:rsidRPr="00ED3CFB">
        <w:t xml:space="preserve">Meaningful climate and water planning requires that local governments engage in horizontal and vertical coordination with other governmental entities and legislative bodies. As water and climate issues are inherently </w:t>
      </w:r>
      <w:proofErr w:type="spellStart"/>
      <w:r w:rsidRPr="00ED3CFB">
        <w:t>transbound</w:t>
      </w:r>
      <w:r>
        <w:t>a</w:t>
      </w:r>
      <w:r w:rsidRPr="00ED3CFB">
        <w:t>ry</w:t>
      </w:r>
      <w:proofErr w:type="spellEnd"/>
      <w:r w:rsidRPr="00ED3CFB">
        <w:t xml:space="preserve"> in nature, coordinating across governing jurisdictions within watersheds is critical. Additionally, holistic water climate planning necessitates integrating planning efforts within and amongst different levels of government that share a common water source. </w:t>
      </w:r>
    </w:p>
    <w:p w14:paraId="1BBD3B2B" w14:textId="77777777" w:rsidR="002B3892" w:rsidRPr="00ED3CFB" w:rsidRDefault="002B3892" w:rsidP="002B3892">
      <w:pPr>
        <w:pStyle w:val="ColorfulList-Accent11"/>
        <w:ind w:left="-360"/>
      </w:pPr>
    </w:p>
    <w:p w14:paraId="459396F2" w14:textId="206E6DB5" w:rsidR="002B3892" w:rsidRPr="00ED3CFB" w:rsidRDefault="005055F6" w:rsidP="002B3892">
      <w:pPr>
        <w:pStyle w:val="ColorfulList-Accent11"/>
        <w:numPr>
          <w:ilvl w:val="0"/>
          <w:numId w:val="2"/>
        </w:numPr>
      </w:pPr>
      <w:r>
        <w:t>A</w:t>
      </w:r>
      <w:r w:rsidR="002B3892" w:rsidRPr="00ED3CFB">
        <w:t xml:space="preserve"> primary mechanism to carryout intergovernmental coordination and joint planning </w:t>
      </w:r>
      <w:r>
        <w:t>c</w:t>
      </w:r>
      <w:r w:rsidR="002B3892" w:rsidRPr="00ED3CFB">
        <w:t>ould be through implementation agreements. Implementation agreements should give local governments enough flexibility and discretion to work with other entities in a variety of ways, while also maintaining legal durability and accountability.</w:t>
      </w:r>
      <w:r w:rsidR="002B3892">
        <w:t xml:space="preserve"> </w:t>
      </w:r>
    </w:p>
    <w:p w14:paraId="4A128FD7" w14:textId="77777777" w:rsidR="002B3892" w:rsidRPr="00ED3CFB" w:rsidRDefault="002B3892" w:rsidP="002B3892">
      <w:pPr>
        <w:pStyle w:val="ColorfulList-Accent11"/>
        <w:ind w:left="0"/>
        <w:rPr>
          <w:b/>
        </w:rPr>
      </w:pPr>
    </w:p>
    <w:p w14:paraId="45250159" w14:textId="77777777" w:rsidR="002B3892" w:rsidRPr="00ED3CFB" w:rsidRDefault="002B3892" w:rsidP="002B3892">
      <w:pPr>
        <w:pStyle w:val="ColorfulList-Accent11"/>
        <w:ind w:left="0"/>
        <w:rPr>
          <w:b/>
        </w:rPr>
      </w:pPr>
      <w:r w:rsidRPr="00ED3CFB">
        <w:rPr>
          <w:b/>
        </w:rPr>
        <w:t>Examples:</w:t>
      </w:r>
    </w:p>
    <w:p w14:paraId="37B18FCB" w14:textId="77777777" w:rsidR="002B3892" w:rsidRPr="00ED3CFB" w:rsidRDefault="002B3892" w:rsidP="002B3892"/>
    <w:p w14:paraId="31E63E22" w14:textId="322E638E" w:rsidR="002B3892" w:rsidRPr="00ED3CFB" w:rsidRDefault="002B3892" w:rsidP="002B3892">
      <w:pPr>
        <w:pStyle w:val="ColorfulList-Accent11"/>
        <w:numPr>
          <w:ilvl w:val="0"/>
          <w:numId w:val="2"/>
        </w:numPr>
      </w:pPr>
      <w:r w:rsidRPr="00ED3CFB">
        <w:t>The importance of Tribal consultation can be seen through numerous examples provided in</w:t>
      </w:r>
      <w:r w:rsidR="005055F6">
        <w:t xml:space="preserve"> federal law</w:t>
      </w:r>
      <w:r w:rsidRPr="00ED3CFB">
        <w:t>, including: statutory provisions within the National Historic Preservation Act, executive orders like E.O. 13175, and inter-departmental policies and principles like the USDA Tribal Consultation Regulations.</w:t>
      </w:r>
      <w:r w:rsidRPr="00ED3CFB">
        <w:rPr>
          <w:rStyle w:val="FootnoteReference"/>
        </w:rPr>
        <w:footnoteReference w:id="43"/>
      </w:r>
      <w:r w:rsidRPr="00ED3CFB">
        <w:t xml:space="preserve"> Consultation should lead to reciprocal sharing of information that facilitates coordinated planning through mutual understanding, and more informed decision making. Noteworthy examples of mandated Tribal consultation requirements are exemplified in the Yakima County Plan.</w:t>
      </w:r>
      <w:r w:rsidRPr="00ED3CFB">
        <w:rPr>
          <w:rStyle w:val="FootnoteReference"/>
        </w:rPr>
        <w:footnoteReference w:id="44"/>
      </w:r>
      <w:r w:rsidRPr="00ED3CFB">
        <w:t xml:space="preserve"> </w:t>
      </w:r>
    </w:p>
    <w:p w14:paraId="68EA5A97" w14:textId="77777777" w:rsidR="002B3892" w:rsidRPr="00ED3CFB" w:rsidRDefault="002B3892" w:rsidP="002B3892">
      <w:pPr>
        <w:pStyle w:val="ColorfulList-Accent11"/>
        <w:ind w:left="0"/>
      </w:pPr>
    </w:p>
    <w:p w14:paraId="01A2548F" w14:textId="19D3A660" w:rsidR="002B3892" w:rsidRPr="00ED3CFB" w:rsidRDefault="002B3892" w:rsidP="00A241C3">
      <w:pPr>
        <w:pStyle w:val="Heading2"/>
      </w:pPr>
      <w:bookmarkStart w:id="17" w:name="_Toc405804326"/>
      <w:r w:rsidRPr="00ED3CFB">
        <w:t>Periodic Update and Continuous Assessment</w:t>
      </w:r>
      <w:bookmarkEnd w:id="17"/>
    </w:p>
    <w:p w14:paraId="4B92B589" w14:textId="77777777" w:rsidR="002B3892" w:rsidRPr="00ED3CFB" w:rsidRDefault="002B3892" w:rsidP="002B3892">
      <w:pPr>
        <w:pStyle w:val="ColorfulList-Accent11"/>
        <w:ind w:left="0"/>
      </w:pPr>
    </w:p>
    <w:p w14:paraId="1CEDC68A" w14:textId="3203A4B6" w:rsidR="002B3892" w:rsidRPr="00ED3CFB" w:rsidRDefault="00C0278C" w:rsidP="003671D2">
      <w:pPr>
        <w:pStyle w:val="ColorfulList-Accent11"/>
        <w:numPr>
          <w:ilvl w:val="0"/>
          <w:numId w:val="1"/>
        </w:numPr>
        <w:ind w:left="0"/>
      </w:pPr>
      <w:r>
        <w:t>C</w:t>
      </w:r>
      <w:r w:rsidR="002B3892" w:rsidRPr="00ED3CFB">
        <w:t>limatic uncertainty and increasing changes in w</w:t>
      </w:r>
      <w:r w:rsidR="002B3892">
        <w:t xml:space="preserve">estern water systems </w:t>
      </w:r>
      <w:r w:rsidR="00371ACA">
        <w:t>require that</w:t>
      </w:r>
      <w:r w:rsidR="002B3892" w:rsidRPr="00ED3CFB">
        <w:t xml:space="preserve"> the </w:t>
      </w:r>
      <w:r>
        <w:t>W</w:t>
      </w:r>
      <w:r w:rsidR="002B3892" w:rsidRPr="00ED3CFB">
        <w:t>ater</w:t>
      </w:r>
      <w:r w:rsidR="002B3892">
        <w:t>-</w:t>
      </w:r>
      <w:r>
        <w:t>C</w:t>
      </w:r>
      <w:r w:rsidR="002B3892">
        <w:t>limate</w:t>
      </w:r>
      <w:r>
        <w:t xml:space="preserve"> E</w:t>
      </w:r>
      <w:r w:rsidR="002B3892" w:rsidRPr="00ED3CFB">
        <w:t>lement and its implementation be able to evolve and adapt to new data and changes in the hydrological system.</w:t>
      </w:r>
      <w:r w:rsidR="002B3892" w:rsidRPr="00ED3CFB">
        <w:rPr>
          <w:rStyle w:val="FootnoteReference"/>
        </w:rPr>
        <w:footnoteReference w:id="45"/>
      </w:r>
      <w:r w:rsidR="002B3892" w:rsidRPr="00ED3CFB">
        <w:t xml:space="preserve"> </w:t>
      </w:r>
      <w:r w:rsidR="002B3892" w:rsidRPr="00D60822">
        <w:rPr>
          <w:color w:val="000000"/>
        </w:rPr>
        <w:t>Central to an adaptive watershed management approach is the flexibility of local planning to continually tailor implementation strategies to changing uses and conditions of water, while monitoring their effectiveness. Local government should not be constrained to follow specific implementation strategies without the ability to adjust and adapt to changing circumstances. Additionally, there should remain some discretion as local governments are situated in different ecological, economic, and societal contexts. Nonetheless, local governments must clearly define how water-climate goals and benchmarks will be implemented and acted on.</w:t>
      </w:r>
    </w:p>
    <w:p w14:paraId="68E6614A" w14:textId="77777777" w:rsidR="002B3892" w:rsidRPr="00ED3CFB" w:rsidRDefault="002B3892" w:rsidP="002B3892">
      <w:pPr>
        <w:pStyle w:val="ColorfulList-Accent11"/>
      </w:pPr>
    </w:p>
    <w:p w14:paraId="692F46D2" w14:textId="77777777" w:rsidR="002B3892" w:rsidRPr="00ED3CFB" w:rsidRDefault="002B3892" w:rsidP="002B3892">
      <w:pPr>
        <w:pStyle w:val="ColorfulList-Accent11"/>
        <w:numPr>
          <w:ilvl w:val="0"/>
          <w:numId w:val="1"/>
        </w:numPr>
        <w:ind w:left="0"/>
      </w:pPr>
      <w:r w:rsidRPr="00ED3CFB">
        <w:t>Monitoring through performance benchmarks is crucial to meaningful climate water planning. Careful monitoring of predictions and management outcomes both advances scientific understanding and helps adjust policies and implementation strategies as part of an iterative learning process.</w:t>
      </w:r>
      <w:r w:rsidRPr="00ED3CFB">
        <w:rPr>
          <w:rStyle w:val="FootnoteReference"/>
        </w:rPr>
        <w:footnoteReference w:id="46"/>
      </w:r>
    </w:p>
    <w:p w14:paraId="55BCD88E" w14:textId="77777777" w:rsidR="002B3892" w:rsidRPr="00ED3CFB" w:rsidRDefault="002B3892" w:rsidP="002B3892">
      <w:pPr>
        <w:pStyle w:val="ColorfulList-Accent11"/>
        <w:ind w:left="0"/>
      </w:pPr>
    </w:p>
    <w:p w14:paraId="48CC9980" w14:textId="77777777" w:rsidR="002B3892" w:rsidRPr="00ED3CFB" w:rsidRDefault="002B3892" w:rsidP="002B3892">
      <w:pPr>
        <w:pStyle w:val="ColorfulList-Accent11"/>
        <w:ind w:left="0"/>
        <w:rPr>
          <w:b/>
        </w:rPr>
      </w:pPr>
      <w:r w:rsidRPr="00ED3CFB">
        <w:rPr>
          <w:b/>
        </w:rPr>
        <w:t xml:space="preserve">Examples: </w:t>
      </w:r>
    </w:p>
    <w:p w14:paraId="6C299C23" w14:textId="77777777" w:rsidR="002B3892" w:rsidRPr="00ED3CFB" w:rsidRDefault="002B3892" w:rsidP="002B3892">
      <w:pPr>
        <w:pStyle w:val="ColorfulList-Accent11"/>
        <w:ind w:left="0"/>
        <w:rPr>
          <w:b/>
        </w:rPr>
      </w:pPr>
    </w:p>
    <w:p w14:paraId="1357E659" w14:textId="77777777" w:rsidR="002B3892" w:rsidRPr="00ED3CFB" w:rsidDel="00F92C31" w:rsidRDefault="002B3892" w:rsidP="002B3892">
      <w:pPr>
        <w:pStyle w:val="ColorfulList-Accent11"/>
        <w:numPr>
          <w:ilvl w:val="0"/>
          <w:numId w:val="1"/>
        </w:numPr>
        <w:ind w:left="0"/>
      </w:pPr>
      <w:r w:rsidRPr="00ED3CFB">
        <w:t>One legal mechanism to ensure accountability in an adaptive management approach that ensures monitoring feedback is pre-negotiated management commitments or “</w:t>
      </w:r>
      <w:r>
        <w:t>t</w:t>
      </w:r>
      <w:r w:rsidRPr="00ED3CFB">
        <w:t>riggers.”</w:t>
      </w:r>
      <w:r w:rsidRPr="00ED3CFB">
        <w:rPr>
          <w:rStyle w:val="FootnoteReference"/>
        </w:rPr>
        <w:footnoteReference w:id="47"/>
      </w:r>
      <w:r w:rsidRPr="00ED3CFB">
        <w:t xml:space="preserve"> Scholars Courtney Shultz and Martin Nie define the term trigger as “a type of pre-negotiated commitment made by an agency within an adaptive management or mitigation framework specifying what actions will be taken if monitoring information shows x or y.”</w:t>
      </w:r>
    </w:p>
    <w:p w14:paraId="2E2CB315" w14:textId="77777777" w:rsidR="002B3892" w:rsidRPr="00ED3CFB" w:rsidRDefault="002B3892" w:rsidP="002B3892">
      <w:pPr>
        <w:pStyle w:val="ColorfulList-Accent11"/>
      </w:pPr>
    </w:p>
    <w:p w14:paraId="03DF02CD" w14:textId="77777777" w:rsidR="0023436D" w:rsidRPr="00ED3CFB" w:rsidRDefault="002B3892" w:rsidP="005B347C">
      <w:pPr>
        <w:pStyle w:val="ColorfulList-Accent11"/>
        <w:numPr>
          <w:ilvl w:val="0"/>
          <w:numId w:val="1"/>
        </w:numPr>
        <w:ind w:left="0"/>
      </w:pPr>
      <w:r w:rsidRPr="00ED3CFB">
        <w:t>The King County Comprehensive Plan Update aptly illustrates monitoring and adaptive management language to facilitate continuous planning and assessment. The need is summarized as, “King County policies, regulations, and actions to protect and restore the environment need to be assessed on an ongoing basis to ensure that they are having the intended effect, and that they are responding to changing conditions.”</w:t>
      </w:r>
      <w:r w:rsidRPr="00ED3CFB">
        <w:rPr>
          <w:rStyle w:val="FootnoteReference"/>
        </w:rPr>
        <w:footnoteReference w:id="48"/>
      </w:r>
      <w:r w:rsidRPr="00ED3CFB" w:rsidDel="00F92C31">
        <w:t xml:space="preserve"> </w:t>
      </w:r>
    </w:p>
    <w:sectPr w:rsidR="0023436D" w:rsidRPr="00ED3CFB" w:rsidSect="008D7A6A">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EEFFC" w14:textId="77777777" w:rsidR="007863D9" w:rsidRDefault="007863D9" w:rsidP="0023436D">
      <w:r>
        <w:separator/>
      </w:r>
    </w:p>
  </w:endnote>
  <w:endnote w:type="continuationSeparator" w:id="0">
    <w:p w14:paraId="677460E4" w14:textId="77777777" w:rsidR="007863D9" w:rsidRDefault="007863D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1C95" w14:textId="77777777" w:rsidR="00AD20EE" w:rsidRDefault="00AD20EE" w:rsidP="00234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F3A33" w14:textId="77777777" w:rsidR="00AD20EE" w:rsidRDefault="00AD20EE" w:rsidP="002343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39475"/>
      <w:docPartObj>
        <w:docPartGallery w:val="Page Numbers (Bottom of Page)"/>
        <w:docPartUnique/>
      </w:docPartObj>
    </w:sdtPr>
    <w:sdtEndPr>
      <w:rPr>
        <w:rFonts w:asciiTheme="minorHAnsi" w:hAnsiTheme="minorHAnsi" w:cstheme="minorHAnsi"/>
        <w:noProof/>
      </w:rPr>
    </w:sdtEndPr>
    <w:sdtContent>
      <w:p w14:paraId="1E6CC38F" w14:textId="368E1F33" w:rsidR="00AD20EE" w:rsidRPr="00F9243D" w:rsidRDefault="00AD20EE">
        <w:pPr>
          <w:pStyle w:val="Footer"/>
          <w:jc w:val="center"/>
          <w:rPr>
            <w:rFonts w:asciiTheme="minorHAnsi" w:hAnsiTheme="minorHAnsi" w:cstheme="minorHAnsi"/>
          </w:rPr>
        </w:pPr>
        <w:r w:rsidRPr="00F9243D">
          <w:rPr>
            <w:rFonts w:asciiTheme="minorHAnsi" w:hAnsiTheme="minorHAnsi" w:cstheme="minorHAnsi"/>
          </w:rPr>
          <w:fldChar w:fldCharType="begin"/>
        </w:r>
        <w:r w:rsidRPr="00F9243D">
          <w:rPr>
            <w:rFonts w:asciiTheme="minorHAnsi" w:hAnsiTheme="minorHAnsi" w:cstheme="minorHAnsi"/>
          </w:rPr>
          <w:instrText xml:space="preserve"> PAGE   \* MERGEFORMAT </w:instrText>
        </w:r>
        <w:r w:rsidRPr="00F9243D">
          <w:rPr>
            <w:rFonts w:asciiTheme="minorHAnsi" w:hAnsiTheme="minorHAnsi" w:cstheme="minorHAnsi"/>
          </w:rPr>
          <w:fldChar w:fldCharType="separate"/>
        </w:r>
        <w:r w:rsidR="00C55CE5">
          <w:rPr>
            <w:rFonts w:asciiTheme="minorHAnsi" w:hAnsiTheme="minorHAnsi" w:cstheme="minorHAnsi"/>
            <w:noProof/>
          </w:rPr>
          <w:t>12</w:t>
        </w:r>
        <w:r w:rsidRPr="00F9243D">
          <w:rPr>
            <w:rFonts w:asciiTheme="minorHAnsi" w:hAnsiTheme="minorHAnsi" w:cstheme="minorHAnsi"/>
            <w:noProof/>
          </w:rPr>
          <w:fldChar w:fldCharType="end"/>
        </w:r>
      </w:p>
    </w:sdtContent>
  </w:sdt>
  <w:p w14:paraId="64AB66CF" w14:textId="77777777" w:rsidR="00AD20EE" w:rsidRDefault="00AD2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9F8D6" w14:textId="77777777" w:rsidR="007863D9" w:rsidRDefault="007863D9" w:rsidP="0023436D">
      <w:r>
        <w:separator/>
      </w:r>
    </w:p>
  </w:footnote>
  <w:footnote w:type="continuationSeparator" w:id="0">
    <w:p w14:paraId="75EE178D" w14:textId="77777777" w:rsidR="007863D9" w:rsidRDefault="007863D9" w:rsidP="0023436D">
      <w:r>
        <w:continuationSeparator/>
      </w:r>
    </w:p>
  </w:footnote>
  <w:footnote w:id="1">
    <w:p w14:paraId="7252F809" w14:textId="77777777" w:rsidR="00AD20EE" w:rsidRPr="00B65A1A" w:rsidRDefault="00AD20EE" w:rsidP="00303C72">
      <w:pPr>
        <w:pStyle w:val="FootnoteText"/>
        <w:rPr>
          <w:sz w:val="21"/>
          <w:szCs w:val="21"/>
        </w:rPr>
      </w:pPr>
      <w:r w:rsidRPr="00B65A1A">
        <w:rPr>
          <w:rStyle w:val="FootnoteReference"/>
          <w:sz w:val="21"/>
          <w:szCs w:val="21"/>
        </w:rPr>
        <w:footnoteRef/>
      </w:r>
      <w:r w:rsidRPr="00B65A1A">
        <w:rPr>
          <w:sz w:val="21"/>
          <w:szCs w:val="21"/>
        </w:rPr>
        <w:t xml:space="preserve"> </w:t>
      </w:r>
      <w:r w:rsidRPr="00B65A1A">
        <w:rPr>
          <w:i/>
          <w:sz w:val="21"/>
          <w:szCs w:val="21"/>
        </w:rPr>
        <w:t>Drafter’s Note</w:t>
      </w:r>
      <w:r w:rsidRPr="00B65A1A">
        <w:rPr>
          <w:sz w:val="21"/>
          <w:szCs w:val="21"/>
        </w:rPr>
        <w:t xml:space="preserve">: This model law is intended to be added as a subsection within a state’s existing enabling legislation authorizing or mandating the adoption of a local government </w:t>
      </w:r>
      <w:r>
        <w:rPr>
          <w:sz w:val="21"/>
          <w:szCs w:val="21"/>
        </w:rPr>
        <w:t>comprehensive</w:t>
      </w:r>
      <w:r w:rsidRPr="00B65A1A">
        <w:rPr>
          <w:sz w:val="21"/>
          <w:szCs w:val="21"/>
        </w:rPr>
        <w:t xml:space="preserve"> plan.</w:t>
      </w:r>
      <w:r w:rsidRPr="0027480F">
        <w:rPr>
          <w:sz w:val="21"/>
          <w:szCs w:val="21"/>
        </w:rPr>
        <w:t xml:space="preserve"> </w:t>
      </w:r>
      <w:r>
        <w:rPr>
          <w:sz w:val="21"/>
          <w:szCs w:val="21"/>
        </w:rPr>
        <w:t>D</w:t>
      </w:r>
      <w:r w:rsidRPr="00307897">
        <w:rPr>
          <w:sz w:val="21"/>
          <w:szCs w:val="21"/>
        </w:rPr>
        <w:t xml:space="preserve">ifferent states may use a term </w:t>
      </w:r>
      <w:r>
        <w:rPr>
          <w:sz w:val="21"/>
          <w:szCs w:val="21"/>
        </w:rPr>
        <w:t xml:space="preserve">other than “comprehensive plan,” </w:t>
      </w:r>
      <w:r w:rsidRPr="00307897">
        <w:rPr>
          <w:sz w:val="21"/>
          <w:szCs w:val="21"/>
        </w:rPr>
        <w:t>such as “land use plan” or “growth policy.”</w:t>
      </w:r>
    </w:p>
  </w:footnote>
  <w:footnote w:id="2">
    <w:p w14:paraId="5583D2E5" w14:textId="7B5A25EF"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Pr="00B65A1A">
        <w:rPr>
          <w:i/>
          <w:sz w:val="21"/>
          <w:szCs w:val="21"/>
        </w:rPr>
        <w:t>Drafter’s Note</w:t>
      </w:r>
      <w:r>
        <w:rPr>
          <w:sz w:val="21"/>
          <w:szCs w:val="21"/>
        </w:rPr>
        <w:t>:</w:t>
      </w:r>
      <w:r w:rsidRPr="00B65A1A">
        <w:rPr>
          <w:sz w:val="21"/>
          <w:szCs w:val="21"/>
        </w:rPr>
        <w:t xml:space="preserve"> </w:t>
      </w:r>
      <w:r w:rsidRPr="00307897">
        <w:rPr>
          <w:sz w:val="21"/>
          <w:szCs w:val="21"/>
        </w:rPr>
        <w:t>Because an adequate water supply is fundamental to supporting a community’s natural environment and human population, the word “shall” is recommended. A legislature could alternatively use “</w:t>
      </w:r>
      <w:proofErr w:type="gramStart"/>
      <w:r w:rsidRPr="00307897">
        <w:rPr>
          <w:sz w:val="21"/>
          <w:szCs w:val="21"/>
        </w:rPr>
        <w:t>may</w:t>
      </w:r>
      <w:proofErr w:type="gramEnd"/>
      <w:r w:rsidRPr="00307897">
        <w:rPr>
          <w:sz w:val="21"/>
          <w:szCs w:val="21"/>
        </w:rPr>
        <w:t>,” which would empower local governments with the option of water-climate planning</w:t>
      </w:r>
      <w:r>
        <w:rPr>
          <w:sz w:val="21"/>
          <w:szCs w:val="21"/>
        </w:rPr>
        <w:t>,</w:t>
      </w:r>
      <w:r w:rsidRPr="00307897">
        <w:rPr>
          <w:sz w:val="21"/>
          <w:szCs w:val="21"/>
        </w:rPr>
        <w:t xml:space="preserve"> but would not ensure that such planning occurs.</w:t>
      </w:r>
      <w:r w:rsidRPr="00307897">
        <w:rPr>
          <w:sz w:val="21"/>
          <w:szCs w:val="21"/>
        </w:rPr>
        <w:tab/>
      </w:r>
    </w:p>
  </w:footnote>
  <w:footnote w:id="3">
    <w:p w14:paraId="3D3E909B" w14:textId="14F379E8"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Watersheds rarely fall neatly within jurisdictional boundaries. Thus, it is important for local governments to think beyond their boundaries and take a watershed approach to water-climate planning. By necessity, this will also encourage a local community to collaborate with other jurisdictions that share the same watershed.</w:t>
      </w:r>
    </w:p>
  </w:footnote>
  <w:footnote w:id="4">
    <w:p w14:paraId="20E108D6" w14:textId="5729A163" w:rsidR="00AD20EE" w:rsidRPr="00307897" w:rsidRDefault="00AD20EE" w:rsidP="00D17330">
      <w:pPr>
        <w:pStyle w:val="FootnoteText"/>
        <w:rPr>
          <w:sz w:val="21"/>
          <w:szCs w:val="21"/>
        </w:rPr>
      </w:pPr>
      <w:r w:rsidRPr="00307897">
        <w:rPr>
          <w:rStyle w:val="FootnoteReference"/>
          <w:sz w:val="21"/>
          <w:szCs w:val="21"/>
        </w:rPr>
        <w:footnoteRef/>
      </w:r>
      <w:r w:rsidRPr="00307897">
        <w:rPr>
          <w:sz w:val="21"/>
          <w:szCs w:val="21"/>
        </w:rPr>
        <w:t xml:space="preserve"> Under the West’s prior appropriation system, water may be legally transported outside of its watershed of origin. Thus, not all waters present within a local government’s jurisdiction are necessarily available for its use.</w:t>
      </w:r>
    </w:p>
  </w:footnote>
  <w:footnote w:id="5">
    <w:p w14:paraId="0DAEB0A3" w14:textId="15D15BC5" w:rsidR="00AD20EE" w:rsidRPr="00307897" w:rsidRDefault="00AD20EE">
      <w:pPr>
        <w:pStyle w:val="FootnoteText"/>
        <w:rPr>
          <w:sz w:val="21"/>
          <w:szCs w:val="21"/>
        </w:rPr>
      </w:pPr>
      <w:r w:rsidRPr="00307897">
        <w:rPr>
          <w:rStyle w:val="FootnoteReference"/>
          <w:sz w:val="21"/>
          <w:szCs w:val="21"/>
        </w:rPr>
        <w:footnoteRef/>
      </w:r>
      <w:r w:rsidRPr="00307897">
        <w:rPr>
          <w:sz w:val="21"/>
          <w:szCs w:val="21"/>
        </w:rPr>
        <w:t xml:space="preserve"> This comparison functions essentially like a “water budget” that should be in balance so that water supply needs do not exceed available water supply.</w:t>
      </w:r>
    </w:p>
  </w:footnote>
  <w:footnote w:id="6">
    <w:p w14:paraId="755AA278" w14:textId="23CE7C9F" w:rsidR="00AD20EE" w:rsidRPr="00307897" w:rsidRDefault="00AD20EE" w:rsidP="00FC5274">
      <w:pPr>
        <w:pStyle w:val="FootnoteText"/>
        <w:rPr>
          <w:sz w:val="21"/>
          <w:szCs w:val="21"/>
        </w:rPr>
      </w:pPr>
      <w:r w:rsidRPr="00307897">
        <w:rPr>
          <w:rStyle w:val="FootnoteReference"/>
          <w:sz w:val="21"/>
          <w:szCs w:val="21"/>
        </w:rPr>
        <w:footnoteRef/>
      </w:r>
      <w:r w:rsidRPr="00307897">
        <w:rPr>
          <w:sz w:val="21"/>
          <w:szCs w:val="21"/>
        </w:rPr>
        <w:t xml:space="preserve"> Because shared supply is a reality, both for communities with water surpluses and those with deficits, local governments should assess opportunities for water marketing or water acquisition. </w:t>
      </w:r>
    </w:p>
  </w:footnote>
  <w:footnote w:id="7">
    <w:p w14:paraId="03368F24" w14:textId="77777777" w:rsidR="00AD20EE" w:rsidRPr="00307897" w:rsidRDefault="00AD20EE" w:rsidP="00C13193">
      <w:pPr>
        <w:pStyle w:val="FootnoteText"/>
        <w:rPr>
          <w:sz w:val="21"/>
          <w:szCs w:val="21"/>
        </w:rPr>
      </w:pPr>
      <w:r w:rsidRPr="00307897">
        <w:rPr>
          <w:rStyle w:val="FootnoteReference"/>
          <w:sz w:val="21"/>
          <w:szCs w:val="21"/>
        </w:rPr>
        <w:footnoteRef/>
      </w:r>
      <w:r w:rsidRPr="00307897">
        <w:rPr>
          <w:sz w:val="21"/>
          <w:szCs w:val="21"/>
        </w:rPr>
        <w:t xml:space="preserve"> Section </w:t>
      </w:r>
      <w:proofErr w:type="gramStart"/>
      <w:r w:rsidRPr="00307897">
        <w:rPr>
          <w:sz w:val="21"/>
          <w:szCs w:val="21"/>
        </w:rPr>
        <w:t>B(</w:t>
      </w:r>
      <w:proofErr w:type="gramEnd"/>
      <w:r w:rsidRPr="00307897">
        <w:rPr>
          <w:sz w:val="21"/>
          <w:szCs w:val="21"/>
        </w:rPr>
        <w:t>1) authorizes various types of inter-governmental water planning.</w:t>
      </w:r>
    </w:p>
  </w:footnote>
  <w:footnote w:id="8">
    <w:p w14:paraId="0C9A9C22" w14:textId="60DEADD7" w:rsidR="00AD20EE" w:rsidRPr="00307897" w:rsidRDefault="00AD20EE" w:rsidP="00D4475F">
      <w:pPr>
        <w:pStyle w:val="FootnoteText"/>
        <w:rPr>
          <w:sz w:val="21"/>
          <w:szCs w:val="21"/>
        </w:rPr>
      </w:pPr>
      <w:r w:rsidRPr="00307897">
        <w:rPr>
          <w:rStyle w:val="FootnoteReference"/>
          <w:sz w:val="21"/>
          <w:szCs w:val="21"/>
        </w:rPr>
        <w:footnoteRef/>
      </w:r>
      <w:r w:rsidRPr="00307897">
        <w:rPr>
          <w:sz w:val="21"/>
          <w:szCs w:val="21"/>
        </w:rPr>
        <w:t xml:space="preserve"> A community’s progress towards achieving its water-climate goals should be measured against pre-determined targets which track progress and allow for reevaluation when targets are not met. These benchmarks should thus be integrated with the assessments and updates in § C.  </w:t>
      </w:r>
    </w:p>
  </w:footnote>
  <w:footnote w:id="9">
    <w:p w14:paraId="11A8A08D" w14:textId="0E7FCF90" w:rsidR="00AD20EE" w:rsidRPr="00307897" w:rsidRDefault="00AD20EE">
      <w:pPr>
        <w:pStyle w:val="FootnoteText"/>
        <w:rPr>
          <w:sz w:val="21"/>
          <w:szCs w:val="21"/>
        </w:rPr>
      </w:pPr>
      <w:r w:rsidRPr="00307897">
        <w:rPr>
          <w:rStyle w:val="FootnoteReference"/>
          <w:sz w:val="21"/>
          <w:szCs w:val="21"/>
        </w:rPr>
        <w:footnoteRef/>
      </w:r>
      <w:r w:rsidRPr="00307897">
        <w:rPr>
          <w:sz w:val="21"/>
          <w:szCs w:val="21"/>
        </w:rPr>
        <w:t xml:space="preserve"> Recognizing that different levels of government have authority over water (vertical authority), and that water resources span multiple jurisdictions (horizontal authority), this section enables both vertical and horizontal coordination.</w:t>
      </w:r>
    </w:p>
  </w:footnote>
  <w:footnote w:id="10">
    <w:p w14:paraId="7A739866" w14:textId="2BB31BE6"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To provide maximum flexibility in addressing unique water-climate issues, local governments should have discretion to enter into a broad range of agreements, without qualification, including but not limited to: </w:t>
      </w:r>
      <w:proofErr w:type="spellStart"/>
      <w:r w:rsidRPr="00307897">
        <w:rPr>
          <w:sz w:val="21"/>
          <w:szCs w:val="21"/>
        </w:rPr>
        <w:t>interlocal</w:t>
      </w:r>
      <w:proofErr w:type="spellEnd"/>
      <w:r w:rsidRPr="00307897">
        <w:rPr>
          <w:sz w:val="21"/>
          <w:szCs w:val="21"/>
        </w:rPr>
        <w:t xml:space="preserve"> agreements, implementation agreements, partnership agreements, and cooperative agreements. “Partnerships” and “collaborations” may be different than “agreements” because they can be more informal or more temporal in nature.</w:t>
      </w:r>
    </w:p>
  </w:footnote>
  <w:footnote w:id="11">
    <w:p w14:paraId="42D21FE9" w14:textId="76DA5F8E"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This power recognizes that non-governmental cooperation is crucial for local implementation of water-climate planning.</w:t>
      </w:r>
    </w:p>
  </w:footnote>
  <w:footnote w:id="12">
    <w:p w14:paraId="121F034A" w14:textId="5FA86615"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Coordinated research and data sharing not only enable local governments to form a more complete picture about water supply and climate, but enable them to share costs associated with creating and implementing a water-climate element.</w:t>
      </w:r>
    </w:p>
  </w:footnote>
  <w:footnote w:id="13">
    <w:p w14:paraId="3123B5AB" w14:textId="66D9FC68" w:rsidR="00AD20EE" w:rsidRPr="00307897" w:rsidRDefault="00AD20EE" w:rsidP="00AF3988">
      <w:pPr>
        <w:pStyle w:val="FootnoteText"/>
        <w:rPr>
          <w:sz w:val="21"/>
          <w:szCs w:val="21"/>
        </w:rPr>
      </w:pPr>
      <w:r w:rsidRPr="00307897">
        <w:rPr>
          <w:rStyle w:val="FootnoteReference"/>
          <w:sz w:val="21"/>
          <w:szCs w:val="21"/>
        </w:rPr>
        <w:footnoteRef/>
      </w:r>
      <w:r w:rsidRPr="00307897">
        <w:rPr>
          <w:sz w:val="21"/>
          <w:szCs w:val="21"/>
        </w:rPr>
        <w:t xml:space="preserve"> </w:t>
      </w:r>
      <w:r w:rsidRPr="003176E6">
        <w:rPr>
          <w:i/>
          <w:sz w:val="21"/>
          <w:szCs w:val="21"/>
        </w:rPr>
        <w:t>Drafter’s Note</w:t>
      </w:r>
      <w:r>
        <w:rPr>
          <w:sz w:val="21"/>
          <w:szCs w:val="21"/>
        </w:rPr>
        <w:t>:</w:t>
      </w:r>
      <w:r w:rsidRPr="00307897">
        <w:rPr>
          <w:sz w:val="21"/>
          <w:szCs w:val="21"/>
        </w:rPr>
        <w:t xml:space="preserve"> This power is limited to “advisory” bodies that lack regulatory authority, under the assumption that inter-governmental bodies exercising regulatory authority require specific, express state authorization.</w:t>
      </w:r>
      <w:r>
        <w:rPr>
          <w:sz w:val="21"/>
          <w:szCs w:val="21"/>
        </w:rPr>
        <w:t xml:space="preserve"> This section should be tailored to ensure consistency with a state’s specific laws regarding local government authority. </w:t>
      </w:r>
    </w:p>
  </w:footnote>
  <w:footnote w:id="14">
    <w:p w14:paraId="159EB5EC" w14:textId="265C259F" w:rsidR="00AD20EE" w:rsidRPr="00307897" w:rsidRDefault="00AD20EE" w:rsidP="00BA51D6">
      <w:pPr>
        <w:pStyle w:val="FootnoteText"/>
        <w:rPr>
          <w:sz w:val="21"/>
          <w:szCs w:val="21"/>
        </w:rPr>
      </w:pPr>
      <w:r w:rsidRPr="00307897">
        <w:rPr>
          <w:rStyle w:val="FootnoteReference"/>
          <w:sz w:val="21"/>
          <w:szCs w:val="21"/>
        </w:rPr>
        <w:footnoteRef/>
      </w:r>
      <w:r w:rsidRPr="00307897">
        <w:rPr>
          <w:sz w:val="21"/>
          <w:szCs w:val="21"/>
        </w:rPr>
        <w:t xml:space="preserve"> Because most Indian Tribes have extensive water rights holdings, local governments should engage in local-tribal coordination over shared water resources. Additionally, many Indian reservations contain non-Indian land holdings within reservation boundaries, which raises jurisdictional questions. To provide a uniform approach to land use planning on checkerboard land holdings such as these, a coordinated approach is recommended. </w:t>
      </w:r>
    </w:p>
  </w:footnote>
  <w:footnote w:id="15">
    <w:p w14:paraId="6B562B2B" w14:textId="1B3DD67A" w:rsidR="00AD20EE" w:rsidRPr="00307897" w:rsidRDefault="00AD20EE">
      <w:pPr>
        <w:pStyle w:val="FootnoteText"/>
        <w:rPr>
          <w:sz w:val="21"/>
          <w:szCs w:val="21"/>
        </w:rPr>
      </w:pPr>
      <w:r w:rsidRPr="00307897">
        <w:rPr>
          <w:rStyle w:val="FootnoteReference"/>
          <w:sz w:val="21"/>
          <w:szCs w:val="21"/>
        </w:rPr>
        <w:footnoteRef/>
      </w:r>
      <w:r w:rsidRPr="00307897">
        <w:rPr>
          <w:sz w:val="21"/>
          <w:szCs w:val="21"/>
        </w:rPr>
        <w:t xml:space="preserve"> This precautionary, consultation approach with Indian Tribes mirrors that used by the federal government. </w:t>
      </w:r>
      <w:r w:rsidRPr="00307897">
        <w:rPr>
          <w:i/>
          <w:sz w:val="21"/>
          <w:szCs w:val="21"/>
        </w:rPr>
        <w:t xml:space="preserve">See, e.g., </w:t>
      </w:r>
      <w:r w:rsidRPr="00307897">
        <w:rPr>
          <w:sz w:val="21"/>
          <w:szCs w:val="21"/>
        </w:rPr>
        <w:t>U.S. Dept. of Agriculture’s Tribal Consultation Reg. #1350-002 (Jan. 18, 2013).</w:t>
      </w:r>
    </w:p>
  </w:footnote>
  <w:footnote w:id="16">
    <w:p w14:paraId="26F5E19A" w14:textId="098C89F3"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Many Indian Tribes lack the resources to develop planning departments, let alone integrated water-climate planning programs. Thus, when local governments should be encouraged to support Tribal efforts to achieve coordinated planning.</w:t>
      </w:r>
    </w:p>
  </w:footnote>
  <w:footnote w:id="17">
    <w:p w14:paraId="4CFD6876" w14:textId="14A09D9D" w:rsidR="00AD20EE" w:rsidRPr="00307897" w:rsidRDefault="00AD20EE">
      <w:pPr>
        <w:pStyle w:val="FootnoteText"/>
        <w:rPr>
          <w:sz w:val="21"/>
          <w:szCs w:val="21"/>
        </w:rPr>
      </w:pPr>
      <w:r w:rsidRPr="00307897">
        <w:rPr>
          <w:rStyle w:val="FootnoteReference"/>
          <w:sz w:val="21"/>
          <w:szCs w:val="21"/>
        </w:rPr>
        <w:footnoteRef/>
      </w:r>
      <w:r w:rsidRPr="00307897">
        <w:rPr>
          <w:sz w:val="21"/>
          <w:szCs w:val="21"/>
        </w:rPr>
        <w:t xml:space="preserve"> Because of the changing and dynamic nature of water supply and climate, and the critical need to adaptively and quickly respond to water realities, local governments should assess their Water-Climate Element on an ongoing basis. This differs from the standard approach in planning, where a plan is typically updated after several years have elapsed. </w:t>
      </w:r>
    </w:p>
  </w:footnote>
  <w:footnote w:id="18">
    <w:p w14:paraId="1712D8B0" w14:textId="353B9193" w:rsidR="00AD20EE" w:rsidRPr="00307897" w:rsidRDefault="00AD20EE" w:rsidP="00D42E14">
      <w:pPr>
        <w:pStyle w:val="FootnoteText"/>
        <w:rPr>
          <w:sz w:val="21"/>
          <w:szCs w:val="21"/>
        </w:rPr>
      </w:pPr>
      <w:r w:rsidRPr="00307897">
        <w:rPr>
          <w:rStyle w:val="FootnoteReference"/>
          <w:sz w:val="21"/>
          <w:szCs w:val="21"/>
        </w:rPr>
        <w:footnoteRef/>
      </w:r>
      <w:r w:rsidRPr="00307897">
        <w:rPr>
          <w:sz w:val="21"/>
          <w:szCs w:val="21"/>
        </w:rPr>
        <w:t xml:space="preserve"> </w:t>
      </w:r>
      <w:r>
        <w:rPr>
          <w:sz w:val="21"/>
          <w:szCs w:val="21"/>
        </w:rPr>
        <w:t xml:space="preserve">The use of </w:t>
      </w:r>
      <w:r w:rsidRPr="00307897">
        <w:rPr>
          <w:rFonts w:eastAsia="Times New Roman"/>
          <w:color w:val="000000"/>
          <w:sz w:val="21"/>
          <w:szCs w:val="21"/>
        </w:rPr>
        <w:t>benchmark</w:t>
      </w:r>
      <w:r>
        <w:rPr>
          <w:rFonts w:eastAsia="Times New Roman"/>
          <w:color w:val="000000"/>
          <w:sz w:val="21"/>
          <w:szCs w:val="21"/>
        </w:rPr>
        <w:t>s and targets under §</w:t>
      </w:r>
      <w:proofErr w:type="gramStart"/>
      <w:r>
        <w:rPr>
          <w:rFonts w:eastAsia="Times New Roman"/>
          <w:color w:val="000000"/>
          <w:sz w:val="21"/>
          <w:szCs w:val="21"/>
        </w:rPr>
        <w:t>A(</w:t>
      </w:r>
      <w:proofErr w:type="gramEnd"/>
      <w:r>
        <w:rPr>
          <w:rFonts w:eastAsia="Times New Roman"/>
          <w:color w:val="000000"/>
          <w:sz w:val="21"/>
          <w:szCs w:val="21"/>
        </w:rPr>
        <w:t xml:space="preserve">4)(f), is one way in which local governments can ensure regular assessment. </w:t>
      </w:r>
    </w:p>
  </w:footnote>
  <w:footnote w:id="19">
    <w:p w14:paraId="1410D7A5" w14:textId="55BD3610" w:rsidR="00AD20EE" w:rsidRPr="00307897" w:rsidRDefault="00AD20EE" w:rsidP="00305B41">
      <w:pPr>
        <w:pStyle w:val="FootnoteText"/>
        <w:rPr>
          <w:sz w:val="21"/>
          <w:szCs w:val="21"/>
        </w:rPr>
      </w:pPr>
      <w:r w:rsidRPr="00307897">
        <w:rPr>
          <w:rStyle w:val="FootnoteReference"/>
          <w:sz w:val="21"/>
          <w:szCs w:val="21"/>
        </w:rPr>
        <w:footnoteRef/>
      </w:r>
      <w:r w:rsidRPr="00307897">
        <w:rPr>
          <w:sz w:val="21"/>
          <w:szCs w:val="21"/>
        </w:rPr>
        <w:t xml:space="preserve"> </w:t>
      </w:r>
      <w:r w:rsidRPr="003176E6">
        <w:rPr>
          <w:i/>
          <w:sz w:val="21"/>
          <w:szCs w:val="21"/>
        </w:rPr>
        <w:t>Drafter’s Note</w:t>
      </w:r>
      <w:r>
        <w:rPr>
          <w:sz w:val="21"/>
          <w:szCs w:val="21"/>
        </w:rPr>
        <w:t xml:space="preserve">: </w:t>
      </w:r>
      <w:r w:rsidRPr="00307897">
        <w:rPr>
          <w:sz w:val="21"/>
          <w:szCs w:val="21"/>
        </w:rPr>
        <w:t>These definitions should be inserted into the broader set of definitions contained in a state’s land use planning enabling act.</w:t>
      </w:r>
    </w:p>
  </w:footnote>
  <w:footnote w:id="20">
    <w:p w14:paraId="70D48E5E" w14:textId="08147A3A" w:rsidR="00AD20EE" w:rsidRPr="00307897" w:rsidRDefault="00AD20EE">
      <w:pPr>
        <w:pStyle w:val="FootnoteText"/>
        <w:rPr>
          <w:sz w:val="21"/>
          <w:szCs w:val="21"/>
        </w:rPr>
      </w:pPr>
      <w:r w:rsidRPr="00307897">
        <w:rPr>
          <w:rStyle w:val="FootnoteReference"/>
          <w:sz w:val="21"/>
          <w:szCs w:val="21"/>
        </w:rPr>
        <w:footnoteRef/>
      </w:r>
      <w:r w:rsidRPr="00307897">
        <w:rPr>
          <w:sz w:val="21"/>
          <w:szCs w:val="21"/>
        </w:rPr>
        <w:t xml:space="preserve"> This requirement incorporates principles of Tribal sovereignty recognized in </w:t>
      </w:r>
      <w:r w:rsidRPr="00307897">
        <w:rPr>
          <w:i/>
          <w:sz w:val="21"/>
          <w:szCs w:val="21"/>
        </w:rPr>
        <w:t>Montana v. United States</w:t>
      </w:r>
      <w:r w:rsidRPr="00307897">
        <w:rPr>
          <w:sz w:val="21"/>
          <w:szCs w:val="21"/>
        </w:rPr>
        <w:t>, 450 U.S. 544 (1981).</w:t>
      </w:r>
    </w:p>
  </w:footnote>
  <w:footnote w:id="21">
    <w:p w14:paraId="478CC1CF" w14:textId="79BBA450" w:rsidR="00AD20EE" w:rsidRPr="00307897" w:rsidRDefault="00AD20EE" w:rsidP="004D6ABD">
      <w:pPr>
        <w:pStyle w:val="FootnoteText"/>
        <w:rPr>
          <w:sz w:val="21"/>
          <w:szCs w:val="21"/>
        </w:rPr>
      </w:pPr>
      <w:r w:rsidRPr="00307897">
        <w:rPr>
          <w:rStyle w:val="FootnoteReference"/>
          <w:sz w:val="21"/>
          <w:szCs w:val="21"/>
        </w:rPr>
        <w:footnoteRef/>
      </w:r>
      <w:r w:rsidRPr="00307897">
        <w:rPr>
          <w:sz w:val="21"/>
          <w:szCs w:val="21"/>
        </w:rPr>
        <w:t xml:space="preserve"> </w:t>
      </w:r>
      <w:r>
        <w:rPr>
          <w:sz w:val="21"/>
          <w:szCs w:val="21"/>
        </w:rPr>
        <w:t xml:space="preserve">For a lengthier discussion of these arguments, </w:t>
      </w:r>
      <w:r w:rsidRPr="004D6ABD">
        <w:rPr>
          <w:sz w:val="21"/>
          <w:szCs w:val="21"/>
        </w:rPr>
        <w:t>see</w:t>
      </w:r>
      <w:r>
        <w:rPr>
          <w:sz w:val="21"/>
          <w:szCs w:val="21"/>
        </w:rPr>
        <w:t xml:space="preserve"> </w:t>
      </w:r>
      <w:r w:rsidRPr="004D6ABD">
        <w:rPr>
          <w:sz w:val="21"/>
          <w:szCs w:val="21"/>
        </w:rPr>
        <w:t>Michelle</w:t>
      </w:r>
      <w:r w:rsidRPr="00307897">
        <w:rPr>
          <w:sz w:val="21"/>
          <w:szCs w:val="21"/>
        </w:rPr>
        <w:t xml:space="preserve"> Bryan, </w:t>
      </w:r>
      <w:r w:rsidRPr="00307897">
        <w:rPr>
          <w:i/>
          <w:sz w:val="21"/>
          <w:szCs w:val="21"/>
        </w:rPr>
        <w:t>A Next, Big Step For the West: Using Model Legislation To Create a Water-Climate Element In Local Comprehensive Plans</w:t>
      </w:r>
      <w:r w:rsidRPr="00307897">
        <w:rPr>
          <w:sz w:val="21"/>
          <w:szCs w:val="21"/>
        </w:rPr>
        <w:t xml:space="preserve">, </w:t>
      </w:r>
      <w:r>
        <w:rPr>
          <w:sz w:val="21"/>
          <w:szCs w:val="21"/>
        </w:rPr>
        <w:t xml:space="preserve">32 </w:t>
      </w:r>
      <w:r w:rsidRPr="004D6ABD">
        <w:rPr>
          <w:smallCaps/>
          <w:sz w:val="21"/>
          <w:szCs w:val="21"/>
        </w:rPr>
        <w:t>Washington Journal of Environmental Law and Policy</w:t>
      </w:r>
      <w:r>
        <w:rPr>
          <w:sz w:val="21"/>
          <w:szCs w:val="21"/>
        </w:rPr>
        <w:t xml:space="preserve"> 1</w:t>
      </w:r>
      <w:r w:rsidRPr="00307897">
        <w:rPr>
          <w:sz w:val="21"/>
          <w:szCs w:val="21"/>
        </w:rPr>
        <w:t xml:space="preserve"> (2013).</w:t>
      </w:r>
    </w:p>
  </w:footnote>
  <w:footnote w:id="22">
    <w:p w14:paraId="37AD083F" w14:textId="77777777" w:rsidR="00AD20EE" w:rsidRPr="00307897" w:rsidRDefault="00AD20EE" w:rsidP="008A1FD3">
      <w:pPr>
        <w:rPr>
          <w:rFonts w:eastAsia="Times New Roman"/>
          <w:sz w:val="21"/>
          <w:szCs w:val="21"/>
        </w:rPr>
      </w:pPr>
      <w:r w:rsidRPr="00307897">
        <w:rPr>
          <w:rStyle w:val="FootnoteReference"/>
          <w:sz w:val="21"/>
          <w:szCs w:val="21"/>
        </w:rPr>
        <w:footnoteRef/>
      </w:r>
      <w:r w:rsidRPr="00307897">
        <w:rPr>
          <w:sz w:val="21"/>
          <w:szCs w:val="21"/>
        </w:rPr>
        <w:t xml:space="preserve"> “Not only do local units of government lack direct control of waters within their borders, another legacy of the 19th and 20th century centralization of water is the assumption that state regulation preempts indirect as well as direct local control because it is a matter of statewide concern.” </w:t>
      </w:r>
      <w:r w:rsidRPr="00307897">
        <w:rPr>
          <w:rFonts w:eastAsia="Times New Roman"/>
          <w:sz w:val="21"/>
          <w:szCs w:val="21"/>
        </w:rPr>
        <w:t xml:space="preserve">A. Dan </w:t>
      </w:r>
      <w:proofErr w:type="spellStart"/>
      <w:r w:rsidRPr="00307897">
        <w:rPr>
          <w:rFonts w:eastAsia="Times New Roman"/>
          <w:sz w:val="21"/>
          <w:szCs w:val="21"/>
        </w:rPr>
        <w:t>Tarlock</w:t>
      </w:r>
      <w:proofErr w:type="spellEnd"/>
      <w:r w:rsidRPr="00307897">
        <w:rPr>
          <w:rFonts w:eastAsia="Times New Roman"/>
          <w:sz w:val="21"/>
          <w:szCs w:val="21"/>
        </w:rPr>
        <w:t xml:space="preserve">, </w:t>
      </w:r>
      <w:proofErr w:type="gramStart"/>
      <w:r w:rsidRPr="00307897">
        <w:rPr>
          <w:rFonts w:eastAsia="Times New Roman"/>
          <w:i/>
          <w:sz w:val="21"/>
          <w:szCs w:val="21"/>
        </w:rPr>
        <w:t>The</w:t>
      </w:r>
      <w:proofErr w:type="gramEnd"/>
      <w:r w:rsidRPr="00307897">
        <w:rPr>
          <w:rFonts w:eastAsia="Times New Roman"/>
          <w:i/>
          <w:sz w:val="21"/>
          <w:szCs w:val="21"/>
        </w:rPr>
        <w:t xml:space="preserve"> Potential Role of Local Governments in Watershed Management</w:t>
      </w:r>
      <w:r w:rsidRPr="00307897">
        <w:rPr>
          <w:rFonts w:eastAsia="Times New Roman"/>
          <w:sz w:val="21"/>
          <w:szCs w:val="21"/>
        </w:rPr>
        <w:t xml:space="preserve">, 20 </w:t>
      </w:r>
      <w:r w:rsidRPr="00303C72">
        <w:rPr>
          <w:rFonts w:eastAsia="Times New Roman"/>
          <w:smallCaps/>
          <w:sz w:val="21"/>
          <w:szCs w:val="21"/>
        </w:rPr>
        <w:t xml:space="preserve">Pace </w:t>
      </w:r>
      <w:proofErr w:type="spellStart"/>
      <w:r w:rsidRPr="00303C72">
        <w:rPr>
          <w:rFonts w:eastAsia="Times New Roman"/>
          <w:smallCaps/>
          <w:sz w:val="21"/>
          <w:szCs w:val="21"/>
        </w:rPr>
        <w:t>Envtl</w:t>
      </w:r>
      <w:proofErr w:type="spellEnd"/>
      <w:r w:rsidRPr="00303C72">
        <w:rPr>
          <w:rFonts w:eastAsia="Times New Roman"/>
          <w:smallCaps/>
          <w:sz w:val="21"/>
          <w:szCs w:val="21"/>
        </w:rPr>
        <w:t>. L. Rev</w:t>
      </w:r>
      <w:r w:rsidRPr="00307897">
        <w:rPr>
          <w:rFonts w:eastAsia="Times New Roman"/>
          <w:sz w:val="21"/>
          <w:szCs w:val="21"/>
        </w:rPr>
        <w:t>. 149, 164 (2002).</w:t>
      </w:r>
    </w:p>
  </w:footnote>
  <w:footnote w:id="23">
    <w:p w14:paraId="4899D484" w14:textId="77777777" w:rsidR="00AD20EE" w:rsidRPr="00307897" w:rsidRDefault="00AD20EE" w:rsidP="00355663">
      <w:pPr>
        <w:pStyle w:val="FootnoteText"/>
        <w:rPr>
          <w:sz w:val="21"/>
          <w:szCs w:val="21"/>
        </w:rPr>
      </w:pPr>
      <w:r w:rsidRPr="00307897">
        <w:rPr>
          <w:rStyle w:val="FootnoteReference"/>
          <w:sz w:val="21"/>
          <w:szCs w:val="21"/>
        </w:rPr>
        <w:footnoteRef/>
      </w:r>
      <w:r w:rsidRPr="00307897">
        <w:rPr>
          <w:sz w:val="21"/>
          <w:szCs w:val="21"/>
        </w:rPr>
        <w:t xml:space="preserve"> </w:t>
      </w:r>
      <w:r>
        <w:rPr>
          <w:i/>
          <w:sz w:val="21"/>
          <w:szCs w:val="21"/>
        </w:rPr>
        <w:t>E.g.,</w:t>
      </w:r>
      <w:r>
        <w:rPr>
          <w:sz w:val="21"/>
          <w:szCs w:val="21"/>
        </w:rPr>
        <w:t xml:space="preserve"> </w:t>
      </w:r>
      <w:r w:rsidRPr="00307897">
        <w:rPr>
          <w:sz w:val="21"/>
          <w:szCs w:val="21"/>
        </w:rPr>
        <w:t>Watershed Investment District Proposal</w:t>
      </w:r>
      <w:r>
        <w:rPr>
          <w:sz w:val="21"/>
          <w:szCs w:val="21"/>
        </w:rPr>
        <w:t xml:space="preserve">, </w:t>
      </w:r>
      <w:r>
        <w:rPr>
          <w:i/>
          <w:sz w:val="21"/>
          <w:szCs w:val="21"/>
        </w:rPr>
        <w:t>available at</w:t>
      </w:r>
      <w:r w:rsidRPr="00307897">
        <w:rPr>
          <w:sz w:val="21"/>
          <w:szCs w:val="21"/>
        </w:rPr>
        <w:t xml:space="preserve"> http://www.govlink.org/watersheds/9/plan-implementation/FundingMechanisms.aspx</w:t>
      </w:r>
      <w:r>
        <w:rPr>
          <w:sz w:val="21"/>
          <w:szCs w:val="21"/>
        </w:rPr>
        <w:t>.</w:t>
      </w:r>
    </w:p>
  </w:footnote>
  <w:footnote w:id="24">
    <w:p w14:paraId="2E3F5E21" w14:textId="4089C977" w:rsidR="00AD20EE" w:rsidRPr="00355663" w:rsidRDefault="00AD20EE">
      <w:pPr>
        <w:pStyle w:val="FootnoteText"/>
        <w:rPr>
          <w:sz w:val="21"/>
          <w:szCs w:val="21"/>
        </w:rPr>
      </w:pPr>
      <w:r w:rsidRPr="00355663">
        <w:rPr>
          <w:rStyle w:val="FootnoteReference"/>
          <w:sz w:val="21"/>
          <w:szCs w:val="21"/>
        </w:rPr>
        <w:footnoteRef/>
      </w:r>
      <w:r w:rsidRPr="00355663">
        <w:rPr>
          <w:sz w:val="21"/>
          <w:szCs w:val="21"/>
        </w:rPr>
        <w:t xml:space="preserve"> While the importance of documenting surface water use and availability is widely acknowledged, a similar understanding of groundwater resources has lagged far behind. Ironically, groundwater resources directly provide up to 45% of water consumed by irrigation and domestic use. </w:t>
      </w:r>
      <w:r w:rsidRPr="00355663">
        <w:rPr>
          <w:color w:val="1C1C1C"/>
          <w:sz w:val="21"/>
          <w:szCs w:val="21"/>
        </w:rPr>
        <w:t xml:space="preserve">Gary </w:t>
      </w:r>
      <w:proofErr w:type="spellStart"/>
      <w:r w:rsidRPr="00355663">
        <w:rPr>
          <w:color w:val="1C1C1C"/>
          <w:sz w:val="21"/>
          <w:szCs w:val="21"/>
        </w:rPr>
        <w:t>Bryner</w:t>
      </w:r>
      <w:proofErr w:type="spellEnd"/>
      <w:r w:rsidRPr="00355663">
        <w:rPr>
          <w:color w:val="1C1C1C"/>
          <w:sz w:val="21"/>
          <w:szCs w:val="21"/>
        </w:rPr>
        <w:t xml:space="preserve"> &amp; Elizabeth Purcell, </w:t>
      </w:r>
      <w:r w:rsidRPr="00355663">
        <w:rPr>
          <w:i/>
          <w:color w:val="1C1C1C"/>
          <w:sz w:val="21"/>
          <w:szCs w:val="21"/>
        </w:rPr>
        <w:t>Groundwater Law Sourcebook of the Western United States</w:t>
      </w:r>
      <w:r w:rsidRPr="00355663">
        <w:rPr>
          <w:color w:val="1C1C1C"/>
          <w:sz w:val="21"/>
          <w:szCs w:val="21"/>
        </w:rPr>
        <w:t xml:space="preserve">, 1 (2003). </w:t>
      </w:r>
      <w:r w:rsidRPr="00355663">
        <w:rPr>
          <w:sz w:val="21"/>
          <w:szCs w:val="21"/>
        </w:rPr>
        <w:t xml:space="preserve">In certain parts of the country, ground water contributions account for as much as 80% of total water use. </w:t>
      </w:r>
      <w:r w:rsidRPr="00355663">
        <w:rPr>
          <w:color w:val="1C1C1C"/>
          <w:sz w:val="21"/>
          <w:szCs w:val="21"/>
        </w:rPr>
        <w:t xml:space="preserve">Cal. Dep't of Water Res., Bulletin 118, California's Ground Water 140 (2003) (groundwater furnishes over 80% of the water used by agricultural and urban users in the Central Coast of California). </w:t>
      </w:r>
      <w:r w:rsidRPr="00355663">
        <w:rPr>
          <w:sz w:val="21"/>
          <w:szCs w:val="21"/>
        </w:rPr>
        <w:t>As a direct result, over-drafting of groundwater and its associated negative impacts, remain a serious problem in vast areas of the High Plains (including the Ogallala Aquifer), Pacific Northwest, and Southwest.</w:t>
      </w:r>
      <w:r w:rsidRPr="00355663">
        <w:rPr>
          <w:color w:val="1C1C1C"/>
          <w:sz w:val="21"/>
          <w:szCs w:val="21"/>
        </w:rPr>
        <w:t xml:space="preserve"> U.S. Geological Survey, Fact Sheet 103-3, Ground-Water Depletion </w:t>
      </w:r>
      <w:proofErr w:type="gramStart"/>
      <w:r w:rsidRPr="00355663">
        <w:rPr>
          <w:color w:val="1C1C1C"/>
          <w:sz w:val="21"/>
          <w:szCs w:val="21"/>
        </w:rPr>
        <w:t>Across</w:t>
      </w:r>
      <w:proofErr w:type="gramEnd"/>
      <w:r w:rsidRPr="00355663">
        <w:rPr>
          <w:color w:val="1C1C1C"/>
          <w:sz w:val="21"/>
          <w:szCs w:val="21"/>
        </w:rPr>
        <w:t xml:space="preserve"> the Nation 3-4 (2003), </w:t>
      </w:r>
      <w:r w:rsidRPr="00355663">
        <w:rPr>
          <w:i/>
          <w:iCs/>
          <w:color w:val="1C1C1C"/>
          <w:sz w:val="21"/>
          <w:szCs w:val="21"/>
        </w:rPr>
        <w:t>available at</w:t>
      </w:r>
      <w:r w:rsidRPr="00355663">
        <w:rPr>
          <w:color w:val="1C1C1C"/>
          <w:sz w:val="21"/>
          <w:szCs w:val="21"/>
        </w:rPr>
        <w:t xml:space="preserve"> http://pubs.usgs.gov/fs/fs-103-03/JBartolinoFS&lt;282.13.04&lt;29.pdf.</w:t>
      </w:r>
    </w:p>
  </w:footnote>
  <w:footnote w:id="25">
    <w:p w14:paraId="76F72E77" w14:textId="2207E8EA" w:rsidR="00AD20EE" w:rsidRPr="009F0613"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00674E25" w:rsidRPr="00307897">
        <w:rPr>
          <w:sz w:val="21"/>
          <w:szCs w:val="21"/>
        </w:rPr>
        <w:t xml:space="preserve">Minnesota stands as a leading example of a state that has embraced </w:t>
      </w:r>
      <w:r w:rsidR="00674E25">
        <w:rPr>
          <w:sz w:val="21"/>
          <w:szCs w:val="21"/>
        </w:rPr>
        <w:t>a watershed planning approach.  The state’s One Watershed One Plan is a part of larger state statutory scheme</w:t>
      </w:r>
      <w:r w:rsidR="00674E25" w:rsidRPr="00307897">
        <w:rPr>
          <w:sz w:val="21"/>
          <w:szCs w:val="21"/>
        </w:rPr>
        <w:t>.</w:t>
      </w:r>
      <w:r w:rsidR="00674E25">
        <w:rPr>
          <w:sz w:val="21"/>
          <w:szCs w:val="21"/>
        </w:rPr>
        <w:t xml:space="preserve">  The Minnesota Board of Water and Soil Resources explains the mission of the plan as aligning “</w:t>
      </w:r>
      <w:r w:rsidR="00674E25" w:rsidRPr="00481EA5">
        <w:rPr>
          <w:sz w:val="21"/>
          <w:szCs w:val="21"/>
        </w:rPr>
        <w:t>local water planning on major watershed boundaries with state strategies towards prioritized, targeted and measurable implementation plans</w:t>
      </w:r>
      <w:r w:rsidR="00674E25">
        <w:rPr>
          <w:sz w:val="21"/>
          <w:szCs w:val="21"/>
        </w:rPr>
        <w:t xml:space="preserve">.”  One Watershed, One Plan, </w:t>
      </w:r>
      <w:r w:rsidR="00674E25" w:rsidRPr="00F56FB0">
        <w:rPr>
          <w:i/>
          <w:sz w:val="21"/>
          <w:szCs w:val="21"/>
        </w:rPr>
        <w:t>a</w:t>
      </w:r>
      <w:r w:rsidR="00674E25">
        <w:rPr>
          <w:i/>
          <w:sz w:val="21"/>
          <w:szCs w:val="21"/>
        </w:rPr>
        <w:t>vailable at</w:t>
      </w:r>
      <w:r w:rsidR="009F0613">
        <w:rPr>
          <w:sz w:val="21"/>
          <w:szCs w:val="21"/>
        </w:rPr>
        <w:t xml:space="preserve"> </w:t>
      </w:r>
      <w:r w:rsidR="009F0613" w:rsidRPr="009F0613">
        <w:rPr>
          <w:sz w:val="21"/>
          <w:szCs w:val="21"/>
        </w:rPr>
        <w:t>http://www.bwsr.state.mn.us/planning/1W1P/index.html</w:t>
      </w:r>
      <w:r w:rsidR="009F0613">
        <w:rPr>
          <w:sz w:val="21"/>
          <w:szCs w:val="21"/>
        </w:rPr>
        <w:t>.</w:t>
      </w:r>
    </w:p>
  </w:footnote>
  <w:footnote w:id="26">
    <w:p w14:paraId="03BE74F5" w14:textId="77777777" w:rsidR="00AD20EE" w:rsidRPr="00307897" w:rsidRDefault="00AD20EE" w:rsidP="003B5D2D">
      <w:pPr>
        <w:rPr>
          <w:rFonts w:eastAsia="Times New Roman"/>
          <w:sz w:val="21"/>
          <w:szCs w:val="21"/>
        </w:rPr>
      </w:pPr>
      <w:r w:rsidRPr="00307897">
        <w:rPr>
          <w:rStyle w:val="FootnoteReference"/>
          <w:sz w:val="21"/>
          <w:szCs w:val="21"/>
        </w:rPr>
        <w:footnoteRef/>
      </w:r>
      <w:r w:rsidRPr="00307897">
        <w:rPr>
          <w:sz w:val="21"/>
          <w:szCs w:val="21"/>
        </w:rPr>
        <w:t xml:space="preserve"> </w:t>
      </w:r>
      <w:r w:rsidRPr="00307897">
        <w:rPr>
          <w:rFonts w:eastAsia="Times New Roman"/>
          <w:sz w:val="21"/>
          <w:szCs w:val="21"/>
        </w:rPr>
        <w:t xml:space="preserve">Barton H. Thompson, Jr., </w:t>
      </w:r>
      <w:r w:rsidRPr="00307897">
        <w:rPr>
          <w:rFonts w:eastAsia="Times New Roman"/>
          <w:i/>
          <w:sz w:val="21"/>
          <w:szCs w:val="21"/>
        </w:rPr>
        <w:t>Beyond Connections: Pursuing Multidimensional Conjunctive Management</w:t>
      </w:r>
      <w:r w:rsidRPr="00307897">
        <w:rPr>
          <w:rFonts w:eastAsia="Times New Roman"/>
          <w:sz w:val="21"/>
          <w:szCs w:val="21"/>
        </w:rPr>
        <w:t>, 47 Idaho L. Rev. 273, 281 (2011).</w:t>
      </w:r>
    </w:p>
  </w:footnote>
  <w:footnote w:id="27">
    <w:p w14:paraId="3C9999DF" w14:textId="77777777"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Pr="00307897">
        <w:rPr>
          <w:color w:val="030404"/>
          <w:sz w:val="21"/>
          <w:szCs w:val="21"/>
        </w:rPr>
        <w:t xml:space="preserve">John R. Nolon, </w:t>
      </w:r>
      <w:proofErr w:type="gramStart"/>
      <w:r w:rsidRPr="00307897">
        <w:rPr>
          <w:i/>
          <w:iCs/>
          <w:color w:val="030404"/>
          <w:sz w:val="21"/>
          <w:szCs w:val="21"/>
        </w:rPr>
        <w:t>The</w:t>
      </w:r>
      <w:proofErr w:type="gramEnd"/>
      <w:r w:rsidRPr="00307897">
        <w:rPr>
          <w:i/>
          <w:iCs/>
          <w:color w:val="030404"/>
          <w:sz w:val="21"/>
          <w:szCs w:val="21"/>
        </w:rPr>
        <w:t xml:space="preserve"> Land Use Stabilization Wedge Strategy: Shifting Ground to Mitigate Climate Change</w:t>
      </w:r>
      <w:r w:rsidRPr="00307897">
        <w:rPr>
          <w:color w:val="030404"/>
          <w:sz w:val="21"/>
          <w:szCs w:val="21"/>
        </w:rPr>
        <w:t>, 34 WM. &amp; MARY ENVTL. L. &amp; POL’Y REV. 1, 11 (2009).</w:t>
      </w:r>
    </w:p>
  </w:footnote>
  <w:footnote w:id="28">
    <w:p w14:paraId="772A19D3" w14:textId="24A3B7AC" w:rsidR="00AD20EE" w:rsidRPr="00307897" w:rsidRDefault="00AD20EE" w:rsidP="003B5D2D">
      <w:pPr>
        <w:widowControl w:val="0"/>
        <w:autoSpaceDE w:val="0"/>
        <w:autoSpaceDN w:val="0"/>
        <w:adjustRightInd w:val="0"/>
        <w:rPr>
          <w:rFonts w:cs="Times"/>
          <w:sz w:val="21"/>
          <w:szCs w:val="21"/>
        </w:rPr>
      </w:pPr>
      <w:r w:rsidRPr="00307897">
        <w:rPr>
          <w:rStyle w:val="FootnoteReference"/>
          <w:sz w:val="21"/>
          <w:szCs w:val="21"/>
        </w:rPr>
        <w:footnoteRef/>
      </w:r>
      <w:r w:rsidRPr="00307897">
        <w:rPr>
          <w:sz w:val="21"/>
          <w:szCs w:val="21"/>
        </w:rPr>
        <w:t xml:space="preserve"> The EPA’s list of negative impacts includes: decreases in water quality, aquatic habitat health, and water quantity. </w:t>
      </w:r>
      <w:r w:rsidRPr="00307897">
        <w:rPr>
          <w:color w:val="030404"/>
          <w:sz w:val="21"/>
          <w:szCs w:val="21"/>
        </w:rPr>
        <w:t>U.S.</w:t>
      </w:r>
      <w:r>
        <w:rPr>
          <w:color w:val="030404"/>
          <w:sz w:val="21"/>
          <w:szCs w:val="21"/>
        </w:rPr>
        <w:t xml:space="preserve"> </w:t>
      </w:r>
      <w:proofErr w:type="spellStart"/>
      <w:r w:rsidRPr="00307897">
        <w:rPr>
          <w:color w:val="030404"/>
          <w:sz w:val="21"/>
          <w:szCs w:val="21"/>
        </w:rPr>
        <w:t>Envtl</w:t>
      </w:r>
      <w:proofErr w:type="spellEnd"/>
      <w:r w:rsidRPr="00307897">
        <w:rPr>
          <w:color w:val="030404"/>
          <w:sz w:val="21"/>
          <w:szCs w:val="21"/>
        </w:rPr>
        <w:t>.</w:t>
      </w:r>
      <w:r>
        <w:rPr>
          <w:color w:val="030404"/>
          <w:sz w:val="21"/>
          <w:szCs w:val="21"/>
        </w:rPr>
        <w:t xml:space="preserve"> </w:t>
      </w:r>
      <w:r w:rsidRPr="00307897">
        <w:rPr>
          <w:color w:val="030404"/>
          <w:sz w:val="21"/>
          <w:szCs w:val="21"/>
        </w:rPr>
        <w:t>Prot.</w:t>
      </w:r>
      <w:r>
        <w:rPr>
          <w:color w:val="030404"/>
          <w:sz w:val="21"/>
          <w:szCs w:val="21"/>
        </w:rPr>
        <w:t xml:space="preserve"> </w:t>
      </w:r>
      <w:r w:rsidRPr="00307897">
        <w:rPr>
          <w:color w:val="030404"/>
          <w:sz w:val="21"/>
          <w:szCs w:val="21"/>
        </w:rPr>
        <w:t xml:space="preserve">Agency, </w:t>
      </w:r>
      <w:r w:rsidRPr="008A2F56">
        <w:rPr>
          <w:smallCaps/>
          <w:color w:val="030404"/>
          <w:sz w:val="21"/>
          <w:szCs w:val="21"/>
        </w:rPr>
        <w:t>Climate Change Adaptation Plan</w:t>
      </w:r>
      <w:r>
        <w:rPr>
          <w:color w:val="030404"/>
          <w:sz w:val="21"/>
          <w:szCs w:val="21"/>
        </w:rPr>
        <w:t xml:space="preserve"> 18</w:t>
      </w:r>
      <w:r w:rsidRPr="00307897">
        <w:rPr>
          <w:color w:val="030404"/>
          <w:sz w:val="21"/>
          <w:szCs w:val="21"/>
        </w:rPr>
        <w:t xml:space="preserve"> (June 201</w:t>
      </w:r>
      <w:r>
        <w:rPr>
          <w:color w:val="030404"/>
          <w:sz w:val="21"/>
          <w:szCs w:val="21"/>
        </w:rPr>
        <w:t>4</w:t>
      </w:r>
      <w:r w:rsidRPr="00307897">
        <w:rPr>
          <w:color w:val="030404"/>
          <w:sz w:val="21"/>
          <w:szCs w:val="21"/>
        </w:rPr>
        <w:t xml:space="preserve">), </w:t>
      </w:r>
      <w:r w:rsidRPr="00307897">
        <w:rPr>
          <w:i/>
          <w:color w:val="030404"/>
          <w:sz w:val="21"/>
          <w:szCs w:val="21"/>
        </w:rPr>
        <w:t>available at</w:t>
      </w:r>
      <w:r w:rsidRPr="00307897">
        <w:rPr>
          <w:color w:val="030404"/>
          <w:sz w:val="21"/>
          <w:szCs w:val="21"/>
        </w:rPr>
        <w:t xml:space="preserve"> http://epa.gov/climatechange/pdfs/EPA-climate-change-adaptation-plan-final- for-public-comment-2-7-13.pdf</w:t>
      </w:r>
      <w:r>
        <w:rPr>
          <w:color w:val="030404"/>
          <w:sz w:val="21"/>
          <w:szCs w:val="21"/>
        </w:rPr>
        <w:t>.</w:t>
      </w:r>
    </w:p>
  </w:footnote>
  <w:footnote w:id="29">
    <w:p w14:paraId="252DBAE6" w14:textId="6BFD8F26" w:rsidR="00AD20EE" w:rsidRPr="00307897" w:rsidRDefault="00AD20EE" w:rsidP="003B5D2D">
      <w:pPr>
        <w:pStyle w:val="ColorfulList-Accent11"/>
        <w:widowControl w:val="0"/>
        <w:autoSpaceDE w:val="0"/>
        <w:autoSpaceDN w:val="0"/>
        <w:adjustRightInd w:val="0"/>
        <w:ind w:left="0"/>
        <w:rPr>
          <w:rFonts w:cs="Times"/>
          <w:sz w:val="21"/>
          <w:szCs w:val="21"/>
        </w:rPr>
      </w:pPr>
      <w:r w:rsidRPr="00307897">
        <w:rPr>
          <w:rStyle w:val="FootnoteReference"/>
          <w:sz w:val="21"/>
          <w:szCs w:val="21"/>
        </w:rPr>
        <w:footnoteRef/>
      </w:r>
      <w:r>
        <w:rPr>
          <w:sz w:val="21"/>
          <w:szCs w:val="21"/>
        </w:rPr>
        <w:t xml:space="preserve"> Robin </w:t>
      </w:r>
      <w:proofErr w:type="spellStart"/>
      <w:r>
        <w:rPr>
          <w:sz w:val="21"/>
          <w:szCs w:val="21"/>
        </w:rPr>
        <w:t>Kundis</w:t>
      </w:r>
      <w:proofErr w:type="spellEnd"/>
      <w:r>
        <w:rPr>
          <w:sz w:val="21"/>
          <w:szCs w:val="21"/>
        </w:rPr>
        <w:t xml:space="preserve"> Craig posits</w:t>
      </w:r>
      <w:r w:rsidRPr="00307897">
        <w:rPr>
          <w:sz w:val="21"/>
          <w:szCs w:val="21"/>
        </w:rPr>
        <w:t xml:space="preserve"> that “</w:t>
      </w:r>
      <w:r w:rsidRPr="00307897">
        <w:rPr>
          <w:color w:val="030404"/>
          <w:sz w:val="21"/>
          <w:szCs w:val="21"/>
        </w:rPr>
        <w:t xml:space="preserve">ecosystems . . . already coping with other problems, such as pollution, habitat destruction, and loss of biodiversity, are [also] more vulnerable to climate change impacts than systems not already suffering from such stresses.” Robin </w:t>
      </w:r>
      <w:proofErr w:type="spellStart"/>
      <w:r w:rsidRPr="00307897">
        <w:rPr>
          <w:color w:val="030404"/>
          <w:sz w:val="21"/>
          <w:szCs w:val="21"/>
        </w:rPr>
        <w:t>Kundis</w:t>
      </w:r>
      <w:proofErr w:type="spellEnd"/>
      <w:r w:rsidRPr="00307897">
        <w:rPr>
          <w:color w:val="030404"/>
          <w:sz w:val="21"/>
          <w:szCs w:val="21"/>
        </w:rPr>
        <w:t xml:space="preserve"> Craig, </w:t>
      </w:r>
      <w:r w:rsidRPr="00307897">
        <w:rPr>
          <w:i/>
          <w:iCs/>
          <w:color w:val="030404"/>
          <w:sz w:val="21"/>
          <w:szCs w:val="21"/>
        </w:rPr>
        <w:t>Principles for Climate Change Adaptation Law</w:t>
      </w:r>
      <w:r w:rsidRPr="00307897">
        <w:rPr>
          <w:color w:val="030404"/>
          <w:sz w:val="21"/>
          <w:szCs w:val="21"/>
        </w:rPr>
        <w:t xml:space="preserve">, 34 </w:t>
      </w:r>
      <w:proofErr w:type="spellStart"/>
      <w:r w:rsidRPr="008A2F56">
        <w:rPr>
          <w:smallCaps/>
          <w:color w:val="030404"/>
          <w:sz w:val="21"/>
          <w:szCs w:val="21"/>
        </w:rPr>
        <w:t>Harv</w:t>
      </w:r>
      <w:proofErr w:type="spellEnd"/>
      <w:r w:rsidRPr="008A2F56">
        <w:rPr>
          <w:smallCaps/>
          <w:color w:val="030404"/>
          <w:sz w:val="21"/>
          <w:szCs w:val="21"/>
        </w:rPr>
        <w:t xml:space="preserve">. </w:t>
      </w:r>
      <w:proofErr w:type="spellStart"/>
      <w:r w:rsidRPr="008A2F56">
        <w:rPr>
          <w:smallCaps/>
          <w:color w:val="030404"/>
          <w:sz w:val="21"/>
          <w:szCs w:val="21"/>
        </w:rPr>
        <w:t>Envtl</w:t>
      </w:r>
      <w:proofErr w:type="spellEnd"/>
      <w:r w:rsidRPr="008A2F56">
        <w:rPr>
          <w:smallCaps/>
          <w:color w:val="030404"/>
          <w:sz w:val="21"/>
          <w:szCs w:val="21"/>
        </w:rPr>
        <w:t>. L. Rev</w:t>
      </w:r>
      <w:r w:rsidRPr="00307897">
        <w:rPr>
          <w:color w:val="030404"/>
          <w:sz w:val="21"/>
          <w:szCs w:val="21"/>
        </w:rPr>
        <w:t>. 9, 20-21 (2010).</w:t>
      </w:r>
    </w:p>
  </w:footnote>
  <w:footnote w:id="30">
    <w:p w14:paraId="6A61B3D3" w14:textId="6BDCF514"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Pr="008A2F56">
        <w:rPr>
          <w:sz w:val="21"/>
          <w:szCs w:val="21"/>
        </w:rPr>
        <w:t xml:space="preserve">American Planning Association, </w:t>
      </w:r>
      <w:r w:rsidRPr="008A2F56">
        <w:rPr>
          <w:smallCaps/>
          <w:sz w:val="21"/>
          <w:szCs w:val="21"/>
        </w:rPr>
        <w:t xml:space="preserve">Growing Smart Legislative Guidebook: Model Statutes </w:t>
      </w:r>
      <w:r>
        <w:rPr>
          <w:smallCaps/>
          <w:sz w:val="21"/>
          <w:szCs w:val="21"/>
        </w:rPr>
        <w:t>f</w:t>
      </w:r>
      <w:r w:rsidRPr="008A2F56">
        <w:rPr>
          <w:smallCaps/>
          <w:sz w:val="21"/>
          <w:szCs w:val="21"/>
        </w:rPr>
        <w:t xml:space="preserve">or Planning </w:t>
      </w:r>
      <w:r>
        <w:rPr>
          <w:smallCaps/>
          <w:sz w:val="21"/>
          <w:szCs w:val="21"/>
        </w:rPr>
        <w:t>a</w:t>
      </w:r>
      <w:r w:rsidRPr="008A2F56">
        <w:rPr>
          <w:smallCaps/>
          <w:sz w:val="21"/>
          <w:szCs w:val="21"/>
        </w:rPr>
        <w:t xml:space="preserve">nd </w:t>
      </w:r>
      <w:r>
        <w:rPr>
          <w:smallCaps/>
          <w:sz w:val="21"/>
          <w:szCs w:val="21"/>
        </w:rPr>
        <w:t>t</w:t>
      </w:r>
      <w:r w:rsidRPr="008A2F56">
        <w:rPr>
          <w:smallCaps/>
          <w:sz w:val="21"/>
          <w:szCs w:val="21"/>
        </w:rPr>
        <w:t xml:space="preserve">he Management </w:t>
      </w:r>
      <w:r>
        <w:rPr>
          <w:smallCaps/>
          <w:sz w:val="21"/>
          <w:szCs w:val="21"/>
        </w:rPr>
        <w:t>o</w:t>
      </w:r>
      <w:r w:rsidRPr="008A2F56">
        <w:rPr>
          <w:smallCaps/>
          <w:sz w:val="21"/>
          <w:szCs w:val="21"/>
        </w:rPr>
        <w:t>f Change</w:t>
      </w:r>
      <w:r w:rsidRPr="008A2F56">
        <w:rPr>
          <w:sz w:val="21"/>
          <w:szCs w:val="21"/>
        </w:rPr>
        <w:t xml:space="preserve"> </w:t>
      </w:r>
      <w:r w:rsidRPr="00307897">
        <w:rPr>
          <w:sz w:val="21"/>
          <w:szCs w:val="21"/>
        </w:rPr>
        <w:t>7–151</w:t>
      </w:r>
      <w:r w:rsidRPr="008A2F56">
        <w:rPr>
          <w:sz w:val="21"/>
          <w:szCs w:val="21"/>
        </w:rPr>
        <w:t xml:space="preserve"> (Stuart </w:t>
      </w:r>
      <w:proofErr w:type="spellStart"/>
      <w:r w:rsidRPr="008A2F56">
        <w:rPr>
          <w:sz w:val="21"/>
          <w:szCs w:val="21"/>
        </w:rPr>
        <w:t>Meck</w:t>
      </w:r>
      <w:proofErr w:type="spellEnd"/>
      <w:r w:rsidRPr="008A2F56">
        <w:rPr>
          <w:sz w:val="21"/>
          <w:szCs w:val="21"/>
        </w:rPr>
        <w:t xml:space="preserve"> ed., 2002), </w:t>
      </w:r>
      <w:r w:rsidRPr="008A2F56">
        <w:rPr>
          <w:i/>
          <w:sz w:val="21"/>
          <w:szCs w:val="21"/>
        </w:rPr>
        <w:t>available at</w:t>
      </w:r>
      <w:r w:rsidRPr="008A2F56">
        <w:rPr>
          <w:sz w:val="21"/>
          <w:szCs w:val="21"/>
        </w:rPr>
        <w:t xml:space="preserve"> http://www.planning.org/growingsmart/guidebook/print/ </w:t>
      </w:r>
      <w:r>
        <w:rPr>
          <w:sz w:val="21"/>
          <w:szCs w:val="21"/>
        </w:rPr>
        <w:t>American Planning Association Legislative Guidebook</w:t>
      </w:r>
      <w:r w:rsidRPr="00307897">
        <w:rPr>
          <w:sz w:val="21"/>
          <w:szCs w:val="21"/>
        </w:rPr>
        <w:t>.</w:t>
      </w:r>
    </w:p>
  </w:footnote>
  <w:footnote w:id="31">
    <w:p w14:paraId="413CA661" w14:textId="5C17E5E5"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Pr>
          <w:sz w:val="21"/>
          <w:szCs w:val="21"/>
        </w:rPr>
        <w:t>Bryan, s</w:t>
      </w:r>
      <w:r w:rsidRPr="00303C72">
        <w:rPr>
          <w:i/>
          <w:sz w:val="21"/>
          <w:szCs w:val="21"/>
        </w:rPr>
        <w:t>upra</w:t>
      </w:r>
      <w:r w:rsidRPr="00307897">
        <w:rPr>
          <w:sz w:val="21"/>
          <w:szCs w:val="21"/>
        </w:rPr>
        <w:t xml:space="preserve"> note 2</w:t>
      </w:r>
      <w:r>
        <w:rPr>
          <w:sz w:val="21"/>
          <w:szCs w:val="21"/>
        </w:rPr>
        <w:t>1</w:t>
      </w:r>
      <w:r w:rsidRPr="00307897">
        <w:rPr>
          <w:sz w:val="21"/>
          <w:szCs w:val="21"/>
        </w:rPr>
        <w:t>, at 47.</w:t>
      </w:r>
    </w:p>
  </w:footnote>
  <w:footnote w:id="32">
    <w:p w14:paraId="5E375A0E" w14:textId="77777777"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Pr="00B84F21">
        <w:rPr>
          <w:i/>
          <w:sz w:val="21"/>
          <w:szCs w:val="21"/>
        </w:rPr>
        <w:t>See generally</w:t>
      </w:r>
      <w:r w:rsidRPr="00307897">
        <w:rPr>
          <w:sz w:val="21"/>
          <w:szCs w:val="21"/>
        </w:rPr>
        <w:t xml:space="preserve"> Bonnie </w:t>
      </w:r>
      <w:proofErr w:type="spellStart"/>
      <w:r w:rsidRPr="00307897">
        <w:rPr>
          <w:sz w:val="21"/>
          <w:szCs w:val="21"/>
        </w:rPr>
        <w:t>Saliba</w:t>
      </w:r>
      <w:proofErr w:type="spellEnd"/>
      <w:r w:rsidRPr="00307897">
        <w:rPr>
          <w:sz w:val="21"/>
          <w:szCs w:val="21"/>
        </w:rPr>
        <w:t xml:space="preserve"> &amp; David B. Bush, </w:t>
      </w:r>
      <w:r w:rsidRPr="00B84F21">
        <w:rPr>
          <w:i/>
          <w:sz w:val="21"/>
          <w:szCs w:val="21"/>
        </w:rPr>
        <w:t>Water Markets in Theory and Practice: Market Transfers, Water Values, and Public Policy</w:t>
      </w:r>
      <w:r w:rsidRPr="00307897">
        <w:rPr>
          <w:sz w:val="21"/>
          <w:szCs w:val="21"/>
        </w:rPr>
        <w:t xml:space="preserve"> (1987); T.L. Anderson, </w:t>
      </w:r>
      <w:r w:rsidRPr="00B84F21">
        <w:rPr>
          <w:i/>
          <w:sz w:val="21"/>
          <w:szCs w:val="21"/>
        </w:rPr>
        <w:t>Water Rights: Scarce Resource Allocation, Bureaucracy, and the Environmen</w:t>
      </w:r>
      <w:r w:rsidRPr="00307897">
        <w:rPr>
          <w:sz w:val="21"/>
          <w:szCs w:val="21"/>
        </w:rPr>
        <w:t xml:space="preserve">t (1983); Bay Area Economic Forum (hereinafter BAEF), </w:t>
      </w:r>
      <w:r w:rsidRPr="00B84F21">
        <w:rPr>
          <w:i/>
          <w:sz w:val="21"/>
          <w:szCs w:val="21"/>
        </w:rPr>
        <w:t>Using Water Better: A Market-Based Approach to California's Water Crisis</w:t>
      </w:r>
      <w:r w:rsidRPr="00307897">
        <w:rPr>
          <w:sz w:val="21"/>
          <w:szCs w:val="21"/>
        </w:rPr>
        <w:t xml:space="preserve"> (1991); Richard W. Wahl, </w:t>
      </w:r>
      <w:r w:rsidRPr="00B84F21">
        <w:rPr>
          <w:i/>
          <w:sz w:val="21"/>
          <w:szCs w:val="21"/>
        </w:rPr>
        <w:t>Water Marketing in California: Past Experience, Future Prospects</w:t>
      </w:r>
      <w:r w:rsidRPr="00307897">
        <w:rPr>
          <w:sz w:val="21"/>
          <w:szCs w:val="21"/>
        </w:rPr>
        <w:t xml:space="preserve"> (1993) (Reason Foundation, Policy Study No. 162, 1993); Charles H. Howe, Dennis R. </w:t>
      </w:r>
      <w:proofErr w:type="spellStart"/>
      <w:r w:rsidRPr="00307897">
        <w:rPr>
          <w:sz w:val="21"/>
          <w:szCs w:val="21"/>
        </w:rPr>
        <w:t>Schurmeier</w:t>
      </w:r>
      <w:proofErr w:type="spellEnd"/>
      <w:r w:rsidRPr="00307897">
        <w:rPr>
          <w:sz w:val="21"/>
          <w:szCs w:val="21"/>
        </w:rPr>
        <w:t xml:space="preserve">, and W. Douglas Shaw Jr., </w:t>
      </w:r>
      <w:r w:rsidRPr="00B84F21">
        <w:rPr>
          <w:i/>
          <w:sz w:val="21"/>
          <w:szCs w:val="21"/>
        </w:rPr>
        <w:t>Innovative Approaches to Water Allocation: The Potential for Water Markets</w:t>
      </w:r>
      <w:r w:rsidRPr="00307897">
        <w:rPr>
          <w:sz w:val="21"/>
          <w:szCs w:val="21"/>
        </w:rPr>
        <w:t xml:space="preserve">, 22 </w:t>
      </w:r>
      <w:r w:rsidRPr="007D18C3">
        <w:rPr>
          <w:smallCaps/>
          <w:sz w:val="21"/>
          <w:szCs w:val="21"/>
        </w:rPr>
        <w:t>Water Resources Res</w:t>
      </w:r>
      <w:r w:rsidRPr="00307897">
        <w:rPr>
          <w:sz w:val="21"/>
          <w:szCs w:val="21"/>
        </w:rPr>
        <w:t xml:space="preserve">. 439 (1986); H.J. Vaux Jr. and Richard E. Howitt, </w:t>
      </w:r>
      <w:r w:rsidRPr="007D18C3">
        <w:rPr>
          <w:i/>
          <w:sz w:val="21"/>
          <w:szCs w:val="21"/>
        </w:rPr>
        <w:t>Managing Water Scarcity: An Evaluation of Interregional Transfers</w:t>
      </w:r>
      <w:r w:rsidRPr="00307897">
        <w:rPr>
          <w:sz w:val="21"/>
          <w:szCs w:val="21"/>
        </w:rPr>
        <w:t xml:space="preserve">, 20 </w:t>
      </w:r>
      <w:r w:rsidRPr="007D18C3">
        <w:rPr>
          <w:smallCaps/>
          <w:sz w:val="21"/>
          <w:szCs w:val="21"/>
        </w:rPr>
        <w:t>Water Resources Res.</w:t>
      </w:r>
      <w:r w:rsidRPr="00307897">
        <w:rPr>
          <w:sz w:val="21"/>
          <w:szCs w:val="21"/>
        </w:rPr>
        <w:t xml:space="preserve"> 785 (1994).</w:t>
      </w:r>
    </w:p>
  </w:footnote>
  <w:footnote w:id="33">
    <w:p w14:paraId="0C86C24D" w14:textId="299E40B4" w:rsidR="00AD20EE" w:rsidRPr="00307897" w:rsidRDefault="00AD20EE" w:rsidP="003B5D2D">
      <w:pPr>
        <w:pStyle w:val="NormalWeb"/>
        <w:spacing w:before="0" w:beforeAutospacing="0" w:after="0" w:afterAutospacing="0"/>
        <w:rPr>
          <w:rFonts w:ascii="Cambria" w:hAnsi="Cambria"/>
          <w:sz w:val="21"/>
          <w:szCs w:val="21"/>
        </w:rPr>
      </w:pPr>
      <w:r w:rsidRPr="00307897">
        <w:rPr>
          <w:rStyle w:val="FootnoteReference"/>
          <w:rFonts w:ascii="Cambria" w:hAnsi="Cambria"/>
          <w:sz w:val="21"/>
          <w:szCs w:val="21"/>
        </w:rPr>
        <w:footnoteRef/>
      </w:r>
      <w:r w:rsidRPr="00307897">
        <w:rPr>
          <w:rFonts w:ascii="Cambria" w:hAnsi="Cambria"/>
          <w:sz w:val="21"/>
          <w:szCs w:val="21"/>
        </w:rPr>
        <w:t xml:space="preserve"> In 2003, a majority of states anticipated water shortages over the subsequent decade, even in the absence of drought conditions. G. Tracy </w:t>
      </w:r>
      <w:proofErr w:type="spellStart"/>
      <w:r w:rsidRPr="00307897">
        <w:rPr>
          <w:rFonts w:ascii="Cambria" w:hAnsi="Cambria"/>
          <w:sz w:val="21"/>
          <w:szCs w:val="21"/>
        </w:rPr>
        <w:t>Mehan</w:t>
      </w:r>
      <w:proofErr w:type="spellEnd"/>
      <w:r w:rsidRPr="00307897">
        <w:rPr>
          <w:rFonts w:ascii="Cambria" w:hAnsi="Cambria"/>
          <w:sz w:val="21"/>
          <w:szCs w:val="21"/>
        </w:rPr>
        <w:t xml:space="preserve"> III, </w:t>
      </w:r>
      <w:r w:rsidRPr="00307897">
        <w:rPr>
          <w:rFonts w:ascii="Cambria" w:hAnsi="Cambria"/>
          <w:i/>
          <w:sz w:val="21"/>
          <w:szCs w:val="21"/>
        </w:rPr>
        <w:t xml:space="preserve">Energy, Climate Change, and Sustainable Water </w:t>
      </w:r>
      <w:r w:rsidRPr="00307897">
        <w:rPr>
          <w:rFonts w:ascii="Cambria" w:hAnsi="Cambria"/>
          <w:i/>
          <w:iCs/>
          <w:sz w:val="21"/>
          <w:szCs w:val="21"/>
        </w:rPr>
        <w:t>Management</w:t>
      </w:r>
      <w:r w:rsidRPr="00307897">
        <w:rPr>
          <w:rFonts w:ascii="Cambria" w:hAnsi="Cambria"/>
          <w:sz w:val="21"/>
          <w:szCs w:val="21"/>
        </w:rPr>
        <w:t>, DAILY ENVT. REP.</w:t>
      </w:r>
      <w:r>
        <w:rPr>
          <w:rFonts w:ascii="Cambria" w:hAnsi="Cambria"/>
          <w:sz w:val="21"/>
          <w:szCs w:val="21"/>
        </w:rPr>
        <w:t xml:space="preserve"> 4 (</w:t>
      </w:r>
      <w:r w:rsidRPr="00307897">
        <w:rPr>
          <w:rFonts w:ascii="Cambria" w:hAnsi="Cambria"/>
          <w:sz w:val="21"/>
          <w:szCs w:val="21"/>
        </w:rPr>
        <w:t>Dec. 4, 2007</w:t>
      </w:r>
      <w:r>
        <w:rPr>
          <w:rFonts w:ascii="Cambria" w:hAnsi="Cambria"/>
          <w:sz w:val="21"/>
          <w:szCs w:val="21"/>
        </w:rPr>
        <w:t>)</w:t>
      </w:r>
      <w:r w:rsidRPr="00307897">
        <w:rPr>
          <w:rFonts w:ascii="Cambria" w:hAnsi="Cambria"/>
          <w:sz w:val="21"/>
          <w:szCs w:val="21"/>
        </w:rPr>
        <w:t>.</w:t>
      </w:r>
    </w:p>
  </w:footnote>
  <w:footnote w:id="34">
    <w:p w14:paraId="28D8B713" w14:textId="77777777" w:rsidR="00AD20EE" w:rsidRPr="00307897" w:rsidRDefault="00AD20EE" w:rsidP="003B5D2D">
      <w:pPr>
        <w:rPr>
          <w:rFonts w:eastAsia="Times New Roman"/>
          <w:sz w:val="21"/>
          <w:szCs w:val="21"/>
        </w:rPr>
      </w:pPr>
      <w:r w:rsidRPr="00307897">
        <w:rPr>
          <w:rStyle w:val="FootnoteReference"/>
          <w:sz w:val="21"/>
          <w:szCs w:val="21"/>
        </w:rPr>
        <w:footnoteRef/>
      </w:r>
      <w:r w:rsidRPr="00307897">
        <w:rPr>
          <w:sz w:val="21"/>
          <w:szCs w:val="21"/>
        </w:rPr>
        <w:t xml:space="preserve"> </w:t>
      </w:r>
      <w:r w:rsidRPr="00307897">
        <w:rPr>
          <w:rFonts w:eastAsia="Times New Roman"/>
          <w:sz w:val="21"/>
          <w:szCs w:val="21"/>
        </w:rPr>
        <w:t xml:space="preserve">Robert David </w:t>
      </w:r>
      <w:proofErr w:type="spellStart"/>
      <w:r w:rsidRPr="00307897">
        <w:rPr>
          <w:rFonts w:eastAsia="Times New Roman"/>
          <w:sz w:val="21"/>
          <w:szCs w:val="21"/>
        </w:rPr>
        <w:t>Pilz</w:t>
      </w:r>
      <w:proofErr w:type="spellEnd"/>
      <w:r w:rsidRPr="00307897">
        <w:rPr>
          <w:rFonts w:eastAsia="Times New Roman"/>
          <w:sz w:val="21"/>
          <w:szCs w:val="21"/>
        </w:rPr>
        <w:t xml:space="preserve">, </w:t>
      </w:r>
      <w:r w:rsidRPr="00307897">
        <w:rPr>
          <w:rFonts w:eastAsia="Times New Roman"/>
          <w:i/>
          <w:sz w:val="21"/>
          <w:szCs w:val="21"/>
        </w:rPr>
        <w:t>Lessons in Water Policy Innovation from the World's Driest Inhabited Continent: Using Water Allocation Plans and Water Markets to Manage Water Scarcity</w:t>
      </w:r>
      <w:r w:rsidRPr="00307897">
        <w:rPr>
          <w:rFonts w:eastAsia="Times New Roman"/>
          <w:sz w:val="21"/>
          <w:szCs w:val="21"/>
        </w:rPr>
        <w:t xml:space="preserve">, 14 </w:t>
      </w:r>
      <w:r w:rsidRPr="00B84F21">
        <w:rPr>
          <w:rFonts w:eastAsia="Times New Roman"/>
          <w:smallCaps/>
          <w:sz w:val="21"/>
          <w:szCs w:val="21"/>
        </w:rPr>
        <w:t xml:space="preserve">U. </w:t>
      </w:r>
      <w:proofErr w:type="spellStart"/>
      <w:r w:rsidRPr="00B84F21">
        <w:rPr>
          <w:rFonts w:eastAsia="Times New Roman"/>
          <w:smallCaps/>
          <w:sz w:val="21"/>
          <w:szCs w:val="21"/>
        </w:rPr>
        <w:t>Denv</w:t>
      </w:r>
      <w:proofErr w:type="spellEnd"/>
      <w:r w:rsidRPr="00B84F21">
        <w:rPr>
          <w:rFonts w:eastAsia="Times New Roman"/>
          <w:smallCaps/>
          <w:sz w:val="21"/>
          <w:szCs w:val="21"/>
        </w:rPr>
        <w:t>. Water L. Rev.</w:t>
      </w:r>
      <w:r w:rsidRPr="00307897">
        <w:rPr>
          <w:rFonts w:eastAsia="Times New Roman"/>
          <w:sz w:val="21"/>
          <w:szCs w:val="21"/>
        </w:rPr>
        <w:t xml:space="preserve"> 97, 127 (2010).</w:t>
      </w:r>
    </w:p>
  </w:footnote>
  <w:footnote w:id="35">
    <w:p w14:paraId="1CF42919" w14:textId="77777777" w:rsidR="00AD20EE" w:rsidRPr="00307897" w:rsidRDefault="00AD20EE" w:rsidP="003B5D2D">
      <w:pPr>
        <w:pStyle w:val="FootnoteText"/>
        <w:rPr>
          <w:i/>
          <w:sz w:val="21"/>
          <w:szCs w:val="21"/>
        </w:rPr>
      </w:pPr>
      <w:r w:rsidRPr="00307897">
        <w:rPr>
          <w:rStyle w:val="FootnoteReference"/>
          <w:sz w:val="21"/>
          <w:szCs w:val="21"/>
        </w:rPr>
        <w:footnoteRef/>
      </w:r>
      <w:r w:rsidRPr="00307897">
        <w:rPr>
          <w:sz w:val="21"/>
          <w:szCs w:val="21"/>
        </w:rPr>
        <w:t xml:space="preserve"> </w:t>
      </w:r>
      <w:r w:rsidRPr="00307897">
        <w:rPr>
          <w:i/>
          <w:sz w:val="21"/>
          <w:szCs w:val="21"/>
        </w:rPr>
        <w:t>Id.</w:t>
      </w:r>
    </w:p>
  </w:footnote>
  <w:footnote w:id="36">
    <w:p w14:paraId="5DD96BB6" w14:textId="3F1AEBE1" w:rsidR="00AD20EE" w:rsidRPr="00307897" w:rsidRDefault="00AD20EE" w:rsidP="003B5D2D">
      <w:pPr>
        <w:rPr>
          <w:rFonts w:eastAsia="Times New Roman"/>
          <w:sz w:val="21"/>
          <w:szCs w:val="21"/>
        </w:rPr>
      </w:pPr>
      <w:r w:rsidRPr="00307897">
        <w:rPr>
          <w:rStyle w:val="FootnoteReference"/>
          <w:sz w:val="21"/>
          <w:szCs w:val="21"/>
        </w:rPr>
        <w:footnoteRef/>
      </w:r>
      <w:r w:rsidRPr="00307897">
        <w:rPr>
          <w:sz w:val="21"/>
          <w:szCs w:val="21"/>
        </w:rPr>
        <w:t xml:space="preserve"> </w:t>
      </w:r>
      <w:proofErr w:type="spellStart"/>
      <w:r>
        <w:rPr>
          <w:sz w:val="21"/>
          <w:szCs w:val="21"/>
        </w:rPr>
        <w:t>Pilz</w:t>
      </w:r>
      <w:proofErr w:type="spellEnd"/>
      <w:r>
        <w:rPr>
          <w:sz w:val="21"/>
          <w:szCs w:val="21"/>
        </w:rPr>
        <w:t xml:space="preserve">, </w:t>
      </w:r>
      <w:r>
        <w:rPr>
          <w:i/>
          <w:sz w:val="21"/>
          <w:szCs w:val="21"/>
        </w:rPr>
        <w:t>s</w:t>
      </w:r>
      <w:r w:rsidRPr="00307897">
        <w:rPr>
          <w:i/>
          <w:sz w:val="21"/>
          <w:szCs w:val="21"/>
        </w:rPr>
        <w:t>upra</w:t>
      </w:r>
      <w:r w:rsidRPr="00307897">
        <w:rPr>
          <w:sz w:val="21"/>
          <w:szCs w:val="21"/>
        </w:rPr>
        <w:t xml:space="preserve"> note 36, at 127.</w:t>
      </w:r>
    </w:p>
  </w:footnote>
  <w:footnote w:id="37">
    <w:p w14:paraId="5C80BAD2" w14:textId="484C8941" w:rsidR="008C6CEE" w:rsidRDefault="008C6CEE">
      <w:pPr>
        <w:pStyle w:val="FootnoteText"/>
      </w:pPr>
      <w:r w:rsidRPr="008C6CEE">
        <w:rPr>
          <w:rStyle w:val="FootnoteReference"/>
          <w:sz w:val="21"/>
          <w:szCs w:val="21"/>
        </w:rPr>
        <w:footnoteRef/>
      </w:r>
      <w:r>
        <w:t xml:space="preserve"> </w:t>
      </w:r>
      <w:r>
        <w:rPr>
          <w:sz w:val="21"/>
          <w:szCs w:val="21"/>
        </w:rPr>
        <w:t xml:space="preserve">Markets, of course, do not always function perfectly and require a fine balancing of economics and </w:t>
      </w:r>
      <w:proofErr w:type="gramStart"/>
      <w:r>
        <w:rPr>
          <w:sz w:val="21"/>
          <w:szCs w:val="21"/>
        </w:rPr>
        <w:t>public  interest</w:t>
      </w:r>
      <w:proofErr w:type="gramEnd"/>
      <w:r>
        <w:rPr>
          <w:sz w:val="21"/>
          <w:szCs w:val="21"/>
        </w:rPr>
        <w:t>.</w:t>
      </w:r>
      <w:r w:rsidRPr="00AD20EE">
        <w:rPr>
          <w:i/>
          <w:sz w:val="21"/>
          <w:szCs w:val="21"/>
        </w:rPr>
        <w:t xml:space="preserve"> </w:t>
      </w:r>
      <w:r>
        <w:rPr>
          <w:i/>
          <w:sz w:val="21"/>
          <w:szCs w:val="21"/>
        </w:rPr>
        <w:t xml:space="preserve"> </w:t>
      </w:r>
      <w:r w:rsidRPr="00AD20EE">
        <w:rPr>
          <w:i/>
          <w:sz w:val="21"/>
          <w:szCs w:val="21"/>
        </w:rPr>
        <w:t>See e.g.</w:t>
      </w:r>
      <w:r w:rsidRPr="00307897">
        <w:rPr>
          <w:sz w:val="21"/>
          <w:szCs w:val="21"/>
        </w:rPr>
        <w:t xml:space="preserve">, Richard W. Wahl, </w:t>
      </w:r>
      <w:r w:rsidRPr="00307897">
        <w:rPr>
          <w:i/>
          <w:sz w:val="21"/>
          <w:szCs w:val="21"/>
        </w:rPr>
        <w:t>Market Transfers of Water in California</w:t>
      </w:r>
      <w:r w:rsidRPr="00307897">
        <w:rPr>
          <w:sz w:val="21"/>
          <w:szCs w:val="21"/>
        </w:rPr>
        <w:t>, 1 West-Northwest 49 (1994)</w:t>
      </w:r>
      <w:r>
        <w:rPr>
          <w:sz w:val="21"/>
          <w:szCs w:val="21"/>
        </w:rPr>
        <w:t xml:space="preserve">; </w:t>
      </w:r>
      <w:r w:rsidRPr="00307897">
        <w:rPr>
          <w:sz w:val="21"/>
          <w:szCs w:val="21"/>
        </w:rPr>
        <w:t xml:space="preserve">Santos Gomez, Penn </w:t>
      </w:r>
      <w:proofErr w:type="spellStart"/>
      <w:r w:rsidRPr="00307897">
        <w:rPr>
          <w:sz w:val="21"/>
          <w:szCs w:val="21"/>
        </w:rPr>
        <w:t>Loh</w:t>
      </w:r>
      <w:proofErr w:type="spellEnd"/>
      <w:r w:rsidRPr="00307897">
        <w:rPr>
          <w:sz w:val="21"/>
          <w:szCs w:val="21"/>
        </w:rPr>
        <w:t xml:space="preserve">, </w:t>
      </w:r>
      <w:r w:rsidRPr="00307897">
        <w:rPr>
          <w:i/>
          <w:sz w:val="21"/>
          <w:szCs w:val="21"/>
        </w:rPr>
        <w:t>Communities and Water Markets: A Review of the Model Water Transfer Act</w:t>
      </w:r>
      <w:r w:rsidRPr="00307897">
        <w:rPr>
          <w:sz w:val="21"/>
          <w:szCs w:val="21"/>
        </w:rPr>
        <w:t xml:space="preserve">, 14 Hastings W.-N.W. J. </w:t>
      </w:r>
      <w:proofErr w:type="spellStart"/>
      <w:r w:rsidRPr="00307897">
        <w:rPr>
          <w:sz w:val="21"/>
          <w:szCs w:val="21"/>
        </w:rPr>
        <w:t>Envtl</w:t>
      </w:r>
      <w:proofErr w:type="spellEnd"/>
      <w:r w:rsidRPr="00307897">
        <w:rPr>
          <w:sz w:val="21"/>
          <w:szCs w:val="21"/>
        </w:rPr>
        <w:t xml:space="preserve">. L. &amp; </w:t>
      </w:r>
      <w:proofErr w:type="spellStart"/>
      <w:r w:rsidRPr="00307897">
        <w:rPr>
          <w:sz w:val="21"/>
          <w:szCs w:val="21"/>
        </w:rPr>
        <w:t>Pol'y</w:t>
      </w:r>
      <w:proofErr w:type="spellEnd"/>
      <w:r w:rsidRPr="00307897">
        <w:rPr>
          <w:sz w:val="21"/>
          <w:szCs w:val="21"/>
        </w:rPr>
        <w:t xml:space="preserve"> 689, 690-91 (2008)</w:t>
      </w:r>
      <w:r>
        <w:rPr>
          <w:sz w:val="21"/>
          <w:szCs w:val="21"/>
        </w:rPr>
        <w:t xml:space="preserve"> (noting failures of California’s model water transfer law </w:t>
      </w:r>
      <w:r w:rsidRPr="00AD20EE">
        <w:rPr>
          <w:sz w:val="21"/>
          <w:szCs w:val="21"/>
        </w:rPr>
        <w:t>“despite more than 15 years of policy discussions and initiatives aimed at creating a long-term, state-wide market for water transfers</w:t>
      </w:r>
      <w:r>
        <w:rPr>
          <w:sz w:val="21"/>
          <w:szCs w:val="21"/>
        </w:rPr>
        <w:t>.”).</w:t>
      </w:r>
    </w:p>
  </w:footnote>
  <w:footnote w:id="38">
    <w:p w14:paraId="790617D4" w14:textId="163FCABA"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King County Office of Budget and Strategic Planning, </w:t>
      </w:r>
      <w:r w:rsidRPr="00307897">
        <w:rPr>
          <w:i/>
          <w:sz w:val="21"/>
          <w:szCs w:val="21"/>
        </w:rPr>
        <w:t>King County Benchmarking Report</w:t>
      </w:r>
      <w:r w:rsidRPr="00307897">
        <w:rPr>
          <w:sz w:val="21"/>
          <w:szCs w:val="21"/>
        </w:rPr>
        <w:t xml:space="preserve">, </w:t>
      </w:r>
      <w:r w:rsidRPr="00307897">
        <w:rPr>
          <w:i/>
          <w:sz w:val="21"/>
          <w:szCs w:val="21"/>
        </w:rPr>
        <w:t>1996</w:t>
      </w:r>
      <w:r w:rsidRPr="00307897">
        <w:rPr>
          <w:sz w:val="21"/>
          <w:szCs w:val="21"/>
        </w:rPr>
        <w:t xml:space="preserve"> (Seattle: The Office, December 16, 1996)</w:t>
      </w:r>
      <w:r>
        <w:rPr>
          <w:sz w:val="21"/>
          <w:szCs w:val="21"/>
        </w:rPr>
        <w:t xml:space="preserve">; </w:t>
      </w:r>
      <w:r w:rsidRPr="007D18C3">
        <w:rPr>
          <w:i/>
          <w:sz w:val="21"/>
          <w:szCs w:val="21"/>
        </w:rPr>
        <w:t>see also</w:t>
      </w:r>
      <w:r w:rsidRPr="00307897">
        <w:rPr>
          <w:sz w:val="21"/>
          <w:szCs w:val="21"/>
        </w:rPr>
        <w:t xml:space="preserve"> City of Seattle, Office of Management and Planning, </w:t>
      </w:r>
      <w:r w:rsidRPr="00307897">
        <w:rPr>
          <w:i/>
          <w:sz w:val="21"/>
          <w:szCs w:val="21"/>
        </w:rPr>
        <w:t>Seattle’s Comprehensive Plan: Monitoring Our Progress</w:t>
      </w:r>
      <w:r w:rsidRPr="00307897">
        <w:rPr>
          <w:sz w:val="21"/>
          <w:szCs w:val="21"/>
        </w:rPr>
        <w:t xml:space="preserve"> (Seattle: The Office, 1996). </w:t>
      </w:r>
    </w:p>
  </w:footnote>
  <w:footnote w:id="39">
    <w:p w14:paraId="79CD23BD" w14:textId="41110DF1"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Pr="00307897">
        <w:rPr>
          <w:i/>
          <w:sz w:val="21"/>
          <w:szCs w:val="21"/>
        </w:rPr>
        <w:t>See generall</w:t>
      </w:r>
      <w:r w:rsidRPr="00307897">
        <w:rPr>
          <w:sz w:val="21"/>
          <w:szCs w:val="21"/>
        </w:rPr>
        <w:t xml:space="preserve">y King County Office of Strategic Planning and Performance Management, King County Benchmarks: Environment (2009), </w:t>
      </w:r>
      <w:r>
        <w:rPr>
          <w:i/>
          <w:sz w:val="21"/>
          <w:szCs w:val="21"/>
        </w:rPr>
        <w:t xml:space="preserve">available at </w:t>
      </w:r>
      <w:r w:rsidRPr="00307897">
        <w:rPr>
          <w:sz w:val="21"/>
          <w:szCs w:val="21"/>
        </w:rPr>
        <w:t xml:space="preserve">http://your.kingcounty.gov/budget/benchmrk/bench09/environment/Environment_09.pdf. </w:t>
      </w:r>
    </w:p>
  </w:footnote>
  <w:footnote w:id="40">
    <w:p w14:paraId="4DE0F016" w14:textId="42E8E505" w:rsidR="00AD20EE" w:rsidRPr="00307897" w:rsidRDefault="00AD20EE" w:rsidP="003B5D2D">
      <w:pPr>
        <w:rPr>
          <w:rFonts w:eastAsia="Times New Roman"/>
          <w:sz w:val="21"/>
          <w:szCs w:val="21"/>
        </w:rPr>
      </w:pPr>
      <w:r w:rsidRPr="00307897">
        <w:rPr>
          <w:rStyle w:val="FootnoteReference"/>
          <w:sz w:val="21"/>
          <w:szCs w:val="21"/>
        </w:rPr>
        <w:footnoteRef/>
      </w:r>
      <w:r w:rsidRPr="00307897">
        <w:rPr>
          <w:sz w:val="21"/>
          <w:szCs w:val="21"/>
        </w:rPr>
        <w:t xml:space="preserve"> Randle </w:t>
      </w:r>
      <w:proofErr w:type="spellStart"/>
      <w:r w:rsidRPr="00307897">
        <w:rPr>
          <w:rFonts w:eastAsia="Times New Roman"/>
          <w:color w:val="000000"/>
          <w:sz w:val="21"/>
          <w:szCs w:val="21"/>
        </w:rPr>
        <w:t>Kanous</w:t>
      </w:r>
      <w:proofErr w:type="spellEnd"/>
      <w:r w:rsidRPr="00307897">
        <w:rPr>
          <w:rFonts w:eastAsia="Times New Roman"/>
          <w:color w:val="000000"/>
          <w:sz w:val="21"/>
          <w:szCs w:val="21"/>
        </w:rPr>
        <w:t xml:space="preserve"> &amp; Douglas Wallace, Symposium, </w:t>
      </w:r>
      <w:r w:rsidRPr="00307897">
        <w:rPr>
          <w:rFonts w:eastAsia="Times New Roman"/>
          <w:i/>
          <w:color w:val="000000"/>
          <w:sz w:val="21"/>
          <w:szCs w:val="21"/>
        </w:rPr>
        <w:t>Optimizing Land Use and Water Supply Planning: A Path to Sustainability</w:t>
      </w:r>
      <w:r w:rsidRPr="00307897">
        <w:rPr>
          <w:rFonts w:eastAsia="Times New Roman"/>
          <w:color w:val="000000"/>
          <w:sz w:val="21"/>
          <w:szCs w:val="21"/>
        </w:rPr>
        <w:t xml:space="preserve">, 4 </w:t>
      </w:r>
      <w:r w:rsidRPr="007D18C3">
        <w:rPr>
          <w:rFonts w:eastAsia="Times New Roman"/>
          <w:smallCaps/>
          <w:color w:val="000000"/>
          <w:sz w:val="21"/>
          <w:szCs w:val="21"/>
        </w:rPr>
        <w:t xml:space="preserve">Golden Gate U. </w:t>
      </w:r>
      <w:proofErr w:type="spellStart"/>
      <w:r w:rsidRPr="007D18C3">
        <w:rPr>
          <w:rFonts w:eastAsia="Times New Roman"/>
          <w:smallCaps/>
          <w:color w:val="000000"/>
          <w:sz w:val="21"/>
          <w:szCs w:val="21"/>
        </w:rPr>
        <w:t>Envtl</w:t>
      </w:r>
      <w:proofErr w:type="spellEnd"/>
      <w:r w:rsidRPr="007D18C3">
        <w:rPr>
          <w:rFonts w:eastAsia="Times New Roman"/>
          <w:smallCaps/>
          <w:color w:val="000000"/>
          <w:sz w:val="21"/>
          <w:szCs w:val="21"/>
        </w:rPr>
        <w:t>. L.J.</w:t>
      </w:r>
      <w:r w:rsidRPr="00307897">
        <w:rPr>
          <w:rFonts w:eastAsia="Times New Roman"/>
          <w:color w:val="000000"/>
          <w:sz w:val="21"/>
          <w:szCs w:val="21"/>
        </w:rPr>
        <w:t xml:space="preserve"> 145, 157 (2010).</w:t>
      </w:r>
    </w:p>
  </w:footnote>
  <w:footnote w:id="41">
    <w:p w14:paraId="49676185" w14:textId="473B11E7" w:rsidR="00AD20EE" w:rsidRPr="00307897" w:rsidRDefault="00AD20EE" w:rsidP="003B5D2D">
      <w:pPr>
        <w:rPr>
          <w:rFonts w:eastAsia="Times New Roman"/>
          <w:sz w:val="21"/>
          <w:szCs w:val="21"/>
        </w:rPr>
      </w:pPr>
      <w:r w:rsidRPr="00307897">
        <w:rPr>
          <w:rStyle w:val="FootnoteReference"/>
          <w:sz w:val="21"/>
          <w:szCs w:val="21"/>
        </w:rPr>
        <w:footnoteRef/>
      </w:r>
      <w:r w:rsidRPr="00307897">
        <w:rPr>
          <w:rFonts w:eastAsia="Times New Roman"/>
          <w:color w:val="000000"/>
          <w:sz w:val="21"/>
          <w:szCs w:val="21"/>
        </w:rPr>
        <w:t xml:space="preserve"> John T. Andrew </w:t>
      </w:r>
      <w:r w:rsidRPr="00307897">
        <w:rPr>
          <w:rFonts w:eastAsia="Times New Roman"/>
          <w:i/>
          <w:iCs/>
          <w:color w:val="000000"/>
          <w:sz w:val="21"/>
          <w:szCs w:val="21"/>
        </w:rPr>
        <w:t>et al</w:t>
      </w:r>
      <w:r>
        <w:rPr>
          <w:rFonts w:eastAsia="Times New Roman"/>
          <w:i/>
          <w:iCs/>
          <w:color w:val="000000"/>
          <w:sz w:val="21"/>
          <w:szCs w:val="21"/>
        </w:rPr>
        <w:t>.</w:t>
      </w:r>
      <w:r w:rsidRPr="00307897">
        <w:rPr>
          <w:rFonts w:eastAsia="Times New Roman"/>
          <w:i/>
          <w:iCs/>
          <w:color w:val="000000"/>
          <w:sz w:val="21"/>
          <w:szCs w:val="21"/>
        </w:rPr>
        <w:t>, California Water Management: Subject to Change,</w:t>
      </w:r>
      <w:r w:rsidRPr="00F902B7">
        <w:rPr>
          <w:rFonts w:eastAsia="Times New Roman"/>
          <w:iCs/>
          <w:color w:val="000000"/>
          <w:sz w:val="21"/>
          <w:szCs w:val="21"/>
        </w:rPr>
        <w:t xml:space="preserve"> 14 </w:t>
      </w:r>
      <w:r w:rsidRPr="007D18C3">
        <w:rPr>
          <w:rFonts w:eastAsia="Times New Roman"/>
          <w:iCs/>
          <w:smallCaps/>
          <w:color w:val="000000"/>
          <w:sz w:val="21"/>
          <w:szCs w:val="21"/>
        </w:rPr>
        <w:t xml:space="preserve">Hasting W. </w:t>
      </w:r>
      <w:proofErr w:type="spellStart"/>
      <w:r w:rsidRPr="007D18C3">
        <w:rPr>
          <w:rFonts w:eastAsia="Times New Roman"/>
          <w:iCs/>
          <w:smallCaps/>
          <w:color w:val="000000"/>
          <w:sz w:val="21"/>
          <w:szCs w:val="21"/>
        </w:rPr>
        <w:t>Nw.J</w:t>
      </w:r>
      <w:proofErr w:type="spellEnd"/>
      <w:r w:rsidRPr="007D18C3">
        <w:rPr>
          <w:rFonts w:eastAsia="Times New Roman"/>
          <w:iCs/>
          <w:smallCaps/>
          <w:color w:val="000000"/>
          <w:sz w:val="21"/>
          <w:szCs w:val="21"/>
        </w:rPr>
        <w:t xml:space="preserve">. </w:t>
      </w:r>
      <w:proofErr w:type="spellStart"/>
      <w:r w:rsidRPr="007D18C3">
        <w:rPr>
          <w:rFonts w:eastAsia="Times New Roman"/>
          <w:iCs/>
          <w:smallCaps/>
          <w:color w:val="000000"/>
          <w:sz w:val="21"/>
          <w:szCs w:val="21"/>
        </w:rPr>
        <w:t>Envtl</w:t>
      </w:r>
      <w:proofErr w:type="spellEnd"/>
      <w:r w:rsidRPr="007D18C3">
        <w:rPr>
          <w:rFonts w:eastAsia="Times New Roman"/>
          <w:iCs/>
          <w:smallCaps/>
          <w:color w:val="000000"/>
          <w:sz w:val="21"/>
          <w:szCs w:val="21"/>
        </w:rPr>
        <w:t>. L. &amp; Policy</w:t>
      </w:r>
      <w:r w:rsidRPr="00307897">
        <w:rPr>
          <w:rFonts w:eastAsia="Times New Roman"/>
          <w:iCs/>
          <w:color w:val="000000"/>
          <w:sz w:val="21"/>
          <w:szCs w:val="21"/>
        </w:rPr>
        <w:t>,</w:t>
      </w:r>
      <w:r w:rsidRPr="00307897">
        <w:rPr>
          <w:rFonts w:eastAsia="Times New Roman"/>
          <w:color w:val="000000"/>
          <w:sz w:val="21"/>
          <w:szCs w:val="21"/>
        </w:rPr>
        <w:t xml:space="preserve"> 1470 (2008).</w:t>
      </w:r>
    </w:p>
  </w:footnote>
  <w:footnote w:id="42">
    <w:p w14:paraId="1E1509E1" w14:textId="0C275521"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Pr="007D18C3">
        <w:rPr>
          <w:smallCaps/>
          <w:sz w:val="21"/>
          <w:szCs w:val="21"/>
        </w:rPr>
        <w:t>Sustainable Community Development Code: A Code for the 21</w:t>
      </w:r>
      <w:r w:rsidRPr="007D18C3">
        <w:rPr>
          <w:smallCaps/>
          <w:sz w:val="21"/>
          <w:szCs w:val="21"/>
          <w:vertAlign w:val="superscript"/>
        </w:rPr>
        <w:t>st</w:t>
      </w:r>
      <w:r w:rsidRPr="007D18C3">
        <w:rPr>
          <w:smallCaps/>
          <w:sz w:val="21"/>
          <w:szCs w:val="21"/>
        </w:rPr>
        <w:t xml:space="preserve"> Century</w:t>
      </w:r>
      <w:r>
        <w:rPr>
          <w:sz w:val="21"/>
          <w:szCs w:val="21"/>
        </w:rPr>
        <w:t xml:space="preserve"> (V</w:t>
      </w:r>
      <w:r w:rsidRPr="00307897">
        <w:rPr>
          <w:sz w:val="21"/>
          <w:szCs w:val="21"/>
        </w:rPr>
        <w:t>ersion 1.2</w:t>
      </w:r>
      <w:r>
        <w:rPr>
          <w:sz w:val="21"/>
          <w:szCs w:val="21"/>
        </w:rPr>
        <w:t>)</w:t>
      </w:r>
      <w:r w:rsidRPr="00307897">
        <w:rPr>
          <w:sz w:val="21"/>
          <w:szCs w:val="21"/>
        </w:rPr>
        <w:t xml:space="preserve"> at 20.</w:t>
      </w:r>
    </w:p>
  </w:footnote>
  <w:footnote w:id="43">
    <w:p w14:paraId="3F259C9A" w14:textId="3C3E020B"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The USDA offers the following as a definition of Tribal consultation, “Tribal Consultation is the timely, meaningful, and substantive dialogue between USDA officials who have delegated authority to consult, and the official leadership of </w:t>
      </w:r>
      <w:proofErr w:type="gramStart"/>
      <w:r w:rsidRPr="00307897">
        <w:rPr>
          <w:sz w:val="21"/>
          <w:szCs w:val="21"/>
        </w:rPr>
        <w:t>Federally</w:t>
      </w:r>
      <w:proofErr w:type="gramEnd"/>
      <w:r w:rsidRPr="00307897">
        <w:rPr>
          <w:sz w:val="21"/>
          <w:szCs w:val="21"/>
        </w:rPr>
        <w:t xml:space="preserve"> recognized Indian Tribes, or their designated representatives, pertaining to USDA policies that may have tribal implications.” </w:t>
      </w:r>
      <w:r w:rsidR="00C41E9C">
        <w:rPr>
          <w:i/>
          <w:sz w:val="21"/>
          <w:szCs w:val="21"/>
        </w:rPr>
        <w:t>Available</w:t>
      </w:r>
      <w:r w:rsidRPr="00307897">
        <w:rPr>
          <w:i/>
          <w:sz w:val="21"/>
          <w:szCs w:val="21"/>
        </w:rPr>
        <w:t xml:space="preserve"> at</w:t>
      </w:r>
      <w:r w:rsidR="00377DB2">
        <w:rPr>
          <w:i/>
          <w:sz w:val="21"/>
          <w:szCs w:val="21"/>
        </w:rPr>
        <w:t xml:space="preserve"> </w:t>
      </w:r>
      <w:r w:rsidR="00377DB2">
        <w:rPr>
          <w:sz w:val="21"/>
          <w:szCs w:val="21"/>
        </w:rPr>
        <w:t>http://</w:t>
      </w:r>
      <w:r w:rsidRPr="00307897">
        <w:rPr>
          <w:sz w:val="21"/>
          <w:szCs w:val="21"/>
        </w:rPr>
        <w:t>www.usda.gov/wps/portal/usda/usdahome?contentid=otr-tribal.xml</w:t>
      </w:r>
      <w:r w:rsidR="00C41E9C">
        <w:rPr>
          <w:sz w:val="21"/>
          <w:szCs w:val="21"/>
        </w:rPr>
        <w:t>.</w:t>
      </w:r>
    </w:p>
  </w:footnote>
  <w:footnote w:id="44">
    <w:p w14:paraId="20F59225" w14:textId="61399406" w:rsidR="00AD20EE" w:rsidRPr="00307897" w:rsidRDefault="00AD20EE" w:rsidP="003B5D2D">
      <w:pPr>
        <w:pStyle w:val="ColorfulList-Accent11"/>
        <w:ind w:left="0"/>
        <w:rPr>
          <w:sz w:val="21"/>
          <w:szCs w:val="21"/>
        </w:rPr>
      </w:pPr>
      <w:r w:rsidRPr="00307897">
        <w:rPr>
          <w:rStyle w:val="FootnoteReference"/>
          <w:sz w:val="21"/>
          <w:szCs w:val="21"/>
        </w:rPr>
        <w:footnoteRef/>
      </w:r>
      <w:r w:rsidRPr="00307897">
        <w:rPr>
          <w:sz w:val="21"/>
          <w:szCs w:val="21"/>
        </w:rPr>
        <w:t xml:space="preserve"> Some sample text includes, “Coordinate planning efforts with the Yakama Indian Nation for lands under County land use jurisdiction that lie within the exterior boundary of the Yakama Indian Reservation. Facilitate coordinated planning for lands within the exterior boundary of the Yakama Indian Nation through reciprocal sharing of plans, studies, policy documents, maps, databases, and other information needed.” Further the plan exhibits sample language in the form of policies and declarations, “Cooperation with the Yakama Indian Nation is mutually beneficial. As a basis for cooperation, it is important to recognize that the Nation is a sovereign nation, with a status unlike that of other jurisdictions”… “Recognize and respect the sovereign nation status of the Yakama Indian Nations.”  </w:t>
      </w:r>
      <w:r w:rsidRPr="00307897">
        <w:rPr>
          <w:i/>
          <w:sz w:val="21"/>
          <w:szCs w:val="21"/>
        </w:rPr>
        <w:t>See</w:t>
      </w:r>
      <w:r w:rsidRPr="00307897">
        <w:rPr>
          <w:sz w:val="21"/>
          <w:szCs w:val="21"/>
        </w:rPr>
        <w:t xml:space="preserve"> Yakima County Plan </w:t>
      </w:r>
      <w:r w:rsidR="00377DB2">
        <w:rPr>
          <w:sz w:val="21"/>
          <w:szCs w:val="21"/>
        </w:rPr>
        <w:t>at</w:t>
      </w:r>
      <w:r w:rsidRPr="00307897">
        <w:rPr>
          <w:sz w:val="21"/>
          <w:szCs w:val="21"/>
        </w:rPr>
        <w:t xml:space="preserve"> 186.</w:t>
      </w:r>
    </w:p>
  </w:footnote>
  <w:footnote w:id="45">
    <w:p w14:paraId="07F452E3" w14:textId="2838B08A"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00377DB2">
        <w:rPr>
          <w:sz w:val="21"/>
          <w:szCs w:val="21"/>
        </w:rPr>
        <w:t xml:space="preserve">Bryan, </w:t>
      </w:r>
      <w:r w:rsidR="00377DB2">
        <w:rPr>
          <w:i/>
          <w:sz w:val="21"/>
          <w:szCs w:val="21"/>
        </w:rPr>
        <w:t>s</w:t>
      </w:r>
      <w:r w:rsidRPr="00307897">
        <w:rPr>
          <w:i/>
          <w:sz w:val="21"/>
          <w:szCs w:val="21"/>
        </w:rPr>
        <w:t>upra</w:t>
      </w:r>
      <w:r w:rsidRPr="00307897">
        <w:rPr>
          <w:sz w:val="21"/>
          <w:szCs w:val="21"/>
        </w:rPr>
        <w:t xml:space="preserve"> note </w:t>
      </w:r>
      <w:r w:rsidR="00377DB2">
        <w:rPr>
          <w:sz w:val="21"/>
          <w:szCs w:val="21"/>
        </w:rPr>
        <w:t>2</w:t>
      </w:r>
      <w:r w:rsidRPr="00307897">
        <w:rPr>
          <w:sz w:val="21"/>
          <w:szCs w:val="21"/>
        </w:rPr>
        <w:t>1, at 58.</w:t>
      </w:r>
    </w:p>
  </w:footnote>
  <w:footnote w:id="46">
    <w:p w14:paraId="431C7FD8" w14:textId="59FEA428"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Pr="00307897">
        <w:rPr>
          <w:i/>
          <w:sz w:val="21"/>
          <w:szCs w:val="21"/>
        </w:rPr>
        <w:t>See</w:t>
      </w:r>
      <w:r w:rsidRPr="00307897">
        <w:rPr>
          <w:sz w:val="21"/>
          <w:szCs w:val="21"/>
        </w:rPr>
        <w:t xml:space="preserve"> King County Comprehensive Plan Update</w:t>
      </w:r>
      <w:r w:rsidR="00EF23FE">
        <w:rPr>
          <w:sz w:val="21"/>
          <w:szCs w:val="21"/>
        </w:rPr>
        <w:t xml:space="preserve"> at</w:t>
      </w:r>
      <w:r w:rsidRPr="00307897">
        <w:rPr>
          <w:sz w:val="21"/>
          <w:szCs w:val="21"/>
        </w:rPr>
        <w:t xml:space="preserve"> 4-85.</w:t>
      </w:r>
    </w:p>
  </w:footnote>
  <w:footnote w:id="47">
    <w:p w14:paraId="37614FD8" w14:textId="1601B077"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Pr="00771E17">
        <w:rPr>
          <w:i/>
          <w:sz w:val="21"/>
          <w:szCs w:val="21"/>
        </w:rPr>
        <w:t xml:space="preserve">See </w:t>
      </w:r>
      <w:r w:rsidRPr="00307897">
        <w:rPr>
          <w:sz w:val="21"/>
          <w:szCs w:val="21"/>
        </w:rPr>
        <w:t xml:space="preserve">Schultz and Nie, </w:t>
      </w:r>
      <w:r w:rsidRPr="00307897">
        <w:rPr>
          <w:i/>
          <w:sz w:val="21"/>
          <w:szCs w:val="21"/>
        </w:rPr>
        <w:t>Decision-making Triggers</w:t>
      </w:r>
      <w:r w:rsidRPr="00307897">
        <w:rPr>
          <w:sz w:val="21"/>
          <w:szCs w:val="21"/>
        </w:rPr>
        <w:t xml:space="preserve">, </w:t>
      </w:r>
      <w:r w:rsidRPr="00307897">
        <w:rPr>
          <w:i/>
          <w:sz w:val="21"/>
          <w:szCs w:val="21"/>
        </w:rPr>
        <w:t>Adaptive Management, and Natural Resources Law and Planning</w:t>
      </w:r>
      <w:r w:rsidRPr="00307897">
        <w:rPr>
          <w:sz w:val="21"/>
          <w:szCs w:val="21"/>
        </w:rPr>
        <w:t xml:space="preserve">, </w:t>
      </w:r>
      <w:r w:rsidR="00EF23FE">
        <w:rPr>
          <w:sz w:val="21"/>
          <w:szCs w:val="21"/>
        </w:rPr>
        <w:t xml:space="preserve">52 </w:t>
      </w:r>
      <w:r w:rsidRPr="00EF23FE">
        <w:rPr>
          <w:smallCaps/>
          <w:sz w:val="21"/>
          <w:szCs w:val="21"/>
        </w:rPr>
        <w:t>Natural Resources Journal</w:t>
      </w:r>
      <w:r w:rsidR="00EF23FE">
        <w:rPr>
          <w:sz w:val="21"/>
          <w:szCs w:val="21"/>
        </w:rPr>
        <w:t xml:space="preserve"> </w:t>
      </w:r>
      <w:r w:rsidRPr="00307897">
        <w:rPr>
          <w:sz w:val="21"/>
          <w:szCs w:val="21"/>
        </w:rPr>
        <w:t>443 (2012).</w:t>
      </w:r>
    </w:p>
  </w:footnote>
  <w:footnote w:id="48">
    <w:p w14:paraId="2B40EB29" w14:textId="7372FD06" w:rsidR="00AD20EE" w:rsidRPr="00307897" w:rsidRDefault="00AD20EE" w:rsidP="003B5D2D">
      <w:pPr>
        <w:pStyle w:val="FootnoteText"/>
        <w:rPr>
          <w:sz w:val="21"/>
          <w:szCs w:val="21"/>
        </w:rPr>
      </w:pPr>
      <w:r w:rsidRPr="00307897">
        <w:rPr>
          <w:rStyle w:val="FootnoteReference"/>
          <w:sz w:val="21"/>
          <w:szCs w:val="21"/>
        </w:rPr>
        <w:footnoteRef/>
      </w:r>
      <w:r w:rsidRPr="00307897">
        <w:rPr>
          <w:sz w:val="21"/>
          <w:szCs w:val="21"/>
        </w:rPr>
        <w:t xml:space="preserve"> </w:t>
      </w:r>
      <w:r w:rsidR="003D30E7">
        <w:rPr>
          <w:sz w:val="21"/>
          <w:szCs w:val="21"/>
        </w:rPr>
        <w:t xml:space="preserve">King County </w:t>
      </w:r>
      <w:r w:rsidR="00A6562B">
        <w:rPr>
          <w:sz w:val="21"/>
          <w:szCs w:val="21"/>
        </w:rPr>
        <w:t>Plan</w:t>
      </w:r>
      <w:r w:rsidR="003D30E7">
        <w:rPr>
          <w:sz w:val="21"/>
          <w:szCs w:val="21"/>
        </w:rPr>
        <w:t xml:space="preserve"> Update</w:t>
      </w:r>
      <w:r w:rsidR="00A6562B">
        <w:rPr>
          <w:sz w:val="21"/>
          <w:szCs w:val="21"/>
        </w:rPr>
        <w:t xml:space="preserve">, </w:t>
      </w:r>
      <w:r w:rsidR="00A6562B">
        <w:rPr>
          <w:i/>
          <w:sz w:val="21"/>
          <w:szCs w:val="21"/>
        </w:rPr>
        <w:t>s</w:t>
      </w:r>
      <w:r w:rsidRPr="00307897">
        <w:rPr>
          <w:i/>
          <w:sz w:val="21"/>
          <w:szCs w:val="21"/>
        </w:rPr>
        <w:t>upra</w:t>
      </w:r>
      <w:r w:rsidRPr="00307897">
        <w:rPr>
          <w:sz w:val="21"/>
          <w:szCs w:val="21"/>
        </w:rPr>
        <w:t xml:space="preserve"> note 4</w:t>
      </w:r>
      <w:r w:rsidR="00A6562B">
        <w:rPr>
          <w:sz w:val="21"/>
          <w:szCs w:val="21"/>
        </w:rPr>
        <w:t>8</w:t>
      </w:r>
      <w:r w:rsidRPr="00307897">
        <w:rPr>
          <w:sz w:val="21"/>
          <w:szCs w:val="21"/>
        </w:rPr>
        <w:t>, at 4–86</w:t>
      </w:r>
      <w:r>
        <w:rPr>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EC3"/>
    <w:multiLevelType w:val="hybridMultilevel"/>
    <w:tmpl w:val="E2102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02F9"/>
    <w:multiLevelType w:val="hybridMultilevel"/>
    <w:tmpl w:val="66A05F1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073DDF"/>
    <w:multiLevelType w:val="hybridMultilevel"/>
    <w:tmpl w:val="8E2A7AF4"/>
    <w:lvl w:ilvl="0" w:tplc="E7ECD89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A053BC"/>
    <w:multiLevelType w:val="hybridMultilevel"/>
    <w:tmpl w:val="1C065E84"/>
    <w:lvl w:ilvl="0" w:tplc="7204A6FA">
      <w:start w:val="1"/>
      <w:numFmt w:val="upp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7D4B49"/>
    <w:multiLevelType w:val="hybridMultilevel"/>
    <w:tmpl w:val="BBE25BB2"/>
    <w:lvl w:ilvl="0" w:tplc="0409000B">
      <w:start w:val="1"/>
      <w:numFmt w:val="bullet"/>
      <w:lvlText w:val=""/>
      <w:lvlJc w:val="left"/>
      <w:pPr>
        <w:ind w:left="720" w:hanging="360"/>
      </w:pPr>
      <w:rPr>
        <w:rFonts w:ascii="Wingdings" w:hAnsi="Wingdings" w:hint="default"/>
      </w:rPr>
    </w:lvl>
    <w:lvl w:ilvl="1" w:tplc="421A422C">
      <w:numFmt w:val="bullet"/>
      <w:lvlText w:val="•"/>
      <w:lvlJc w:val="left"/>
      <w:pPr>
        <w:ind w:left="1800" w:hanging="720"/>
      </w:pPr>
      <w:rPr>
        <w:rFonts w:ascii="Cambria" w:eastAsiaTheme="minorHAnsi" w:hAnsi="Cambria" w:cs="Times New Roman" w:hint="default"/>
        <w:b/>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C39B4"/>
    <w:multiLevelType w:val="hybridMultilevel"/>
    <w:tmpl w:val="F9C0CC8E"/>
    <w:lvl w:ilvl="0" w:tplc="CBB8F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nsid w:val="1CD006C5"/>
    <w:multiLevelType w:val="hybridMultilevel"/>
    <w:tmpl w:val="D6AE585C"/>
    <w:lvl w:ilvl="0" w:tplc="0409000F">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B018D"/>
    <w:multiLevelType w:val="hybridMultilevel"/>
    <w:tmpl w:val="02E6B402"/>
    <w:lvl w:ilvl="0" w:tplc="5E64B0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47332"/>
    <w:multiLevelType w:val="hybridMultilevel"/>
    <w:tmpl w:val="7180A8F8"/>
    <w:lvl w:ilvl="0" w:tplc="C2F0E60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E0633"/>
    <w:multiLevelType w:val="hybridMultilevel"/>
    <w:tmpl w:val="ECAC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236D64"/>
    <w:multiLevelType w:val="hybridMultilevel"/>
    <w:tmpl w:val="E9F05CB6"/>
    <w:lvl w:ilvl="0" w:tplc="6812FCC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466B8"/>
    <w:multiLevelType w:val="hybridMultilevel"/>
    <w:tmpl w:val="F86E5ACC"/>
    <w:lvl w:ilvl="0" w:tplc="E7ECD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72A7A"/>
    <w:multiLevelType w:val="hybridMultilevel"/>
    <w:tmpl w:val="A0D6D230"/>
    <w:lvl w:ilvl="0" w:tplc="CBB8F0B4">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2D59FE"/>
    <w:multiLevelType w:val="hybridMultilevel"/>
    <w:tmpl w:val="D6C4D1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73F36"/>
    <w:multiLevelType w:val="hybridMultilevel"/>
    <w:tmpl w:val="8FBCC0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567D53"/>
    <w:multiLevelType w:val="hybridMultilevel"/>
    <w:tmpl w:val="4D78611E"/>
    <w:lvl w:ilvl="0" w:tplc="3C585980">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176404A"/>
    <w:multiLevelType w:val="hybridMultilevel"/>
    <w:tmpl w:val="2036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34A2B"/>
    <w:multiLevelType w:val="hybridMultilevel"/>
    <w:tmpl w:val="2D1A9C4E"/>
    <w:lvl w:ilvl="0" w:tplc="DB281140">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575EF"/>
    <w:multiLevelType w:val="hybridMultilevel"/>
    <w:tmpl w:val="37D8EAEA"/>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D6C15A8"/>
    <w:multiLevelType w:val="hybridMultilevel"/>
    <w:tmpl w:val="F84E4F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4A6644"/>
    <w:multiLevelType w:val="hybridMultilevel"/>
    <w:tmpl w:val="2F449C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AD3994"/>
    <w:multiLevelType w:val="hybridMultilevel"/>
    <w:tmpl w:val="9DC29016"/>
    <w:lvl w:ilvl="0" w:tplc="05D64994">
      <w:start w:val="1"/>
      <w:numFmt w:val="lowerLetter"/>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277B95"/>
    <w:multiLevelType w:val="hybridMultilevel"/>
    <w:tmpl w:val="AD6C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0686A"/>
    <w:multiLevelType w:val="hybridMultilevel"/>
    <w:tmpl w:val="09A2C902"/>
    <w:lvl w:ilvl="0" w:tplc="5D922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30CA9"/>
    <w:multiLevelType w:val="hybridMultilevel"/>
    <w:tmpl w:val="B1663DAC"/>
    <w:lvl w:ilvl="0" w:tplc="AC329C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F3014"/>
    <w:multiLevelType w:val="hybridMultilevel"/>
    <w:tmpl w:val="487E69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80C16"/>
    <w:multiLevelType w:val="hybridMultilevel"/>
    <w:tmpl w:val="9ECC8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1737DB"/>
    <w:multiLevelType w:val="hybridMultilevel"/>
    <w:tmpl w:val="3D0A08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C0BF3"/>
    <w:multiLevelType w:val="hybridMultilevel"/>
    <w:tmpl w:val="158E466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9">
    <w:nsid w:val="56D04402"/>
    <w:multiLevelType w:val="hybridMultilevel"/>
    <w:tmpl w:val="9E4E7E36"/>
    <w:lvl w:ilvl="0" w:tplc="84066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0">
    <w:nsid w:val="5EA358EB"/>
    <w:multiLevelType w:val="hybridMultilevel"/>
    <w:tmpl w:val="8D9C1B9A"/>
    <w:lvl w:ilvl="0" w:tplc="2712466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DF61B8"/>
    <w:multiLevelType w:val="hybridMultilevel"/>
    <w:tmpl w:val="11EE22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F24C57"/>
    <w:multiLevelType w:val="hybridMultilevel"/>
    <w:tmpl w:val="F8DCC83E"/>
    <w:lvl w:ilvl="0" w:tplc="3C5859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342B0E"/>
    <w:multiLevelType w:val="hybridMultilevel"/>
    <w:tmpl w:val="3D160032"/>
    <w:lvl w:ilvl="0" w:tplc="5B8094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046360"/>
    <w:multiLevelType w:val="hybridMultilevel"/>
    <w:tmpl w:val="6F6E4646"/>
    <w:lvl w:ilvl="0" w:tplc="5F06E9D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7132B"/>
    <w:multiLevelType w:val="hybridMultilevel"/>
    <w:tmpl w:val="756C2E88"/>
    <w:lvl w:ilvl="0" w:tplc="97CE514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93465"/>
    <w:multiLevelType w:val="hybridMultilevel"/>
    <w:tmpl w:val="72DC0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E05588"/>
    <w:multiLevelType w:val="hybridMultilevel"/>
    <w:tmpl w:val="B96E2B9C"/>
    <w:lvl w:ilvl="0" w:tplc="FBBAAED2">
      <w:start w:val="1"/>
      <w:numFmt w:val="lowerRoman"/>
      <w:lvlText w:val="(%1)"/>
      <w:lvlJc w:val="left"/>
      <w:pPr>
        <w:ind w:left="1350" w:hanging="720"/>
      </w:pPr>
      <w:rPr>
        <w:rFonts w:hint="default"/>
      </w:rPr>
    </w:lvl>
    <w:lvl w:ilvl="1" w:tplc="04090019">
      <w:start w:val="1"/>
      <w:numFmt w:val="lowerLetter"/>
      <w:lvlText w:val="%2."/>
      <w:lvlJc w:val="left"/>
      <w:pPr>
        <w:ind w:left="-214" w:hanging="360"/>
      </w:pPr>
    </w:lvl>
    <w:lvl w:ilvl="2" w:tplc="0409001B" w:tentative="1">
      <w:start w:val="1"/>
      <w:numFmt w:val="lowerRoman"/>
      <w:lvlText w:val="%3."/>
      <w:lvlJc w:val="right"/>
      <w:pPr>
        <w:ind w:left="506" w:hanging="180"/>
      </w:pPr>
    </w:lvl>
    <w:lvl w:ilvl="3" w:tplc="0409000F" w:tentative="1">
      <w:start w:val="1"/>
      <w:numFmt w:val="decimal"/>
      <w:lvlText w:val="%4."/>
      <w:lvlJc w:val="left"/>
      <w:pPr>
        <w:ind w:left="1226" w:hanging="360"/>
      </w:pPr>
    </w:lvl>
    <w:lvl w:ilvl="4" w:tplc="04090019" w:tentative="1">
      <w:start w:val="1"/>
      <w:numFmt w:val="lowerLetter"/>
      <w:lvlText w:val="%5."/>
      <w:lvlJc w:val="left"/>
      <w:pPr>
        <w:ind w:left="1946" w:hanging="360"/>
      </w:pPr>
    </w:lvl>
    <w:lvl w:ilvl="5" w:tplc="0409001B" w:tentative="1">
      <w:start w:val="1"/>
      <w:numFmt w:val="lowerRoman"/>
      <w:lvlText w:val="%6."/>
      <w:lvlJc w:val="right"/>
      <w:pPr>
        <w:ind w:left="2666" w:hanging="180"/>
      </w:pPr>
    </w:lvl>
    <w:lvl w:ilvl="6" w:tplc="0409000F" w:tentative="1">
      <w:start w:val="1"/>
      <w:numFmt w:val="decimal"/>
      <w:lvlText w:val="%7."/>
      <w:lvlJc w:val="left"/>
      <w:pPr>
        <w:ind w:left="3386" w:hanging="360"/>
      </w:pPr>
    </w:lvl>
    <w:lvl w:ilvl="7" w:tplc="04090019" w:tentative="1">
      <w:start w:val="1"/>
      <w:numFmt w:val="lowerLetter"/>
      <w:lvlText w:val="%8."/>
      <w:lvlJc w:val="left"/>
      <w:pPr>
        <w:ind w:left="4106" w:hanging="360"/>
      </w:pPr>
    </w:lvl>
    <w:lvl w:ilvl="8" w:tplc="0409001B" w:tentative="1">
      <w:start w:val="1"/>
      <w:numFmt w:val="lowerRoman"/>
      <w:lvlText w:val="%9."/>
      <w:lvlJc w:val="right"/>
      <w:pPr>
        <w:ind w:left="4826" w:hanging="180"/>
      </w:pPr>
    </w:lvl>
  </w:abstractNum>
  <w:abstractNum w:abstractNumId="38">
    <w:nsid w:val="6BBF422B"/>
    <w:multiLevelType w:val="hybridMultilevel"/>
    <w:tmpl w:val="435ECE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0A1902"/>
    <w:multiLevelType w:val="hybridMultilevel"/>
    <w:tmpl w:val="0AC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44D6C"/>
    <w:multiLevelType w:val="hybridMultilevel"/>
    <w:tmpl w:val="D9C6036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B65FFF"/>
    <w:multiLevelType w:val="hybridMultilevel"/>
    <w:tmpl w:val="8FBCC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A72B17"/>
    <w:multiLevelType w:val="hybridMultilevel"/>
    <w:tmpl w:val="ACF0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242379"/>
    <w:multiLevelType w:val="hybridMultilevel"/>
    <w:tmpl w:val="0B7A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460278"/>
    <w:multiLevelType w:val="hybridMultilevel"/>
    <w:tmpl w:val="D36C6A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5408B9"/>
    <w:multiLevelType w:val="hybridMultilevel"/>
    <w:tmpl w:val="950A194E"/>
    <w:lvl w:ilvl="0" w:tplc="88628D30">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47AC230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410AA4"/>
    <w:multiLevelType w:val="hybridMultilevel"/>
    <w:tmpl w:val="DB086C06"/>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CB21CC9"/>
    <w:multiLevelType w:val="hybridMultilevel"/>
    <w:tmpl w:val="13748BF6"/>
    <w:lvl w:ilvl="0" w:tplc="6FEC3AE0">
      <w:start w:val="1"/>
      <w:numFmt w:val="lowerRoman"/>
      <w:lvlText w:val="(%1)"/>
      <w:lvlJc w:val="right"/>
      <w:pPr>
        <w:ind w:left="27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46"/>
  </w:num>
  <w:num w:numId="3">
    <w:abstractNumId w:val="44"/>
  </w:num>
  <w:num w:numId="4">
    <w:abstractNumId w:val="45"/>
  </w:num>
  <w:num w:numId="5">
    <w:abstractNumId w:val="37"/>
  </w:num>
  <w:num w:numId="6">
    <w:abstractNumId w:val="10"/>
  </w:num>
  <w:num w:numId="7">
    <w:abstractNumId w:val="29"/>
  </w:num>
  <w:num w:numId="8">
    <w:abstractNumId w:val="5"/>
  </w:num>
  <w:num w:numId="9">
    <w:abstractNumId w:val="21"/>
  </w:num>
  <w:num w:numId="10">
    <w:abstractNumId w:val="12"/>
  </w:num>
  <w:num w:numId="11">
    <w:abstractNumId w:val="17"/>
  </w:num>
  <w:num w:numId="12">
    <w:abstractNumId w:val="2"/>
  </w:num>
  <w:num w:numId="13">
    <w:abstractNumId w:val="11"/>
  </w:num>
  <w:num w:numId="14">
    <w:abstractNumId w:val="47"/>
  </w:num>
  <w:num w:numId="15">
    <w:abstractNumId w:val="18"/>
  </w:num>
  <w:num w:numId="16">
    <w:abstractNumId w:val="24"/>
  </w:num>
  <w:num w:numId="17">
    <w:abstractNumId w:val="27"/>
  </w:num>
  <w:num w:numId="18">
    <w:abstractNumId w:val="9"/>
  </w:num>
  <w:num w:numId="19">
    <w:abstractNumId w:val="13"/>
  </w:num>
  <w:num w:numId="20">
    <w:abstractNumId w:val="1"/>
  </w:num>
  <w:num w:numId="21">
    <w:abstractNumId w:val="40"/>
  </w:num>
  <w:num w:numId="22">
    <w:abstractNumId w:val="34"/>
  </w:num>
  <w:num w:numId="23">
    <w:abstractNumId w:val="20"/>
  </w:num>
  <w:num w:numId="24">
    <w:abstractNumId w:val="3"/>
  </w:num>
  <w:num w:numId="25">
    <w:abstractNumId w:val="35"/>
  </w:num>
  <w:num w:numId="26">
    <w:abstractNumId w:val="6"/>
  </w:num>
  <w:num w:numId="27">
    <w:abstractNumId w:val="26"/>
  </w:num>
  <w:num w:numId="28">
    <w:abstractNumId w:val="33"/>
  </w:num>
  <w:num w:numId="29">
    <w:abstractNumId w:val="14"/>
  </w:num>
  <w:num w:numId="30">
    <w:abstractNumId w:val="23"/>
  </w:num>
  <w:num w:numId="31">
    <w:abstractNumId w:val="41"/>
  </w:num>
  <w:num w:numId="32">
    <w:abstractNumId w:val="28"/>
  </w:num>
  <w:num w:numId="33">
    <w:abstractNumId w:val="8"/>
  </w:num>
  <w:num w:numId="34">
    <w:abstractNumId w:val="22"/>
  </w:num>
  <w:num w:numId="35">
    <w:abstractNumId w:val="19"/>
  </w:num>
  <w:num w:numId="36">
    <w:abstractNumId w:val="30"/>
  </w:num>
  <w:num w:numId="37">
    <w:abstractNumId w:val="42"/>
  </w:num>
  <w:num w:numId="38">
    <w:abstractNumId w:val="7"/>
  </w:num>
  <w:num w:numId="39">
    <w:abstractNumId w:val="4"/>
  </w:num>
  <w:num w:numId="40">
    <w:abstractNumId w:val="0"/>
  </w:num>
  <w:num w:numId="41">
    <w:abstractNumId w:val="39"/>
  </w:num>
  <w:num w:numId="42">
    <w:abstractNumId w:val="36"/>
  </w:num>
  <w:num w:numId="43">
    <w:abstractNumId w:val="43"/>
  </w:num>
  <w:num w:numId="44">
    <w:abstractNumId w:val="16"/>
  </w:num>
  <w:num w:numId="45">
    <w:abstractNumId w:val="25"/>
  </w:num>
  <w:num w:numId="46">
    <w:abstractNumId w:val="38"/>
  </w:num>
  <w:num w:numId="47">
    <w:abstractNumId w:val="32"/>
  </w:num>
  <w:num w:numId="48">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61"/>
    <w:rsid w:val="0003266C"/>
    <w:rsid w:val="00057FCB"/>
    <w:rsid w:val="00061240"/>
    <w:rsid w:val="000635A7"/>
    <w:rsid w:val="00063A2E"/>
    <w:rsid w:val="00070E45"/>
    <w:rsid w:val="00090923"/>
    <w:rsid w:val="00093377"/>
    <w:rsid w:val="000936FB"/>
    <w:rsid w:val="00096139"/>
    <w:rsid w:val="000A2FBA"/>
    <w:rsid w:val="000B30DA"/>
    <w:rsid w:val="000C1469"/>
    <w:rsid w:val="000C1546"/>
    <w:rsid w:val="000D365E"/>
    <w:rsid w:val="0012457D"/>
    <w:rsid w:val="00131775"/>
    <w:rsid w:val="00140736"/>
    <w:rsid w:val="001448C3"/>
    <w:rsid w:val="001541F5"/>
    <w:rsid w:val="00163A4B"/>
    <w:rsid w:val="001673F4"/>
    <w:rsid w:val="0017733F"/>
    <w:rsid w:val="00190D91"/>
    <w:rsid w:val="00193EA3"/>
    <w:rsid w:val="00194C92"/>
    <w:rsid w:val="001A3688"/>
    <w:rsid w:val="001C0216"/>
    <w:rsid w:val="001C7D83"/>
    <w:rsid w:val="001D49A4"/>
    <w:rsid w:val="001E12ED"/>
    <w:rsid w:val="001E2731"/>
    <w:rsid w:val="001F0970"/>
    <w:rsid w:val="0023436D"/>
    <w:rsid w:val="002349C9"/>
    <w:rsid w:val="002371E7"/>
    <w:rsid w:val="00243149"/>
    <w:rsid w:val="00243D27"/>
    <w:rsid w:val="00251F5E"/>
    <w:rsid w:val="00257755"/>
    <w:rsid w:val="00261BA0"/>
    <w:rsid w:val="0026480A"/>
    <w:rsid w:val="00264952"/>
    <w:rsid w:val="0027480F"/>
    <w:rsid w:val="00275F1E"/>
    <w:rsid w:val="00280F8B"/>
    <w:rsid w:val="00290458"/>
    <w:rsid w:val="002A1824"/>
    <w:rsid w:val="002A7444"/>
    <w:rsid w:val="002B3892"/>
    <w:rsid w:val="002D098D"/>
    <w:rsid w:val="002D18C6"/>
    <w:rsid w:val="002E59C5"/>
    <w:rsid w:val="00303C72"/>
    <w:rsid w:val="00305B41"/>
    <w:rsid w:val="00307897"/>
    <w:rsid w:val="0031120B"/>
    <w:rsid w:val="00315061"/>
    <w:rsid w:val="003176E6"/>
    <w:rsid w:val="00320546"/>
    <w:rsid w:val="003232E8"/>
    <w:rsid w:val="00355663"/>
    <w:rsid w:val="00370251"/>
    <w:rsid w:val="00371ACA"/>
    <w:rsid w:val="00377DB2"/>
    <w:rsid w:val="003878E2"/>
    <w:rsid w:val="00396F79"/>
    <w:rsid w:val="003A25B5"/>
    <w:rsid w:val="003A33B1"/>
    <w:rsid w:val="003B5D2D"/>
    <w:rsid w:val="003D2BA4"/>
    <w:rsid w:val="003D30E7"/>
    <w:rsid w:val="003E63C5"/>
    <w:rsid w:val="003F3D8F"/>
    <w:rsid w:val="004029F1"/>
    <w:rsid w:val="00411208"/>
    <w:rsid w:val="0041305B"/>
    <w:rsid w:val="0046135B"/>
    <w:rsid w:val="004617E6"/>
    <w:rsid w:val="0046615B"/>
    <w:rsid w:val="004706E9"/>
    <w:rsid w:val="00482B23"/>
    <w:rsid w:val="00487BA9"/>
    <w:rsid w:val="00494837"/>
    <w:rsid w:val="004A0791"/>
    <w:rsid w:val="004A289C"/>
    <w:rsid w:val="004C1601"/>
    <w:rsid w:val="004D6ABD"/>
    <w:rsid w:val="005055F6"/>
    <w:rsid w:val="005120E9"/>
    <w:rsid w:val="00520A49"/>
    <w:rsid w:val="0052225A"/>
    <w:rsid w:val="005536E2"/>
    <w:rsid w:val="00556BF4"/>
    <w:rsid w:val="00564294"/>
    <w:rsid w:val="00567B19"/>
    <w:rsid w:val="00570890"/>
    <w:rsid w:val="00591436"/>
    <w:rsid w:val="00597AB8"/>
    <w:rsid w:val="005A0E30"/>
    <w:rsid w:val="005A6882"/>
    <w:rsid w:val="005B347C"/>
    <w:rsid w:val="005B55FB"/>
    <w:rsid w:val="005C3749"/>
    <w:rsid w:val="005C7EDD"/>
    <w:rsid w:val="005F0A38"/>
    <w:rsid w:val="00601531"/>
    <w:rsid w:val="00603BA4"/>
    <w:rsid w:val="0062010C"/>
    <w:rsid w:val="006253BF"/>
    <w:rsid w:val="00627C9C"/>
    <w:rsid w:val="00631B45"/>
    <w:rsid w:val="00636F11"/>
    <w:rsid w:val="006417F5"/>
    <w:rsid w:val="00643CAD"/>
    <w:rsid w:val="00645BAD"/>
    <w:rsid w:val="00646279"/>
    <w:rsid w:val="00653BD9"/>
    <w:rsid w:val="00666E3D"/>
    <w:rsid w:val="00674BE1"/>
    <w:rsid w:val="00674E25"/>
    <w:rsid w:val="006A152F"/>
    <w:rsid w:val="006C38B4"/>
    <w:rsid w:val="006E6BC3"/>
    <w:rsid w:val="006F4DAD"/>
    <w:rsid w:val="006F688E"/>
    <w:rsid w:val="00703811"/>
    <w:rsid w:val="00704780"/>
    <w:rsid w:val="00704DEE"/>
    <w:rsid w:val="00717D04"/>
    <w:rsid w:val="007243A8"/>
    <w:rsid w:val="00727E3C"/>
    <w:rsid w:val="00733939"/>
    <w:rsid w:val="00736F10"/>
    <w:rsid w:val="00741EA6"/>
    <w:rsid w:val="007519E1"/>
    <w:rsid w:val="00755E74"/>
    <w:rsid w:val="007629FE"/>
    <w:rsid w:val="00771E17"/>
    <w:rsid w:val="00773E71"/>
    <w:rsid w:val="007800AC"/>
    <w:rsid w:val="007863D9"/>
    <w:rsid w:val="007978B7"/>
    <w:rsid w:val="007A2B95"/>
    <w:rsid w:val="007A51DF"/>
    <w:rsid w:val="007B2B08"/>
    <w:rsid w:val="007B40EB"/>
    <w:rsid w:val="007D18C3"/>
    <w:rsid w:val="007D1C51"/>
    <w:rsid w:val="007D350C"/>
    <w:rsid w:val="007D528C"/>
    <w:rsid w:val="007F1445"/>
    <w:rsid w:val="007F2D38"/>
    <w:rsid w:val="00811FE6"/>
    <w:rsid w:val="00822A03"/>
    <w:rsid w:val="00824EB0"/>
    <w:rsid w:val="00833FE0"/>
    <w:rsid w:val="00866826"/>
    <w:rsid w:val="00871E76"/>
    <w:rsid w:val="00892AA1"/>
    <w:rsid w:val="008945F1"/>
    <w:rsid w:val="008A1FD3"/>
    <w:rsid w:val="008A2F56"/>
    <w:rsid w:val="008B5649"/>
    <w:rsid w:val="008C6CEE"/>
    <w:rsid w:val="008D388C"/>
    <w:rsid w:val="008D3A2F"/>
    <w:rsid w:val="008D7A6A"/>
    <w:rsid w:val="008F3111"/>
    <w:rsid w:val="0091706B"/>
    <w:rsid w:val="009428B8"/>
    <w:rsid w:val="00945E55"/>
    <w:rsid w:val="0097341C"/>
    <w:rsid w:val="00991528"/>
    <w:rsid w:val="00995690"/>
    <w:rsid w:val="009A6DF3"/>
    <w:rsid w:val="009C0C49"/>
    <w:rsid w:val="009C4847"/>
    <w:rsid w:val="009D463E"/>
    <w:rsid w:val="009E7778"/>
    <w:rsid w:val="009F0613"/>
    <w:rsid w:val="009F3EDB"/>
    <w:rsid w:val="009F4FF9"/>
    <w:rsid w:val="009F590F"/>
    <w:rsid w:val="00A0360D"/>
    <w:rsid w:val="00A068C3"/>
    <w:rsid w:val="00A221E8"/>
    <w:rsid w:val="00A241C3"/>
    <w:rsid w:val="00A510F3"/>
    <w:rsid w:val="00A6562B"/>
    <w:rsid w:val="00A82EA2"/>
    <w:rsid w:val="00A86969"/>
    <w:rsid w:val="00A96FEE"/>
    <w:rsid w:val="00AA6293"/>
    <w:rsid w:val="00AA7785"/>
    <w:rsid w:val="00AD20EE"/>
    <w:rsid w:val="00AE0DC1"/>
    <w:rsid w:val="00AF3988"/>
    <w:rsid w:val="00B11B10"/>
    <w:rsid w:val="00B206B6"/>
    <w:rsid w:val="00B2559A"/>
    <w:rsid w:val="00B371F3"/>
    <w:rsid w:val="00B40CD8"/>
    <w:rsid w:val="00B46EA6"/>
    <w:rsid w:val="00B5217C"/>
    <w:rsid w:val="00B65A1A"/>
    <w:rsid w:val="00B766B7"/>
    <w:rsid w:val="00B80A6F"/>
    <w:rsid w:val="00B81718"/>
    <w:rsid w:val="00B84F21"/>
    <w:rsid w:val="00BA4FAF"/>
    <w:rsid w:val="00BA51D6"/>
    <w:rsid w:val="00BA6F40"/>
    <w:rsid w:val="00BC6DC2"/>
    <w:rsid w:val="00BD304A"/>
    <w:rsid w:val="00BF267D"/>
    <w:rsid w:val="00C0278C"/>
    <w:rsid w:val="00C06C6E"/>
    <w:rsid w:val="00C13193"/>
    <w:rsid w:val="00C218DD"/>
    <w:rsid w:val="00C27A59"/>
    <w:rsid w:val="00C3720D"/>
    <w:rsid w:val="00C41E9C"/>
    <w:rsid w:val="00C46FA6"/>
    <w:rsid w:val="00C5303E"/>
    <w:rsid w:val="00C55CE5"/>
    <w:rsid w:val="00C611B0"/>
    <w:rsid w:val="00C660A6"/>
    <w:rsid w:val="00CA3AC7"/>
    <w:rsid w:val="00CD5BD2"/>
    <w:rsid w:val="00CE1181"/>
    <w:rsid w:val="00CE14B4"/>
    <w:rsid w:val="00CE4F97"/>
    <w:rsid w:val="00CF0973"/>
    <w:rsid w:val="00CF6247"/>
    <w:rsid w:val="00D13857"/>
    <w:rsid w:val="00D17330"/>
    <w:rsid w:val="00D35261"/>
    <w:rsid w:val="00D41706"/>
    <w:rsid w:val="00D42576"/>
    <w:rsid w:val="00D42E14"/>
    <w:rsid w:val="00D4475F"/>
    <w:rsid w:val="00D47954"/>
    <w:rsid w:val="00D60822"/>
    <w:rsid w:val="00D61EA4"/>
    <w:rsid w:val="00D63E94"/>
    <w:rsid w:val="00D74E3A"/>
    <w:rsid w:val="00D84555"/>
    <w:rsid w:val="00DA56F6"/>
    <w:rsid w:val="00DA63B0"/>
    <w:rsid w:val="00DB2882"/>
    <w:rsid w:val="00DD546D"/>
    <w:rsid w:val="00DE020F"/>
    <w:rsid w:val="00DE0D8E"/>
    <w:rsid w:val="00DF4654"/>
    <w:rsid w:val="00E003C1"/>
    <w:rsid w:val="00E20990"/>
    <w:rsid w:val="00E33912"/>
    <w:rsid w:val="00E33DC5"/>
    <w:rsid w:val="00E51390"/>
    <w:rsid w:val="00E6007D"/>
    <w:rsid w:val="00E76D08"/>
    <w:rsid w:val="00E77F3E"/>
    <w:rsid w:val="00E84C32"/>
    <w:rsid w:val="00E87B96"/>
    <w:rsid w:val="00E94527"/>
    <w:rsid w:val="00EC5306"/>
    <w:rsid w:val="00ED3CFB"/>
    <w:rsid w:val="00EE49C1"/>
    <w:rsid w:val="00EE6B1B"/>
    <w:rsid w:val="00EF23FE"/>
    <w:rsid w:val="00F02CFC"/>
    <w:rsid w:val="00F04DDE"/>
    <w:rsid w:val="00F1508A"/>
    <w:rsid w:val="00F1636A"/>
    <w:rsid w:val="00F26192"/>
    <w:rsid w:val="00F30E47"/>
    <w:rsid w:val="00F34074"/>
    <w:rsid w:val="00F37A66"/>
    <w:rsid w:val="00F62383"/>
    <w:rsid w:val="00F80BAF"/>
    <w:rsid w:val="00F902B7"/>
    <w:rsid w:val="00F904FB"/>
    <w:rsid w:val="00F9243D"/>
    <w:rsid w:val="00FA12BC"/>
    <w:rsid w:val="00FA6F15"/>
    <w:rsid w:val="00FB16FE"/>
    <w:rsid w:val="00FC5274"/>
    <w:rsid w:val="00FC5988"/>
    <w:rsid w:val="00FC5C51"/>
    <w:rsid w:val="00FC6A73"/>
    <w:rsid w:val="00FC6D6F"/>
    <w:rsid w:val="00FD30D2"/>
    <w:rsid w:val="00FD4ABF"/>
    <w:rsid w:val="00FE1B7E"/>
    <w:rsid w:val="00FF7F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BBB65"/>
  <w15:docId w15:val="{803FA8C9-1517-4C5C-AABE-D7E64E1F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1C"/>
  </w:style>
  <w:style w:type="paragraph" w:styleId="Heading1">
    <w:name w:val="heading 1"/>
    <w:basedOn w:val="Normal"/>
    <w:next w:val="Normal"/>
    <w:link w:val="Heading1Char"/>
    <w:uiPriority w:val="9"/>
    <w:qFormat/>
    <w:rsid w:val="00A241C3"/>
    <w:pPr>
      <w:widowControl w:val="0"/>
      <w:jc w:val="center"/>
      <w:outlineLvl w:val="0"/>
    </w:pPr>
    <w:rPr>
      <w:b/>
      <w:bCs/>
      <w:color w:val="000000"/>
      <w:sz w:val="32"/>
      <w:szCs w:val="32"/>
    </w:rPr>
  </w:style>
  <w:style w:type="paragraph" w:styleId="Heading2">
    <w:name w:val="heading 2"/>
    <w:basedOn w:val="Normal"/>
    <w:next w:val="Normal"/>
    <w:link w:val="Heading2Char"/>
    <w:uiPriority w:val="9"/>
    <w:unhideWhenUsed/>
    <w:qFormat/>
    <w:rsid w:val="00A241C3"/>
    <w:pPr>
      <w:widowControl w:val="0"/>
      <w:outlineLvl w:val="1"/>
    </w:pPr>
    <w:rPr>
      <w:b/>
      <w:bCs/>
      <w:color w:val="1F4E79"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031E5"/>
    <w:rPr>
      <w:rFonts w:ascii="Lucida Grande" w:hAnsi="Lucida Grande" w:cs="Lucida Grande"/>
      <w:sz w:val="18"/>
      <w:szCs w:val="18"/>
    </w:rPr>
  </w:style>
  <w:style w:type="character" w:customStyle="1" w:styleId="BalloonTextChar">
    <w:name w:val="Balloon Text Char"/>
    <w:basedOn w:val="DefaultParagraphFont"/>
    <w:uiPriority w:val="99"/>
    <w:semiHidden/>
    <w:rsid w:val="00177267"/>
    <w:rPr>
      <w:rFonts w:ascii="Lucida Grande" w:hAnsi="Lucida Grande" w:cs="Lucida Grande"/>
      <w:sz w:val="18"/>
      <w:szCs w:val="18"/>
    </w:rPr>
  </w:style>
  <w:style w:type="character" w:customStyle="1" w:styleId="BalloonTextChar0">
    <w:name w:val="Balloon Text Char"/>
    <w:basedOn w:val="DefaultParagraphFont"/>
    <w:uiPriority w:val="99"/>
    <w:semiHidden/>
    <w:rsid w:val="00177267"/>
    <w:rPr>
      <w:rFonts w:ascii="Lucida Grande" w:hAnsi="Lucida Grande" w:cs="Lucida Grande"/>
      <w:sz w:val="18"/>
      <w:szCs w:val="18"/>
    </w:rPr>
  </w:style>
  <w:style w:type="character" w:customStyle="1" w:styleId="BalloonTextChar2">
    <w:name w:val="Balloon Text Char"/>
    <w:basedOn w:val="DefaultParagraphFont"/>
    <w:uiPriority w:val="99"/>
    <w:semiHidden/>
    <w:rsid w:val="00785090"/>
    <w:rPr>
      <w:rFonts w:ascii="Lucida Grande" w:hAnsi="Lucida Grande"/>
      <w:sz w:val="18"/>
      <w:szCs w:val="18"/>
    </w:rPr>
  </w:style>
  <w:style w:type="paragraph" w:styleId="NormalWeb">
    <w:name w:val="Normal (Web)"/>
    <w:basedOn w:val="Normal"/>
    <w:uiPriority w:val="99"/>
    <w:unhideWhenUsed/>
    <w:rsid w:val="00315061"/>
    <w:pPr>
      <w:spacing w:before="100" w:beforeAutospacing="1" w:after="100" w:afterAutospacing="1"/>
    </w:pPr>
    <w:rPr>
      <w:rFonts w:ascii="Times" w:hAnsi="Times"/>
      <w:sz w:val="20"/>
      <w:szCs w:val="20"/>
    </w:rPr>
  </w:style>
  <w:style w:type="character" w:customStyle="1" w:styleId="apple-tab-span">
    <w:name w:val="apple-tab-span"/>
    <w:basedOn w:val="DefaultParagraphFont"/>
    <w:rsid w:val="00315061"/>
  </w:style>
  <w:style w:type="paragraph" w:customStyle="1" w:styleId="ColorfulList-Accent11">
    <w:name w:val="Colorful List - Accent 11"/>
    <w:basedOn w:val="Normal"/>
    <w:uiPriority w:val="34"/>
    <w:qFormat/>
    <w:rsid w:val="00315061"/>
    <w:pPr>
      <w:ind w:left="720"/>
      <w:contextualSpacing/>
    </w:pPr>
  </w:style>
  <w:style w:type="paragraph" w:styleId="FootnoteText">
    <w:name w:val="footnote text"/>
    <w:basedOn w:val="Normal"/>
    <w:link w:val="FootnoteTextChar"/>
    <w:uiPriority w:val="99"/>
    <w:unhideWhenUsed/>
    <w:rsid w:val="00603239"/>
  </w:style>
  <w:style w:type="character" w:customStyle="1" w:styleId="FootnoteTextChar">
    <w:name w:val="Footnote Text Char"/>
    <w:basedOn w:val="DefaultParagraphFont"/>
    <w:link w:val="FootnoteText"/>
    <w:uiPriority w:val="99"/>
    <w:rsid w:val="00603239"/>
  </w:style>
  <w:style w:type="character" w:styleId="FootnoteReference">
    <w:name w:val="footnote reference"/>
    <w:basedOn w:val="DefaultParagraphFont"/>
    <w:uiPriority w:val="99"/>
    <w:unhideWhenUsed/>
    <w:rsid w:val="00603239"/>
    <w:rPr>
      <w:vertAlign w:val="superscript"/>
    </w:rPr>
  </w:style>
  <w:style w:type="paragraph" w:styleId="Header">
    <w:name w:val="header"/>
    <w:basedOn w:val="Normal"/>
    <w:link w:val="HeaderChar"/>
    <w:uiPriority w:val="99"/>
    <w:unhideWhenUsed/>
    <w:rsid w:val="00194208"/>
    <w:pPr>
      <w:tabs>
        <w:tab w:val="center" w:pos="4320"/>
        <w:tab w:val="right" w:pos="8640"/>
      </w:tabs>
    </w:pPr>
  </w:style>
  <w:style w:type="character" w:customStyle="1" w:styleId="HeaderChar">
    <w:name w:val="Header Char"/>
    <w:basedOn w:val="DefaultParagraphFont"/>
    <w:link w:val="Header"/>
    <w:uiPriority w:val="99"/>
    <w:rsid w:val="00194208"/>
  </w:style>
  <w:style w:type="paragraph" w:styleId="Footer">
    <w:name w:val="footer"/>
    <w:basedOn w:val="Normal"/>
    <w:link w:val="FooterChar"/>
    <w:uiPriority w:val="99"/>
    <w:unhideWhenUsed/>
    <w:rsid w:val="00194208"/>
    <w:pPr>
      <w:tabs>
        <w:tab w:val="center" w:pos="4320"/>
        <w:tab w:val="right" w:pos="8640"/>
      </w:tabs>
    </w:pPr>
  </w:style>
  <w:style w:type="character" w:customStyle="1" w:styleId="FooterChar">
    <w:name w:val="Footer Char"/>
    <w:basedOn w:val="DefaultParagraphFont"/>
    <w:link w:val="Footer"/>
    <w:uiPriority w:val="99"/>
    <w:rsid w:val="00194208"/>
  </w:style>
  <w:style w:type="character" w:styleId="PageNumber">
    <w:name w:val="page number"/>
    <w:basedOn w:val="DefaultParagraphFont"/>
    <w:rsid w:val="00AF2D27"/>
  </w:style>
  <w:style w:type="paragraph" w:customStyle="1" w:styleId="MediumGrid21">
    <w:name w:val="Medium Grid 21"/>
    <w:link w:val="MediumGrid2Char"/>
    <w:uiPriority w:val="1"/>
    <w:qFormat/>
    <w:rsid w:val="00F70282"/>
    <w:rPr>
      <w:rFonts w:ascii="Calibri" w:eastAsia="Calibri" w:hAnsi="Calibri"/>
      <w:sz w:val="22"/>
      <w:szCs w:val="22"/>
    </w:rPr>
  </w:style>
  <w:style w:type="character" w:customStyle="1" w:styleId="MediumGrid2Char">
    <w:name w:val="Medium Grid 2 Char"/>
    <w:link w:val="MediumGrid21"/>
    <w:uiPriority w:val="1"/>
    <w:locked/>
    <w:rsid w:val="00F70282"/>
    <w:rPr>
      <w:rFonts w:ascii="Calibri" w:eastAsia="Calibri" w:hAnsi="Calibri"/>
      <w:sz w:val="22"/>
      <w:szCs w:val="22"/>
      <w:lang w:bidi="ar-SA"/>
    </w:rPr>
  </w:style>
  <w:style w:type="paragraph" w:styleId="TOC1">
    <w:name w:val="toc 1"/>
    <w:basedOn w:val="Normal"/>
    <w:next w:val="Normal"/>
    <w:autoRedefine/>
    <w:uiPriority w:val="39"/>
    <w:qFormat/>
    <w:rsid w:val="00290458"/>
    <w:pPr>
      <w:tabs>
        <w:tab w:val="right" w:leader="dot" w:pos="9350"/>
      </w:tabs>
      <w:spacing w:before="120" w:after="120"/>
      <w:jc w:val="center"/>
    </w:pPr>
    <w:rPr>
      <w:rFonts w:asciiTheme="minorHAnsi" w:eastAsia="Calibri" w:hAnsiTheme="minorHAnsi" w:cstheme="minorHAnsi"/>
      <w:smallCaps/>
      <w:noProof/>
      <w:color w:val="000000" w:themeColor="text1"/>
      <w:kern w:val="28"/>
      <w:sz w:val="26"/>
      <w:szCs w:val="26"/>
    </w:rPr>
  </w:style>
  <w:style w:type="character" w:customStyle="1" w:styleId="BalloonTextChar1">
    <w:name w:val="Balloon Text Char1"/>
    <w:basedOn w:val="DefaultParagraphFont"/>
    <w:link w:val="BalloonText"/>
    <w:rsid w:val="00E031E5"/>
    <w:rPr>
      <w:rFonts w:ascii="Lucida Grande" w:hAnsi="Lucida Grande" w:cs="Lucida Grande"/>
      <w:sz w:val="18"/>
      <w:szCs w:val="18"/>
    </w:rPr>
  </w:style>
  <w:style w:type="character" w:styleId="CommentReference">
    <w:name w:val="annotation reference"/>
    <w:basedOn w:val="DefaultParagraphFont"/>
    <w:rsid w:val="009D463E"/>
    <w:rPr>
      <w:sz w:val="16"/>
      <w:szCs w:val="16"/>
    </w:rPr>
  </w:style>
  <w:style w:type="paragraph" w:styleId="CommentText">
    <w:name w:val="annotation text"/>
    <w:basedOn w:val="Normal"/>
    <w:link w:val="CommentTextChar"/>
    <w:rsid w:val="009D463E"/>
    <w:rPr>
      <w:sz w:val="20"/>
      <w:szCs w:val="20"/>
    </w:rPr>
  </w:style>
  <w:style w:type="character" w:customStyle="1" w:styleId="CommentTextChar">
    <w:name w:val="Comment Text Char"/>
    <w:basedOn w:val="DefaultParagraphFont"/>
    <w:link w:val="CommentText"/>
    <w:rsid w:val="009D463E"/>
  </w:style>
  <w:style w:type="paragraph" w:styleId="CommentSubject">
    <w:name w:val="annotation subject"/>
    <w:basedOn w:val="CommentText"/>
    <w:next w:val="CommentText"/>
    <w:link w:val="CommentSubjectChar"/>
    <w:rsid w:val="009D463E"/>
    <w:rPr>
      <w:b/>
      <w:bCs/>
    </w:rPr>
  </w:style>
  <w:style w:type="character" w:customStyle="1" w:styleId="CommentSubjectChar">
    <w:name w:val="Comment Subject Char"/>
    <w:basedOn w:val="CommentTextChar"/>
    <w:link w:val="CommentSubject"/>
    <w:rsid w:val="009D463E"/>
    <w:rPr>
      <w:b/>
      <w:bCs/>
    </w:rPr>
  </w:style>
  <w:style w:type="paragraph" w:styleId="ListParagraph">
    <w:name w:val="List Paragraph"/>
    <w:basedOn w:val="Normal"/>
    <w:uiPriority w:val="34"/>
    <w:qFormat/>
    <w:rsid w:val="00D13857"/>
    <w:pPr>
      <w:ind w:left="720"/>
      <w:contextualSpacing/>
    </w:pPr>
  </w:style>
  <w:style w:type="character" w:customStyle="1" w:styleId="Heading1Char">
    <w:name w:val="Heading 1 Char"/>
    <w:basedOn w:val="DefaultParagraphFont"/>
    <w:link w:val="Heading1"/>
    <w:uiPriority w:val="9"/>
    <w:rsid w:val="00A241C3"/>
    <w:rPr>
      <w:b/>
      <w:bCs/>
      <w:color w:val="000000"/>
      <w:sz w:val="32"/>
      <w:szCs w:val="32"/>
    </w:rPr>
  </w:style>
  <w:style w:type="character" w:customStyle="1" w:styleId="Heading2Char">
    <w:name w:val="Heading 2 Char"/>
    <w:basedOn w:val="DefaultParagraphFont"/>
    <w:link w:val="Heading2"/>
    <w:uiPriority w:val="9"/>
    <w:rsid w:val="00A241C3"/>
    <w:rPr>
      <w:b/>
      <w:bCs/>
      <w:color w:val="1F4E79" w:themeColor="accent1" w:themeShade="80"/>
      <w:sz w:val="28"/>
      <w:szCs w:val="28"/>
    </w:rPr>
  </w:style>
  <w:style w:type="character" w:styleId="Hyperlink">
    <w:name w:val="Hyperlink"/>
    <w:basedOn w:val="DefaultParagraphFont"/>
    <w:uiPriority w:val="99"/>
    <w:unhideWhenUsed/>
    <w:rsid w:val="0012457D"/>
    <w:rPr>
      <w:color w:val="0000FF"/>
      <w:u w:val="single"/>
    </w:rPr>
  </w:style>
  <w:style w:type="character" w:customStyle="1" w:styleId="apple-converted-space">
    <w:name w:val="apple-converted-space"/>
    <w:basedOn w:val="DefaultParagraphFont"/>
    <w:rsid w:val="0012457D"/>
  </w:style>
  <w:style w:type="paragraph" w:styleId="Title">
    <w:name w:val="Title"/>
    <w:basedOn w:val="Normal"/>
    <w:next w:val="Normal"/>
    <w:link w:val="TitleChar"/>
    <w:uiPriority w:val="10"/>
    <w:qFormat/>
    <w:rsid w:val="0012457D"/>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2457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2457D"/>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2457D"/>
    <w:rPr>
      <w:rFonts w:asciiTheme="minorHAnsi" w:eastAsiaTheme="minorEastAsia" w:hAnsiTheme="minorHAnsi"/>
      <w:color w:val="5A5A5A" w:themeColor="text1" w:themeTint="A5"/>
      <w:spacing w:val="15"/>
      <w:sz w:val="22"/>
      <w:szCs w:val="22"/>
    </w:rPr>
  </w:style>
  <w:style w:type="paragraph" w:styleId="NoSpacing">
    <w:name w:val="No Spacing"/>
    <w:link w:val="NoSpacingChar"/>
    <w:uiPriority w:val="1"/>
    <w:qFormat/>
    <w:rsid w:val="0012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2457D"/>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12457D"/>
    <w:pPr>
      <w:spacing w:after="100"/>
      <w:ind w:left="44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12457D"/>
    <w:pPr>
      <w:spacing w:line="259" w:lineRule="auto"/>
      <w:outlineLvl w:val="9"/>
    </w:pPr>
  </w:style>
  <w:style w:type="paragraph" w:styleId="TOC2">
    <w:name w:val="toc 2"/>
    <w:basedOn w:val="Normal"/>
    <w:next w:val="Normal"/>
    <w:autoRedefine/>
    <w:uiPriority w:val="39"/>
    <w:unhideWhenUsed/>
    <w:rsid w:val="0012457D"/>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6">
      <w:bodyDiv w:val="1"/>
      <w:marLeft w:val="0"/>
      <w:marRight w:val="0"/>
      <w:marTop w:val="0"/>
      <w:marBottom w:val="0"/>
      <w:divBdr>
        <w:top w:val="none" w:sz="0" w:space="0" w:color="auto"/>
        <w:left w:val="none" w:sz="0" w:space="0" w:color="auto"/>
        <w:bottom w:val="none" w:sz="0" w:space="0" w:color="auto"/>
        <w:right w:val="none" w:sz="0" w:space="0" w:color="auto"/>
      </w:divBdr>
      <w:divsChild>
        <w:div w:id="1513685012">
          <w:marLeft w:val="0"/>
          <w:marRight w:val="0"/>
          <w:marTop w:val="0"/>
          <w:marBottom w:val="0"/>
          <w:divBdr>
            <w:top w:val="none" w:sz="0" w:space="0" w:color="auto"/>
            <w:left w:val="none" w:sz="0" w:space="0" w:color="auto"/>
            <w:bottom w:val="none" w:sz="0" w:space="0" w:color="auto"/>
            <w:right w:val="none" w:sz="0" w:space="0" w:color="auto"/>
          </w:divBdr>
          <w:divsChild>
            <w:div w:id="15815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176">
      <w:bodyDiv w:val="1"/>
      <w:marLeft w:val="0"/>
      <w:marRight w:val="0"/>
      <w:marTop w:val="0"/>
      <w:marBottom w:val="0"/>
      <w:divBdr>
        <w:top w:val="none" w:sz="0" w:space="0" w:color="auto"/>
        <w:left w:val="none" w:sz="0" w:space="0" w:color="auto"/>
        <w:bottom w:val="none" w:sz="0" w:space="0" w:color="auto"/>
        <w:right w:val="none" w:sz="0" w:space="0" w:color="auto"/>
      </w:divBdr>
      <w:divsChild>
        <w:div w:id="320039113">
          <w:marLeft w:val="0"/>
          <w:marRight w:val="0"/>
          <w:marTop w:val="0"/>
          <w:marBottom w:val="0"/>
          <w:divBdr>
            <w:top w:val="none" w:sz="0" w:space="0" w:color="auto"/>
            <w:left w:val="none" w:sz="0" w:space="0" w:color="auto"/>
            <w:bottom w:val="none" w:sz="0" w:space="0" w:color="auto"/>
            <w:right w:val="none" w:sz="0" w:space="0" w:color="auto"/>
          </w:divBdr>
          <w:divsChild>
            <w:div w:id="1897203069">
              <w:marLeft w:val="0"/>
              <w:marRight w:val="0"/>
              <w:marTop w:val="0"/>
              <w:marBottom w:val="0"/>
              <w:divBdr>
                <w:top w:val="none" w:sz="0" w:space="0" w:color="auto"/>
                <w:left w:val="none" w:sz="0" w:space="0" w:color="auto"/>
                <w:bottom w:val="none" w:sz="0" w:space="0" w:color="auto"/>
                <w:right w:val="none" w:sz="0" w:space="0" w:color="auto"/>
              </w:divBdr>
              <w:divsChild>
                <w:div w:id="20834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992">
      <w:bodyDiv w:val="1"/>
      <w:marLeft w:val="0"/>
      <w:marRight w:val="0"/>
      <w:marTop w:val="0"/>
      <w:marBottom w:val="0"/>
      <w:divBdr>
        <w:top w:val="none" w:sz="0" w:space="0" w:color="auto"/>
        <w:left w:val="none" w:sz="0" w:space="0" w:color="auto"/>
        <w:bottom w:val="none" w:sz="0" w:space="0" w:color="auto"/>
        <w:right w:val="none" w:sz="0" w:space="0" w:color="auto"/>
      </w:divBdr>
      <w:divsChild>
        <w:div w:id="1531338759">
          <w:marLeft w:val="0"/>
          <w:marRight w:val="0"/>
          <w:marTop w:val="0"/>
          <w:marBottom w:val="0"/>
          <w:divBdr>
            <w:top w:val="none" w:sz="0" w:space="0" w:color="auto"/>
            <w:left w:val="none" w:sz="0" w:space="0" w:color="auto"/>
            <w:bottom w:val="none" w:sz="0" w:space="0" w:color="auto"/>
            <w:right w:val="none" w:sz="0" w:space="0" w:color="auto"/>
          </w:divBdr>
          <w:divsChild>
            <w:div w:id="371541686">
              <w:marLeft w:val="0"/>
              <w:marRight w:val="0"/>
              <w:marTop w:val="0"/>
              <w:marBottom w:val="0"/>
              <w:divBdr>
                <w:top w:val="none" w:sz="0" w:space="0" w:color="auto"/>
                <w:left w:val="none" w:sz="0" w:space="0" w:color="auto"/>
                <w:bottom w:val="none" w:sz="0" w:space="0" w:color="auto"/>
                <w:right w:val="none" w:sz="0" w:space="0" w:color="auto"/>
              </w:divBdr>
              <w:divsChild>
                <w:div w:id="1800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7651">
      <w:bodyDiv w:val="1"/>
      <w:marLeft w:val="0"/>
      <w:marRight w:val="0"/>
      <w:marTop w:val="0"/>
      <w:marBottom w:val="0"/>
      <w:divBdr>
        <w:top w:val="none" w:sz="0" w:space="0" w:color="auto"/>
        <w:left w:val="none" w:sz="0" w:space="0" w:color="auto"/>
        <w:bottom w:val="none" w:sz="0" w:space="0" w:color="auto"/>
        <w:right w:val="none" w:sz="0" w:space="0" w:color="auto"/>
      </w:divBdr>
    </w:div>
    <w:div w:id="773785441">
      <w:bodyDiv w:val="1"/>
      <w:marLeft w:val="0"/>
      <w:marRight w:val="0"/>
      <w:marTop w:val="0"/>
      <w:marBottom w:val="0"/>
      <w:divBdr>
        <w:top w:val="none" w:sz="0" w:space="0" w:color="auto"/>
        <w:left w:val="none" w:sz="0" w:space="0" w:color="auto"/>
        <w:bottom w:val="none" w:sz="0" w:space="0" w:color="auto"/>
        <w:right w:val="none" w:sz="0" w:space="0" w:color="auto"/>
      </w:divBdr>
    </w:div>
    <w:div w:id="909464055">
      <w:bodyDiv w:val="1"/>
      <w:marLeft w:val="0"/>
      <w:marRight w:val="0"/>
      <w:marTop w:val="0"/>
      <w:marBottom w:val="0"/>
      <w:divBdr>
        <w:top w:val="none" w:sz="0" w:space="0" w:color="auto"/>
        <w:left w:val="none" w:sz="0" w:space="0" w:color="auto"/>
        <w:bottom w:val="none" w:sz="0" w:space="0" w:color="auto"/>
        <w:right w:val="none" w:sz="0" w:space="0" w:color="auto"/>
      </w:divBdr>
      <w:divsChild>
        <w:div w:id="1029262132">
          <w:marLeft w:val="0"/>
          <w:marRight w:val="0"/>
          <w:marTop w:val="0"/>
          <w:marBottom w:val="0"/>
          <w:divBdr>
            <w:top w:val="none" w:sz="0" w:space="0" w:color="auto"/>
            <w:left w:val="none" w:sz="0" w:space="0" w:color="auto"/>
            <w:bottom w:val="none" w:sz="0" w:space="0" w:color="auto"/>
            <w:right w:val="none" w:sz="0" w:space="0" w:color="auto"/>
          </w:divBdr>
          <w:divsChild>
            <w:div w:id="5127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9654">
      <w:bodyDiv w:val="1"/>
      <w:marLeft w:val="0"/>
      <w:marRight w:val="0"/>
      <w:marTop w:val="0"/>
      <w:marBottom w:val="0"/>
      <w:divBdr>
        <w:top w:val="none" w:sz="0" w:space="0" w:color="auto"/>
        <w:left w:val="none" w:sz="0" w:space="0" w:color="auto"/>
        <w:bottom w:val="none" w:sz="0" w:space="0" w:color="auto"/>
        <w:right w:val="none" w:sz="0" w:space="0" w:color="auto"/>
      </w:divBdr>
      <w:divsChild>
        <w:div w:id="524097586">
          <w:marLeft w:val="0"/>
          <w:marRight w:val="0"/>
          <w:marTop w:val="0"/>
          <w:marBottom w:val="0"/>
          <w:divBdr>
            <w:top w:val="none" w:sz="0" w:space="0" w:color="auto"/>
            <w:left w:val="none" w:sz="0" w:space="0" w:color="auto"/>
            <w:bottom w:val="none" w:sz="0" w:space="0" w:color="auto"/>
            <w:right w:val="none" w:sz="0" w:space="0" w:color="auto"/>
          </w:divBdr>
          <w:divsChild>
            <w:div w:id="392319469">
              <w:marLeft w:val="0"/>
              <w:marRight w:val="0"/>
              <w:marTop w:val="0"/>
              <w:marBottom w:val="0"/>
              <w:divBdr>
                <w:top w:val="none" w:sz="0" w:space="0" w:color="auto"/>
                <w:left w:val="none" w:sz="0" w:space="0" w:color="auto"/>
                <w:bottom w:val="none" w:sz="0" w:space="0" w:color="auto"/>
                <w:right w:val="none" w:sz="0" w:space="0" w:color="auto"/>
              </w:divBdr>
              <w:divsChild>
                <w:div w:id="83647962">
                  <w:marLeft w:val="0"/>
                  <w:marRight w:val="0"/>
                  <w:marTop w:val="0"/>
                  <w:marBottom w:val="0"/>
                  <w:divBdr>
                    <w:top w:val="none" w:sz="0" w:space="0" w:color="auto"/>
                    <w:left w:val="none" w:sz="0" w:space="0" w:color="auto"/>
                    <w:bottom w:val="none" w:sz="0" w:space="0" w:color="auto"/>
                    <w:right w:val="none" w:sz="0" w:space="0" w:color="auto"/>
                  </w:divBdr>
                </w:div>
              </w:divsChild>
            </w:div>
            <w:div w:id="1546720057">
              <w:marLeft w:val="0"/>
              <w:marRight w:val="0"/>
              <w:marTop w:val="0"/>
              <w:marBottom w:val="0"/>
              <w:divBdr>
                <w:top w:val="none" w:sz="0" w:space="0" w:color="auto"/>
                <w:left w:val="none" w:sz="0" w:space="0" w:color="auto"/>
                <w:bottom w:val="none" w:sz="0" w:space="0" w:color="auto"/>
                <w:right w:val="none" w:sz="0" w:space="0" w:color="auto"/>
              </w:divBdr>
              <w:divsChild>
                <w:div w:id="9322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9696">
      <w:bodyDiv w:val="1"/>
      <w:marLeft w:val="0"/>
      <w:marRight w:val="0"/>
      <w:marTop w:val="0"/>
      <w:marBottom w:val="0"/>
      <w:divBdr>
        <w:top w:val="none" w:sz="0" w:space="0" w:color="auto"/>
        <w:left w:val="none" w:sz="0" w:space="0" w:color="auto"/>
        <w:bottom w:val="none" w:sz="0" w:space="0" w:color="auto"/>
        <w:right w:val="none" w:sz="0" w:space="0" w:color="auto"/>
      </w:divBdr>
      <w:divsChild>
        <w:div w:id="1117598749">
          <w:marLeft w:val="0"/>
          <w:marRight w:val="0"/>
          <w:marTop w:val="0"/>
          <w:marBottom w:val="0"/>
          <w:divBdr>
            <w:top w:val="none" w:sz="0" w:space="0" w:color="auto"/>
            <w:left w:val="none" w:sz="0" w:space="0" w:color="auto"/>
            <w:bottom w:val="none" w:sz="0" w:space="0" w:color="auto"/>
            <w:right w:val="none" w:sz="0" w:space="0" w:color="auto"/>
          </w:divBdr>
          <w:divsChild>
            <w:div w:id="1976520975">
              <w:marLeft w:val="0"/>
              <w:marRight w:val="0"/>
              <w:marTop w:val="0"/>
              <w:marBottom w:val="0"/>
              <w:divBdr>
                <w:top w:val="none" w:sz="0" w:space="0" w:color="auto"/>
                <w:left w:val="none" w:sz="0" w:space="0" w:color="auto"/>
                <w:bottom w:val="none" w:sz="0" w:space="0" w:color="auto"/>
                <w:right w:val="none" w:sz="0" w:space="0" w:color="auto"/>
              </w:divBdr>
              <w:divsChild>
                <w:div w:id="14388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9407">
      <w:bodyDiv w:val="1"/>
      <w:marLeft w:val="0"/>
      <w:marRight w:val="0"/>
      <w:marTop w:val="0"/>
      <w:marBottom w:val="0"/>
      <w:divBdr>
        <w:top w:val="none" w:sz="0" w:space="0" w:color="auto"/>
        <w:left w:val="none" w:sz="0" w:space="0" w:color="auto"/>
        <w:bottom w:val="none" w:sz="0" w:space="0" w:color="auto"/>
        <w:right w:val="none" w:sz="0" w:space="0" w:color="auto"/>
      </w:divBdr>
    </w:div>
    <w:div w:id="1674212894">
      <w:bodyDiv w:val="1"/>
      <w:marLeft w:val="0"/>
      <w:marRight w:val="0"/>
      <w:marTop w:val="0"/>
      <w:marBottom w:val="0"/>
      <w:divBdr>
        <w:top w:val="none" w:sz="0" w:space="0" w:color="auto"/>
        <w:left w:val="none" w:sz="0" w:space="0" w:color="auto"/>
        <w:bottom w:val="none" w:sz="0" w:space="0" w:color="auto"/>
        <w:right w:val="none" w:sz="0" w:space="0" w:color="auto"/>
      </w:divBdr>
    </w:div>
    <w:div w:id="1678921893">
      <w:bodyDiv w:val="1"/>
      <w:marLeft w:val="0"/>
      <w:marRight w:val="0"/>
      <w:marTop w:val="0"/>
      <w:marBottom w:val="0"/>
      <w:divBdr>
        <w:top w:val="none" w:sz="0" w:space="0" w:color="auto"/>
        <w:left w:val="none" w:sz="0" w:space="0" w:color="auto"/>
        <w:bottom w:val="none" w:sz="0" w:space="0" w:color="auto"/>
        <w:right w:val="none" w:sz="0" w:space="0" w:color="auto"/>
      </w:divBdr>
      <w:divsChild>
        <w:div w:id="1999262922">
          <w:marLeft w:val="0"/>
          <w:marRight w:val="0"/>
          <w:marTop w:val="0"/>
          <w:marBottom w:val="0"/>
          <w:divBdr>
            <w:top w:val="none" w:sz="0" w:space="0" w:color="auto"/>
            <w:left w:val="none" w:sz="0" w:space="0" w:color="auto"/>
            <w:bottom w:val="none" w:sz="0" w:space="0" w:color="auto"/>
            <w:right w:val="none" w:sz="0" w:space="0" w:color="auto"/>
          </w:divBdr>
        </w:div>
        <w:div w:id="1503084357">
          <w:marLeft w:val="0"/>
          <w:marRight w:val="0"/>
          <w:marTop w:val="0"/>
          <w:marBottom w:val="0"/>
          <w:divBdr>
            <w:top w:val="none" w:sz="0" w:space="0" w:color="auto"/>
            <w:left w:val="none" w:sz="0" w:space="0" w:color="auto"/>
            <w:bottom w:val="none" w:sz="0" w:space="0" w:color="auto"/>
            <w:right w:val="none" w:sz="0" w:space="0" w:color="auto"/>
          </w:divBdr>
        </w:div>
      </w:divsChild>
    </w:div>
    <w:div w:id="1987054353">
      <w:bodyDiv w:val="1"/>
      <w:marLeft w:val="0"/>
      <w:marRight w:val="0"/>
      <w:marTop w:val="0"/>
      <w:marBottom w:val="0"/>
      <w:divBdr>
        <w:top w:val="none" w:sz="0" w:space="0" w:color="auto"/>
        <w:left w:val="none" w:sz="0" w:space="0" w:color="auto"/>
        <w:bottom w:val="none" w:sz="0" w:space="0" w:color="auto"/>
        <w:right w:val="none" w:sz="0" w:space="0" w:color="auto"/>
      </w:divBdr>
      <w:divsChild>
        <w:div w:id="835650980">
          <w:marLeft w:val="0"/>
          <w:marRight w:val="0"/>
          <w:marTop w:val="0"/>
          <w:marBottom w:val="0"/>
          <w:divBdr>
            <w:top w:val="none" w:sz="0" w:space="0" w:color="auto"/>
            <w:left w:val="none" w:sz="0" w:space="0" w:color="auto"/>
            <w:bottom w:val="none" w:sz="0" w:space="0" w:color="auto"/>
            <w:right w:val="none" w:sz="0" w:space="0" w:color="auto"/>
          </w:divBdr>
          <w:divsChild>
            <w:div w:id="19129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81C4-6A7C-40BD-9A30-716AE009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dc:creator>
  <cp:keywords/>
  <cp:lastModifiedBy>BryanMudd, Michelle</cp:lastModifiedBy>
  <cp:revision>6</cp:revision>
  <cp:lastPrinted>2014-12-08T19:58:00Z</cp:lastPrinted>
  <dcterms:created xsi:type="dcterms:W3CDTF">2014-12-11T19:43:00Z</dcterms:created>
  <dcterms:modified xsi:type="dcterms:W3CDTF">2014-12-11T19:46:00Z</dcterms:modified>
</cp:coreProperties>
</file>