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A11C2" w14:textId="25B4C7A3" w:rsidR="0056013E" w:rsidRDefault="00B06FB3" w:rsidP="00565F76">
      <w:pPr>
        <w:pStyle w:val="Heading2"/>
        <w:jc w:val="center"/>
        <w:rPr>
          <w:rStyle w:val="IntenseEmphasis"/>
          <w:b/>
          <w:sz w:val="32"/>
          <w:szCs w:val="32"/>
        </w:rPr>
      </w:pPr>
      <w:r>
        <w:rPr>
          <w:rStyle w:val="IntenseEmphasis"/>
          <w:b/>
          <w:sz w:val="32"/>
          <w:szCs w:val="32"/>
        </w:rPr>
        <w:t>Integrative Learning Experience (IL</w:t>
      </w:r>
      <w:r w:rsidR="007113AE">
        <w:rPr>
          <w:rStyle w:val="IntenseEmphasis"/>
          <w:b/>
          <w:sz w:val="32"/>
          <w:szCs w:val="32"/>
        </w:rPr>
        <w:t>E)</w:t>
      </w:r>
    </w:p>
    <w:p w14:paraId="29F267C4" w14:textId="235B8984" w:rsidR="007113AE" w:rsidRDefault="007113AE" w:rsidP="000C41A8">
      <w:pPr>
        <w:pStyle w:val="Heading2"/>
        <w:jc w:val="center"/>
      </w:pPr>
      <w:r>
        <w:t>Guidelines for Master of Public Health Degree Candidates</w:t>
      </w:r>
    </w:p>
    <w:p w14:paraId="4780942E" w14:textId="0F2F0BEE" w:rsidR="009224C5" w:rsidRPr="000C41A8" w:rsidRDefault="000C41A8" w:rsidP="000C41A8">
      <w:pPr>
        <w:pStyle w:val="Heading2"/>
        <w:jc w:val="center"/>
      </w:pPr>
      <w:r w:rsidRPr="000C41A8">
        <w:t>(MPH-</w:t>
      </w:r>
      <w:r w:rsidRPr="0005430E">
        <w:rPr>
          <w:iCs/>
        </w:rPr>
        <w:t>generalist</w:t>
      </w:r>
      <w:r w:rsidRPr="000C41A8">
        <w:t xml:space="preserve"> and MPH-CHPS)</w:t>
      </w:r>
    </w:p>
    <w:p w14:paraId="00BD4812" w14:textId="77777777" w:rsidR="0055292B" w:rsidRPr="0055292B" w:rsidRDefault="0055292B" w:rsidP="0055292B"/>
    <w:p w14:paraId="09B74381" w14:textId="28D35048" w:rsidR="007113AE" w:rsidRDefault="007113AE" w:rsidP="0055292B">
      <w:pPr>
        <w:ind w:right="233"/>
        <w:rPr>
          <w:b/>
          <w:color w:val="231F20"/>
        </w:rPr>
      </w:pPr>
      <w:r>
        <w:rPr>
          <w:b/>
          <w:color w:val="231F20"/>
        </w:rPr>
        <w:t>Integrative Learning Experience</w:t>
      </w:r>
    </w:p>
    <w:p w14:paraId="3E570732" w14:textId="069AB03B" w:rsidR="007113AE" w:rsidRPr="00A60B6C" w:rsidRDefault="007113AE" w:rsidP="00A60B6C">
      <w:r>
        <w:rPr>
          <w:color w:val="231F20"/>
        </w:rPr>
        <w:t xml:space="preserve">MPH students complete an Integrative Learning Experience (ILE) that demonstrates synthesis </w:t>
      </w:r>
      <w:r w:rsidR="005D7560">
        <w:rPr>
          <w:color w:val="231F20"/>
        </w:rPr>
        <w:t xml:space="preserve">and integration </w:t>
      </w:r>
      <w:r>
        <w:rPr>
          <w:color w:val="231F20"/>
        </w:rPr>
        <w:t xml:space="preserve">of </w:t>
      </w:r>
      <w:r w:rsidR="005D7560">
        <w:rPr>
          <w:color w:val="231F20"/>
        </w:rPr>
        <w:t xml:space="preserve">public health knowledge in the </w:t>
      </w:r>
      <w:r>
        <w:rPr>
          <w:color w:val="231F20"/>
        </w:rPr>
        <w:t xml:space="preserve">foundational </w:t>
      </w:r>
      <w:r w:rsidR="005D7560">
        <w:rPr>
          <w:color w:val="231F20"/>
        </w:rPr>
        <w:t xml:space="preserve">and concentration-specific </w:t>
      </w:r>
      <w:r>
        <w:rPr>
          <w:color w:val="231F20"/>
        </w:rPr>
        <w:t xml:space="preserve">competencies. </w:t>
      </w:r>
      <w:r w:rsidR="00A60B6C">
        <w:rPr>
          <w:color w:val="231F20"/>
        </w:rPr>
        <w:t xml:space="preserve">The ILE </w:t>
      </w:r>
      <w:r w:rsidR="00A60B6C">
        <w:t xml:space="preserve">should be completed in the final year of the </w:t>
      </w:r>
      <w:r w:rsidR="006C2009">
        <w:t xml:space="preserve">student’s </w:t>
      </w:r>
      <w:r w:rsidR="00A60B6C">
        <w:t>program.</w:t>
      </w:r>
    </w:p>
    <w:p w14:paraId="5FDB67BC" w14:textId="77777777" w:rsidR="007113AE" w:rsidRDefault="007113AE" w:rsidP="0055292B">
      <w:pPr>
        <w:ind w:right="233"/>
        <w:rPr>
          <w:color w:val="231F20"/>
        </w:rPr>
      </w:pPr>
    </w:p>
    <w:p w14:paraId="41E4DB2C" w14:textId="3D5D79BE" w:rsidR="005D7560" w:rsidRPr="005D7560" w:rsidRDefault="005D7560" w:rsidP="0055292B">
      <w:pPr>
        <w:ind w:right="233"/>
        <w:rPr>
          <w:b/>
          <w:color w:val="231F20"/>
        </w:rPr>
      </w:pPr>
      <w:r>
        <w:rPr>
          <w:b/>
          <w:color w:val="231F20"/>
        </w:rPr>
        <w:t>High-quality w</w:t>
      </w:r>
      <w:r w:rsidRPr="005D7560">
        <w:rPr>
          <w:b/>
          <w:color w:val="231F20"/>
        </w:rPr>
        <w:t>ritten product</w:t>
      </w:r>
    </w:p>
    <w:p w14:paraId="7F27848A" w14:textId="0A50A5C5" w:rsidR="007113AE" w:rsidRDefault="007113AE" w:rsidP="001E5E5B">
      <w:pPr>
        <w:ind w:right="233"/>
        <w:rPr>
          <w:color w:val="231F20"/>
        </w:rPr>
      </w:pPr>
      <w:r>
        <w:rPr>
          <w:color w:val="231F20"/>
        </w:rPr>
        <w:t xml:space="preserve">The ILE represents a culminating experience </w:t>
      </w:r>
      <w:r w:rsidR="0005430E">
        <w:rPr>
          <w:color w:val="231F20"/>
        </w:rPr>
        <w:t>that</w:t>
      </w:r>
      <w:r>
        <w:rPr>
          <w:color w:val="231F20"/>
        </w:rPr>
        <w:t xml:space="preserve"> may take many forms. </w:t>
      </w:r>
      <w:r w:rsidR="005D7560">
        <w:rPr>
          <w:color w:val="231F20"/>
        </w:rPr>
        <w:t>Regardless of form, s</w:t>
      </w:r>
      <w:r w:rsidR="0005430E">
        <w:rPr>
          <w:color w:val="231F20"/>
        </w:rPr>
        <w:t>tudents</w:t>
      </w:r>
      <w:r>
        <w:rPr>
          <w:color w:val="231F20"/>
        </w:rPr>
        <w:t xml:space="preserve"> must produce a high-quality written product that is appropriate for the student’s educational and professional objectives. </w:t>
      </w:r>
      <w:r w:rsidR="005D7560">
        <w:rPr>
          <w:color w:val="231F20"/>
        </w:rPr>
        <w:t xml:space="preserve"> The written product must show evidence of substantive, logically flowing writing.  </w:t>
      </w:r>
      <w:r>
        <w:rPr>
          <w:color w:val="231F20"/>
        </w:rPr>
        <w:t xml:space="preserve">Written products may include the following: program evaluation report, training manual, policy statement, </w:t>
      </w:r>
      <w:r w:rsidR="005D7560">
        <w:rPr>
          <w:color w:val="231F20"/>
        </w:rPr>
        <w:t xml:space="preserve">legislative testimony with accompanying supporting research, etc.  </w:t>
      </w:r>
      <w:r w:rsidR="001E5E5B">
        <w:rPr>
          <w:color w:val="231F20"/>
        </w:rPr>
        <w:t xml:space="preserve">A poster is not </w:t>
      </w:r>
      <w:r w:rsidR="00127705">
        <w:rPr>
          <w:color w:val="231F20"/>
        </w:rPr>
        <w:t xml:space="preserve">an </w:t>
      </w:r>
      <w:r w:rsidR="001E5E5B">
        <w:rPr>
          <w:color w:val="231F20"/>
        </w:rPr>
        <w:t xml:space="preserve">acceptable written format for the ILE. </w:t>
      </w:r>
      <w:r w:rsidR="00127705">
        <w:rPr>
          <w:color w:val="231F20"/>
        </w:rPr>
        <w:t xml:space="preserve"> </w:t>
      </w:r>
      <w:r w:rsidR="001E5E5B" w:rsidRPr="001E5E5B">
        <w:rPr>
          <w:color w:val="231F20"/>
        </w:rPr>
        <w:t>A</w:t>
      </w:r>
      <w:r w:rsidR="00127705">
        <w:rPr>
          <w:color w:val="231F20"/>
        </w:rPr>
        <w:t>n</w:t>
      </w:r>
      <w:r w:rsidR="001E5E5B" w:rsidRPr="001E5E5B">
        <w:rPr>
          <w:color w:val="231F20"/>
        </w:rPr>
        <w:t xml:space="preserve"> </w:t>
      </w:r>
      <w:r w:rsidR="0005430E">
        <w:rPr>
          <w:color w:val="231F20"/>
        </w:rPr>
        <w:t>ILE</w:t>
      </w:r>
      <w:r w:rsidR="001E5E5B" w:rsidRPr="001E5E5B">
        <w:rPr>
          <w:color w:val="231F20"/>
        </w:rPr>
        <w:t xml:space="preserve"> may be the result of a data‐driven research project, the result of a</w:t>
      </w:r>
      <w:r w:rsidR="0005430E">
        <w:rPr>
          <w:color w:val="231F20"/>
        </w:rPr>
        <w:t>n</w:t>
      </w:r>
      <w:r w:rsidR="001E5E5B" w:rsidRPr="001E5E5B">
        <w:rPr>
          <w:color w:val="231F20"/>
        </w:rPr>
        <w:t xml:space="preserve"> </w:t>
      </w:r>
      <w:r w:rsidR="001E5E5B">
        <w:rPr>
          <w:color w:val="231F20"/>
        </w:rPr>
        <w:t>Applied Practice Experience (APE)</w:t>
      </w:r>
      <w:r w:rsidR="001E5E5B" w:rsidRPr="001E5E5B">
        <w:rPr>
          <w:color w:val="231F20"/>
        </w:rPr>
        <w:t xml:space="preserve"> project which may be either data‐driven or driven by policy/administration recommendations, or an independent project developed in consultation with a faculty </w:t>
      </w:r>
      <w:r w:rsidR="006C2009">
        <w:rPr>
          <w:color w:val="231F20"/>
        </w:rPr>
        <w:t xml:space="preserve">member </w:t>
      </w:r>
      <w:r w:rsidR="001E5E5B" w:rsidRPr="001E5E5B">
        <w:rPr>
          <w:color w:val="231F20"/>
        </w:rPr>
        <w:t xml:space="preserve">based on shared academic and professional interests. </w:t>
      </w:r>
      <w:proofErr w:type="gramStart"/>
      <w:r w:rsidR="005D7560">
        <w:rPr>
          <w:color w:val="231F20"/>
        </w:rPr>
        <w:t>Ideally</w:t>
      </w:r>
      <w:proofErr w:type="gramEnd"/>
      <w:r w:rsidR="005D7560">
        <w:rPr>
          <w:color w:val="231F20"/>
        </w:rPr>
        <w:t xml:space="preserve"> the written product is developed and delivered in a manner that is useful to external stakeholders, such as non-profit or governmental organizations. </w:t>
      </w:r>
    </w:p>
    <w:p w14:paraId="196770FE" w14:textId="77777777" w:rsidR="001C5CC5" w:rsidRDefault="001C5CC5" w:rsidP="001E5E5B">
      <w:pPr>
        <w:ind w:right="233"/>
        <w:rPr>
          <w:color w:val="231F20"/>
        </w:rPr>
      </w:pPr>
    </w:p>
    <w:p w14:paraId="30666CEF" w14:textId="195C5545" w:rsidR="001C5CC5" w:rsidRPr="001C5CC5" w:rsidRDefault="001C5CC5" w:rsidP="001E5E5B">
      <w:pPr>
        <w:ind w:right="233"/>
        <w:rPr>
          <w:b/>
          <w:color w:val="231F20"/>
        </w:rPr>
      </w:pPr>
      <w:r w:rsidRPr="001C5CC5">
        <w:rPr>
          <w:b/>
          <w:color w:val="231F20"/>
        </w:rPr>
        <w:t xml:space="preserve">Format of the written </w:t>
      </w:r>
      <w:r>
        <w:rPr>
          <w:b/>
          <w:color w:val="231F20"/>
        </w:rPr>
        <w:t>product</w:t>
      </w:r>
    </w:p>
    <w:p w14:paraId="646DCA30" w14:textId="02517224" w:rsidR="001C5CC5" w:rsidRPr="001E5E5B" w:rsidRDefault="00422668" w:rsidP="001E5E5B">
      <w:pPr>
        <w:ind w:right="233"/>
        <w:rPr>
          <w:color w:val="231F20"/>
        </w:rPr>
      </w:pPr>
      <w:r>
        <w:rPr>
          <w:color w:val="231F20"/>
        </w:rPr>
        <w:t xml:space="preserve">Students will consult with their ILE academic advisor for guidance on the format of the written product. </w:t>
      </w:r>
      <w:r w:rsidR="00285F08">
        <w:rPr>
          <w:color w:val="231F20"/>
        </w:rPr>
        <w:t>Overall, t</w:t>
      </w:r>
      <w:r w:rsidR="001C5CC5">
        <w:rPr>
          <w:color w:val="231F20"/>
        </w:rPr>
        <w:t xml:space="preserve">he format should be determined by the requirements of the specific product and take into account the needs of the end user. For example, a training </w:t>
      </w:r>
      <w:r>
        <w:rPr>
          <w:color w:val="231F20"/>
        </w:rPr>
        <w:t xml:space="preserve">manual </w:t>
      </w:r>
      <w:r w:rsidR="001C5CC5">
        <w:rPr>
          <w:color w:val="231F20"/>
        </w:rPr>
        <w:t xml:space="preserve">should be </w:t>
      </w:r>
      <w:r w:rsidR="006072F5">
        <w:rPr>
          <w:color w:val="231F20"/>
        </w:rPr>
        <w:t>structured</w:t>
      </w:r>
      <w:r w:rsidR="001C5CC5">
        <w:rPr>
          <w:color w:val="231F20"/>
        </w:rPr>
        <w:t xml:space="preserve"> to facilitate </w:t>
      </w:r>
      <w:r w:rsidR="00201D28">
        <w:rPr>
          <w:color w:val="231F20"/>
        </w:rPr>
        <w:t>new learning.  Citations formatted correctly for the type of product and setting</w:t>
      </w:r>
      <w:r>
        <w:rPr>
          <w:color w:val="231F20"/>
        </w:rPr>
        <w:t xml:space="preserve"> (such as APA or AMA styles)</w:t>
      </w:r>
      <w:r w:rsidR="00201D28">
        <w:rPr>
          <w:color w:val="231F20"/>
        </w:rPr>
        <w:t xml:space="preserve"> will often accompany the ILE written product. </w:t>
      </w:r>
      <w:r>
        <w:rPr>
          <w:color w:val="231F20"/>
        </w:rPr>
        <w:t>W</w:t>
      </w:r>
      <w:r w:rsidR="00201D28">
        <w:rPr>
          <w:color w:val="231F20"/>
        </w:rPr>
        <w:t xml:space="preserve">ritten products </w:t>
      </w:r>
      <w:r>
        <w:rPr>
          <w:color w:val="231F20"/>
        </w:rPr>
        <w:t>must include a minimum of 500 words.  In general,</w:t>
      </w:r>
      <w:r w:rsidR="00201D28">
        <w:rPr>
          <w:color w:val="231F20"/>
        </w:rPr>
        <w:t xml:space="preserve"> </w:t>
      </w:r>
      <w:r>
        <w:rPr>
          <w:color w:val="231F20"/>
        </w:rPr>
        <w:t>written products</w:t>
      </w:r>
      <w:r w:rsidR="00285F08">
        <w:rPr>
          <w:color w:val="231F20"/>
        </w:rPr>
        <w:t xml:space="preserve"> will</w:t>
      </w:r>
      <w:r>
        <w:rPr>
          <w:color w:val="231F20"/>
        </w:rPr>
        <w:t xml:space="preserve"> </w:t>
      </w:r>
      <w:r w:rsidR="00285F08">
        <w:rPr>
          <w:color w:val="231F20"/>
        </w:rPr>
        <w:t>have</w:t>
      </w:r>
      <w:r w:rsidR="00201D28">
        <w:rPr>
          <w:color w:val="231F20"/>
        </w:rPr>
        <w:t xml:space="preserve"> 3,000-5,000 words. </w:t>
      </w:r>
    </w:p>
    <w:p w14:paraId="7146BE2F" w14:textId="77777777" w:rsidR="00824C98" w:rsidRDefault="00824C98" w:rsidP="0055292B">
      <w:pPr>
        <w:ind w:right="233"/>
        <w:rPr>
          <w:color w:val="231F20"/>
        </w:rPr>
      </w:pPr>
    </w:p>
    <w:p w14:paraId="41FB15D9" w14:textId="5FC6D070" w:rsidR="00824C98" w:rsidRPr="00824C98" w:rsidRDefault="00824C98" w:rsidP="0055292B">
      <w:pPr>
        <w:ind w:right="233"/>
        <w:rPr>
          <w:b/>
          <w:color w:val="231F20"/>
        </w:rPr>
      </w:pPr>
      <w:r w:rsidRPr="00824C98">
        <w:rPr>
          <w:b/>
          <w:color w:val="231F20"/>
        </w:rPr>
        <w:t>Se</w:t>
      </w:r>
      <w:r w:rsidR="001E5E5B">
        <w:rPr>
          <w:b/>
          <w:color w:val="231F20"/>
        </w:rPr>
        <w:t>lection of the ILE academic advisor</w:t>
      </w:r>
      <w:r w:rsidR="0068339E">
        <w:rPr>
          <w:b/>
          <w:color w:val="231F20"/>
        </w:rPr>
        <w:t xml:space="preserve"> and reader/grader</w:t>
      </w:r>
    </w:p>
    <w:p w14:paraId="3B3B65EE" w14:textId="576AEE90" w:rsidR="001E5E5B" w:rsidRPr="001E5E5B" w:rsidRDefault="001E5E5B" w:rsidP="001E5E5B">
      <w:pPr>
        <w:ind w:right="233"/>
        <w:rPr>
          <w:color w:val="231F20"/>
        </w:rPr>
      </w:pPr>
      <w:r w:rsidRPr="001E5E5B">
        <w:rPr>
          <w:color w:val="231F20"/>
        </w:rPr>
        <w:t xml:space="preserve">The ILE is envisioned as an opportunity for the student to receive direct mentoring while in the public health program. As such, one faculty member </w:t>
      </w:r>
      <w:r w:rsidR="0005430E">
        <w:rPr>
          <w:color w:val="231F20"/>
        </w:rPr>
        <w:t>will</w:t>
      </w:r>
      <w:r w:rsidRPr="001E5E5B">
        <w:rPr>
          <w:color w:val="231F20"/>
        </w:rPr>
        <w:t xml:space="preserve"> serve as the primary academic advisor for the ILE. This faculty member can be either a core faculty member</w:t>
      </w:r>
      <w:r>
        <w:rPr>
          <w:color w:val="231F20"/>
        </w:rPr>
        <w:t xml:space="preserve"> in the student’s area of concentration</w:t>
      </w:r>
      <w:r w:rsidRPr="001E5E5B">
        <w:rPr>
          <w:color w:val="231F20"/>
        </w:rPr>
        <w:t xml:space="preserve"> or an affiliated faculty member, giving the student a wide range of potential exposure to professional </w:t>
      </w:r>
      <w:r w:rsidR="006C2009" w:rsidRPr="001E5E5B">
        <w:rPr>
          <w:color w:val="231F20"/>
        </w:rPr>
        <w:t>activit</w:t>
      </w:r>
      <w:r w:rsidR="006C2009">
        <w:rPr>
          <w:color w:val="231F20"/>
        </w:rPr>
        <w:t>ies</w:t>
      </w:r>
      <w:r w:rsidR="006C2009" w:rsidRPr="001E5E5B">
        <w:rPr>
          <w:color w:val="231F20"/>
        </w:rPr>
        <w:t xml:space="preserve"> </w:t>
      </w:r>
      <w:r w:rsidRPr="001E5E5B">
        <w:rPr>
          <w:color w:val="231F20"/>
        </w:rPr>
        <w:t xml:space="preserve">across faculty supporting the public health programs at </w:t>
      </w:r>
      <w:r w:rsidR="00127705">
        <w:rPr>
          <w:color w:val="231F20"/>
        </w:rPr>
        <w:t>t</w:t>
      </w:r>
      <w:r w:rsidRPr="001E5E5B">
        <w:rPr>
          <w:color w:val="231F20"/>
        </w:rPr>
        <w:t xml:space="preserve">he University of Montana. </w:t>
      </w:r>
      <w:r>
        <w:rPr>
          <w:color w:val="231F20"/>
        </w:rPr>
        <w:t xml:space="preserve">The ILE academic advisor may be, but does not need to be, the student’s primary advisor.  The ILE academic advisor works closely with the student to develop an ILE proposal. </w:t>
      </w:r>
      <w:r w:rsidRPr="001E5E5B">
        <w:rPr>
          <w:color w:val="231F20"/>
        </w:rPr>
        <w:t>One additional faculty member</w:t>
      </w:r>
      <w:r w:rsidR="0068339E">
        <w:rPr>
          <w:color w:val="231F20"/>
        </w:rPr>
        <w:t xml:space="preserve"> will serve as a reader and </w:t>
      </w:r>
      <w:r w:rsidRPr="001E5E5B">
        <w:rPr>
          <w:color w:val="231F20"/>
        </w:rPr>
        <w:t xml:space="preserve">grader of the </w:t>
      </w:r>
      <w:r>
        <w:rPr>
          <w:color w:val="231F20"/>
        </w:rPr>
        <w:t>ILE</w:t>
      </w:r>
      <w:r w:rsidRPr="001E5E5B">
        <w:rPr>
          <w:color w:val="231F20"/>
        </w:rPr>
        <w:t>.</w:t>
      </w:r>
      <w:r w:rsidR="006072F5">
        <w:rPr>
          <w:color w:val="231F20"/>
        </w:rPr>
        <w:t xml:space="preserve"> The faculty reader/grader </w:t>
      </w:r>
      <w:r w:rsidR="0068339E">
        <w:rPr>
          <w:color w:val="231F20"/>
        </w:rPr>
        <w:t xml:space="preserve">will be selected by the student in consultation with the </w:t>
      </w:r>
      <w:r w:rsidR="0068339E">
        <w:rPr>
          <w:color w:val="231F20"/>
        </w:rPr>
        <w:lastRenderedPageBreak/>
        <w:t xml:space="preserve">ILE academic advisor and </w:t>
      </w:r>
      <w:r w:rsidR="006072F5">
        <w:rPr>
          <w:color w:val="231F20"/>
        </w:rPr>
        <w:t>may be any faculty member at the University of Montana with the appropriate expertise to evaluate the written product.</w:t>
      </w:r>
    </w:p>
    <w:p w14:paraId="4351FBF3" w14:textId="77777777" w:rsidR="001E5E5B" w:rsidRDefault="001E5E5B" w:rsidP="0055292B">
      <w:pPr>
        <w:ind w:right="233"/>
        <w:rPr>
          <w:color w:val="231F20"/>
        </w:rPr>
      </w:pPr>
    </w:p>
    <w:p w14:paraId="47092E27" w14:textId="1C9B7238" w:rsidR="005D7560" w:rsidRPr="005D7560" w:rsidRDefault="005D7560" w:rsidP="0055292B">
      <w:pPr>
        <w:ind w:right="233"/>
        <w:rPr>
          <w:b/>
          <w:color w:val="231F20"/>
        </w:rPr>
      </w:pPr>
      <w:r w:rsidRPr="005D7560">
        <w:rPr>
          <w:b/>
          <w:color w:val="231F20"/>
        </w:rPr>
        <w:t>Selection of competencies</w:t>
      </w:r>
      <w:r>
        <w:rPr>
          <w:b/>
          <w:color w:val="231F20"/>
        </w:rPr>
        <w:t xml:space="preserve"> and evidence of synthesis</w:t>
      </w:r>
    </w:p>
    <w:p w14:paraId="76AE2090" w14:textId="77777777" w:rsidR="00422668" w:rsidRDefault="007113AE" w:rsidP="0055292B">
      <w:pPr>
        <w:ind w:right="233"/>
        <w:rPr>
          <w:color w:val="231F20"/>
        </w:rPr>
      </w:pPr>
      <w:r>
        <w:rPr>
          <w:color w:val="231F20"/>
        </w:rPr>
        <w:t>Students in consultation with their ILE academic advisor select foundational and concentration-specific competencies appropriate to the student</w:t>
      </w:r>
      <w:r w:rsidR="0005430E">
        <w:rPr>
          <w:color w:val="231F20"/>
        </w:rPr>
        <w:t>’</w:t>
      </w:r>
      <w:r>
        <w:rPr>
          <w:color w:val="231F20"/>
        </w:rPr>
        <w:t>s educational and professional goals.</w:t>
      </w:r>
      <w:r w:rsidR="005D7560">
        <w:rPr>
          <w:color w:val="231F20"/>
        </w:rPr>
        <w:t xml:space="preserve">  </w:t>
      </w:r>
    </w:p>
    <w:p w14:paraId="32815A69" w14:textId="77777777" w:rsidR="00422668" w:rsidRDefault="00422668" w:rsidP="0055292B">
      <w:pPr>
        <w:ind w:right="233"/>
        <w:rPr>
          <w:color w:val="231F20"/>
        </w:rPr>
      </w:pPr>
    </w:p>
    <w:p w14:paraId="4761A289" w14:textId="7F4051CE" w:rsidR="006C2009" w:rsidRDefault="00F44438" w:rsidP="0055292B">
      <w:pPr>
        <w:ind w:right="233"/>
        <w:rPr>
          <w:color w:val="231F20"/>
        </w:rPr>
      </w:pPr>
      <w:r>
        <w:rPr>
          <w:color w:val="231F20"/>
        </w:rPr>
        <w:t>In</w:t>
      </w:r>
      <w:r w:rsidR="00C561B8">
        <w:rPr>
          <w:color w:val="231F20"/>
        </w:rPr>
        <w:t xml:space="preserve"> the</w:t>
      </w:r>
      <w:r w:rsidR="00306BFB">
        <w:rPr>
          <w:color w:val="231F20"/>
        </w:rPr>
        <w:t xml:space="preserve"> ILE student</w:t>
      </w:r>
      <w:r w:rsidR="00C561B8">
        <w:rPr>
          <w:color w:val="231F20"/>
        </w:rPr>
        <w:t>s</w:t>
      </w:r>
      <w:r w:rsidR="00306BFB">
        <w:rPr>
          <w:color w:val="231F20"/>
        </w:rPr>
        <w:t xml:space="preserve"> demonstrate </w:t>
      </w:r>
      <w:r w:rsidR="001751EB">
        <w:rPr>
          <w:color w:val="231F20"/>
        </w:rPr>
        <w:t>the application of more than one competency within the context of a single project</w:t>
      </w:r>
      <w:r w:rsidR="00422668">
        <w:rPr>
          <w:color w:val="231F20"/>
        </w:rPr>
        <w:t xml:space="preserve">.   </w:t>
      </w:r>
      <w:r w:rsidR="00306BFB">
        <w:rPr>
          <w:color w:val="231F20"/>
        </w:rPr>
        <w:t>Therefore,</w:t>
      </w:r>
      <w:r w:rsidR="00422668">
        <w:rPr>
          <w:color w:val="231F20"/>
        </w:rPr>
        <w:t xml:space="preserve"> </w:t>
      </w:r>
      <w:r w:rsidR="00306BFB">
        <w:rPr>
          <w:color w:val="231F20"/>
        </w:rPr>
        <w:t xml:space="preserve">students select </w:t>
      </w:r>
      <w:r w:rsidR="00DA3B64">
        <w:rPr>
          <w:color w:val="231F20"/>
        </w:rPr>
        <w:t>four</w:t>
      </w:r>
      <w:r w:rsidR="00306BFB">
        <w:rPr>
          <w:color w:val="231F20"/>
        </w:rPr>
        <w:t xml:space="preserve"> or more competencies and demonstrates how the ILE facilitates the integration of the selected competencies</w:t>
      </w:r>
      <w:r w:rsidR="0068339E">
        <w:rPr>
          <w:color w:val="231F20"/>
        </w:rPr>
        <w:t xml:space="preserve"> through the written product</w:t>
      </w:r>
      <w:r w:rsidR="003F6C68">
        <w:rPr>
          <w:color w:val="231F20"/>
        </w:rPr>
        <w:t>.  At least f</w:t>
      </w:r>
      <w:r w:rsidR="00002256">
        <w:rPr>
          <w:color w:val="231F20"/>
        </w:rPr>
        <w:t>our</w:t>
      </w:r>
      <w:r w:rsidR="00306BFB">
        <w:rPr>
          <w:color w:val="231F20"/>
        </w:rPr>
        <w:t xml:space="preserve"> competencies must </w:t>
      </w:r>
      <w:r w:rsidR="0068339E">
        <w:rPr>
          <w:color w:val="231F20"/>
        </w:rPr>
        <w:t>be selected. The selected competencies must</w:t>
      </w:r>
      <w:r w:rsidR="00237060">
        <w:rPr>
          <w:color w:val="231F20"/>
        </w:rPr>
        <w:t xml:space="preserve"> </w:t>
      </w:r>
      <w:r w:rsidR="00306BFB">
        <w:rPr>
          <w:color w:val="231F20"/>
        </w:rPr>
        <w:t xml:space="preserve">include </w:t>
      </w:r>
      <w:r w:rsidR="00237060">
        <w:rPr>
          <w:color w:val="231F20"/>
        </w:rPr>
        <w:t>at least one</w:t>
      </w:r>
      <w:r w:rsidR="00306BFB">
        <w:rPr>
          <w:color w:val="231F20"/>
        </w:rPr>
        <w:t xml:space="preserve"> foundational </w:t>
      </w:r>
      <w:r w:rsidR="002A4BF4">
        <w:rPr>
          <w:color w:val="231F20"/>
        </w:rPr>
        <w:t xml:space="preserve">competency </w:t>
      </w:r>
      <w:r w:rsidR="00306BFB">
        <w:rPr>
          <w:color w:val="231F20"/>
        </w:rPr>
        <w:t xml:space="preserve">and </w:t>
      </w:r>
      <w:r w:rsidR="00237060">
        <w:rPr>
          <w:color w:val="231F20"/>
        </w:rPr>
        <w:t xml:space="preserve">at least one </w:t>
      </w:r>
      <w:r w:rsidR="00306BFB">
        <w:rPr>
          <w:color w:val="231F20"/>
        </w:rPr>
        <w:t>co</w:t>
      </w:r>
      <w:r w:rsidR="00237060">
        <w:rPr>
          <w:color w:val="231F20"/>
        </w:rPr>
        <w:t>ncentration-specific competency</w:t>
      </w:r>
      <w:r w:rsidR="00306BFB">
        <w:rPr>
          <w:color w:val="231F20"/>
        </w:rPr>
        <w:t xml:space="preserve">. </w:t>
      </w:r>
      <w:r w:rsidR="006C2009">
        <w:rPr>
          <w:color w:val="231F20"/>
        </w:rPr>
        <w:t>Foundational and concentration-specific competencies can be found</w:t>
      </w:r>
      <w:r w:rsidR="001C5CC5">
        <w:rPr>
          <w:color w:val="231F20"/>
        </w:rPr>
        <w:t xml:space="preserve"> on the program website</w:t>
      </w:r>
      <w:r w:rsidR="00AC01B3">
        <w:rPr>
          <w:color w:val="231F20"/>
        </w:rPr>
        <w:t xml:space="preserve"> and below</w:t>
      </w:r>
      <w:r w:rsidR="001C5CC5">
        <w:rPr>
          <w:color w:val="231F20"/>
        </w:rPr>
        <w:t>.</w:t>
      </w:r>
    </w:p>
    <w:p w14:paraId="618F3A81" w14:textId="4EC4572E" w:rsidR="00AC01B3" w:rsidRDefault="00AC01B3" w:rsidP="0055292B">
      <w:pPr>
        <w:ind w:right="233"/>
        <w:rPr>
          <w:color w:val="231F20"/>
        </w:rPr>
      </w:pPr>
    </w:p>
    <w:p w14:paraId="16805567" w14:textId="6E5F8433" w:rsidR="00AC01B3" w:rsidRDefault="00AC01B3" w:rsidP="00AC01B3">
      <w:pPr>
        <w:jc w:val="center"/>
        <w:rPr>
          <w:rFonts w:eastAsia="Times New Roman" w:cs="Arial"/>
          <w:b/>
          <w:bCs/>
          <w:color w:val="000000"/>
        </w:rPr>
      </w:pPr>
      <w:r w:rsidRPr="009D5CCA">
        <w:rPr>
          <w:rFonts w:eastAsia="Times New Roman" w:cs="Arial"/>
          <w:b/>
          <w:bCs/>
          <w:color w:val="000000"/>
        </w:rPr>
        <w:t xml:space="preserve">Foundational </w:t>
      </w:r>
      <w:r>
        <w:rPr>
          <w:rFonts w:eastAsia="Times New Roman" w:cs="Arial"/>
          <w:b/>
          <w:bCs/>
          <w:color w:val="000000"/>
        </w:rPr>
        <w:t>Competencies</w:t>
      </w:r>
    </w:p>
    <w:p w14:paraId="54591BF2" w14:textId="77777777" w:rsidR="00AC01B3" w:rsidRPr="009D5CCA" w:rsidRDefault="00AC01B3" w:rsidP="00AC01B3">
      <w:pPr>
        <w:jc w:val="center"/>
        <w:rPr>
          <w:rFonts w:eastAsia="Times New Roman" w:cs="Arial"/>
          <w:b/>
          <w:bCs/>
          <w:color w:val="000000"/>
        </w:rPr>
      </w:pPr>
    </w:p>
    <w:p w14:paraId="7991F059"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Times New Roman" w:cs="Arial"/>
          <w:color w:val="000000"/>
        </w:rPr>
        <w:t>Apply epidemiological methods to the breadth of settings and situations in public health practice</w:t>
      </w:r>
    </w:p>
    <w:p w14:paraId="6EBE7393"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Select quantitative and qualitative data collection methods appropriate for a given public health context</w:t>
      </w:r>
    </w:p>
    <w:p w14:paraId="1B64C850" w14:textId="77777777" w:rsidR="00AC01B3" w:rsidRPr="00D104A5"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Analyze quantitative and qualitative data using biostatistics, informatics, computer-based programming and software as appropriate</w:t>
      </w:r>
    </w:p>
    <w:p w14:paraId="04656CEC"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t>Interpret results of data analysis for public health research, policy or practice</w:t>
      </w:r>
    </w:p>
    <w:p w14:paraId="421054A1" w14:textId="77777777" w:rsidR="00AC01B3" w:rsidRPr="009D5CCA" w:rsidRDefault="00AC01B3" w:rsidP="00AC01B3">
      <w:pPr>
        <w:pStyle w:val="ListParagraph"/>
        <w:keepNext/>
        <w:widowControl w:val="0"/>
        <w:numPr>
          <w:ilvl w:val="0"/>
          <w:numId w:val="4"/>
        </w:numPr>
        <w:shd w:val="clear" w:color="auto" w:fill="FFFFFF"/>
        <w:autoSpaceDE w:val="0"/>
        <w:autoSpaceDN w:val="0"/>
        <w:ind w:left="360"/>
        <w:contextualSpacing w:val="0"/>
        <w:jc w:val="both"/>
        <w:rPr>
          <w:rFonts w:eastAsia="Arial Unicode MS" w:cs="Arial"/>
        </w:rPr>
      </w:pPr>
      <w:r w:rsidRPr="009D5CCA">
        <w:rPr>
          <w:rFonts w:eastAsia="Arial Unicode MS" w:cs="Arial"/>
        </w:rPr>
        <w:t>Compare the organization, structure and function of health care, public health and regulatory systems across national and international settings</w:t>
      </w:r>
    </w:p>
    <w:p w14:paraId="078B757D"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Discuss the means by which structural bias, social inequities and racism undermine health and create challenges to achieving health equity at organizational, community and societal levels</w:t>
      </w:r>
    </w:p>
    <w:p w14:paraId="0C26FD74" w14:textId="77777777" w:rsidR="00AC01B3" w:rsidRPr="009D5CCA" w:rsidRDefault="00AC01B3" w:rsidP="00AC01B3">
      <w:pPr>
        <w:pStyle w:val="ListParagraph"/>
        <w:widowControl w:val="0"/>
        <w:numPr>
          <w:ilvl w:val="0"/>
          <w:numId w:val="4"/>
        </w:numPr>
        <w:autoSpaceDE w:val="0"/>
        <w:autoSpaceDN w:val="0"/>
        <w:ind w:left="360"/>
        <w:contextualSpacing w:val="0"/>
        <w:jc w:val="both"/>
        <w:rPr>
          <w:rFonts w:eastAsia="Times New Roman" w:cs="Arial"/>
          <w:color w:val="000000"/>
        </w:rPr>
      </w:pPr>
      <w:r w:rsidRPr="009D5CCA">
        <w:rPr>
          <w:rFonts w:eastAsia="Times New Roman" w:cs="Arial"/>
          <w:color w:val="000000"/>
        </w:rPr>
        <w:t>Assess population needs, assets and capacities that affect communities' health</w:t>
      </w:r>
    </w:p>
    <w:p w14:paraId="4ED5F1BA"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Apply awareness of cultural values and practices to the design or implementation of public health policies or programs</w:t>
      </w:r>
      <w:r w:rsidRPr="009D5CCA">
        <w:rPr>
          <w:rFonts w:eastAsia="Times New Roman" w:cs="Arial"/>
          <w:color w:val="000000"/>
        </w:rPr>
        <w:t xml:space="preserve"> </w:t>
      </w:r>
    </w:p>
    <w:p w14:paraId="00A75B52"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Design a population-based policy, program, project or intervention</w:t>
      </w:r>
    </w:p>
    <w:p w14:paraId="2F66F7BC"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Times New Roman" w:cs="Arial"/>
          <w:color w:val="000000"/>
        </w:rPr>
        <w:t>Explain basic principles and tools of budget and resource management</w:t>
      </w:r>
    </w:p>
    <w:p w14:paraId="1C3AC1D0"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Times New Roman" w:cs="Arial"/>
          <w:color w:val="000000"/>
        </w:rPr>
        <w:t>Select methods to evaluate public health programs</w:t>
      </w:r>
    </w:p>
    <w:p w14:paraId="152A17BA"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Discuss multiple dimensions of the policy-making process, including the roles of ethics and evidence</w:t>
      </w:r>
    </w:p>
    <w:p w14:paraId="0ADCFD86"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Propose strategies to identify stakeholders and build coalitions and partnerships for influencing public health outcomes</w:t>
      </w:r>
    </w:p>
    <w:p w14:paraId="5AF6A953"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Advocate for political, social and economic policies and programs that will improve health in diverse populations</w:t>
      </w:r>
    </w:p>
    <w:p w14:paraId="43CABAB8" w14:textId="77777777" w:rsidR="00AC01B3" w:rsidRPr="009D5CCA" w:rsidRDefault="00AC01B3" w:rsidP="00AC01B3">
      <w:pPr>
        <w:pStyle w:val="ListParagraph"/>
        <w:widowControl w:val="0"/>
        <w:numPr>
          <w:ilvl w:val="0"/>
          <w:numId w:val="4"/>
        </w:numPr>
        <w:shd w:val="clear" w:color="auto" w:fill="FFFFFF"/>
        <w:autoSpaceDE w:val="0"/>
        <w:autoSpaceDN w:val="0"/>
        <w:ind w:left="360"/>
        <w:contextualSpacing w:val="0"/>
        <w:jc w:val="both"/>
        <w:rPr>
          <w:rFonts w:eastAsia="Times New Roman" w:cs="Arial"/>
          <w:color w:val="000000"/>
        </w:rPr>
      </w:pPr>
      <w:r w:rsidRPr="009D5CCA">
        <w:rPr>
          <w:rFonts w:eastAsia="Arial Unicode MS" w:cs="Arial"/>
        </w:rPr>
        <w:t>Evaluate policies for their impact on public health and health equity</w:t>
      </w:r>
    </w:p>
    <w:p w14:paraId="5369F3AB"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Arial Unicode MS" w:cs="Arial"/>
        </w:rPr>
        <w:t>Apply principles of leadership, governance and management, which include creating a vision, empowering others, fostering collaboration and guiding decision making</w:t>
      </w:r>
    </w:p>
    <w:p w14:paraId="22B5C442" w14:textId="77777777" w:rsidR="00AC01B3" w:rsidRPr="009D5CCA" w:rsidRDefault="00AC01B3" w:rsidP="00AC01B3">
      <w:pPr>
        <w:pStyle w:val="ListParagraph"/>
        <w:widowControl w:val="0"/>
        <w:numPr>
          <w:ilvl w:val="0"/>
          <w:numId w:val="4"/>
        </w:numPr>
        <w:autoSpaceDE w:val="0"/>
        <w:autoSpaceDN w:val="0"/>
        <w:ind w:left="360"/>
        <w:contextualSpacing w:val="0"/>
        <w:jc w:val="both"/>
        <w:rPr>
          <w:rFonts w:eastAsia="Arial Unicode MS" w:cs="Arial"/>
        </w:rPr>
      </w:pPr>
      <w:r w:rsidRPr="009D5CCA">
        <w:rPr>
          <w:rFonts w:eastAsia="Arial Unicode MS" w:cs="Arial"/>
        </w:rPr>
        <w:t>Apply negotiation and mediation skills to address organizational or community challenges</w:t>
      </w:r>
    </w:p>
    <w:p w14:paraId="3236E95A" w14:textId="77777777" w:rsidR="00AC01B3" w:rsidRPr="009D5CCA" w:rsidRDefault="00AC01B3" w:rsidP="00AC01B3">
      <w:pPr>
        <w:pStyle w:val="ListParagraph"/>
        <w:widowControl w:val="0"/>
        <w:numPr>
          <w:ilvl w:val="0"/>
          <w:numId w:val="4"/>
        </w:numPr>
        <w:autoSpaceDE w:val="0"/>
        <w:autoSpaceDN w:val="0"/>
        <w:ind w:left="360"/>
        <w:contextualSpacing w:val="0"/>
      </w:pPr>
      <w:r w:rsidRPr="009D5CCA">
        <w:rPr>
          <w:rFonts w:eastAsia="Arial Unicode MS" w:cs="Arial"/>
        </w:rPr>
        <w:t>Select communication strategies for different audiences and sectors</w:t>
      </w:r>
      <w:r w:rsidRPr="009D5CCA">
        <w:t xml:space="preserve"> </w:t>
      </w:r>
    </w:p>
    <w:p w14:paraId="7FA2DF35" w14:textId="77777777" w:rsidR="00AC01B3" w:rsidRPr="009D5CCA" w:rsidRDefault="00AC01B3" w:rsidP="00AC01B3">
      <w:pPr>
        <w:pStyle w:val="ListParagraph"/>
        <w:widowControl w:val="0"/>
        <w:numPr>
          <w:ilvl w:val="0"/>
          <w:numId w:val="4"/>
        </w:numPr>
        <w:autoSpaceDE w:val="0"/>
        <w:autoSpaceDN w:val="0"/>
        <w:ind w:left="360"/>
        <w:contextualSpacing w:val="0"/>
      </w:pPr>
      <w:r w:rsidRPr="009D5CCA">
        <w:t>Communicate audience-appropriate public health content, both in writing and through oral presentation</w:t>
      </w:r>
    </w:p>
    <w:p w14:paraId="2659F954"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t>Describe the importance of cultural competence in communicating public health content</w:t>
      </w:r>
    </w:p>
    <w:p w14:paraId="64BED5C5" w14:textId="77777777" w:rsidR="00AC01B3" w:rsidRPr="009D5CCA"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Times New Roman" w:cs="Arial"/>
          <w:color w:val="000000"/>
        </w:rPr>
        <w:t xml:space="preserve">Perform effectively on </w:t>
      </w:r>
      <w:proofErr w:type="spellStart"/>
      <w:r w:rsidRPr="009D5CCA">
        <w:rPr>
          <w:rFonts w:eastAsia="Times New Roman" w:cs="Arial"/>
          <w:color w:val="000000"/>
        </w:rPr>
        <w:t>interprofessional</w:t>
      </w:r>
      <w:proofErr w:type="spellEnd"/>
      <w:r w:rsidRPr="009D5CCA">
        <w:rPr>
          <w:rFonts w:eastAsia="Times New Roman" w:cs="Arial"/>
          <w:color w:val="000000"/>
        </w:rPr>
        <w:t xml:space="preserve"> teams</w:t>
      </w:r>
    </w:p>
    <w:p w14:paraId="081BC0A2" w14:textId="77777777" w:rsidR="00AC01B3" w:rsidRPr="00BD1197" w:rsidRDefault="00AC01B3" w:rsidP="00AC01B3">
      <w:pPr>
        <w:pStyle w:val="ListParagraph"/>
        <w:widowControl w:val="0"/>
        <w:numPr>
          <w:ilvl w:val="0"/>
          <w:numId w:val="4"/>
        </w:numPr>
        <w:autoSpaceDE w:val="0"/>
        <w:autoSpaceDN w:val="0"/>
        <w:ind w:left="360"/>
        <w:contextualSpacing w:val="0"/>
        <w:rPr>
          <w:rFonts w:eastAsia="Times New Roman" w:cs="Arial"/>
          <w:color w:val="000000"/>
        </w:rPr>
      </w:pPr>
      <w:r w:rsidRPr="009D5CCA">
        <w:rPr>
          <w:rFonts w:eastAsia="Times New Roman" w:cs="Arial"/>
          <w:color w:val="000000"/>
        </w:rPr>
        <w:t>Apply systems thinking tools to a public health issue</w:t>
      </w:r>
    </w:p>
    <w:p w14:paraId="2BB9C711" w14:textId="77777777" w:rsidR="00AC01B3" w:rsidRDefault="00AC01B3" w:rsidP="00AC01B3">
      <w:pPr>
        <w:jc w:val="center"/>
        <w:rPr>
          <w:rFonts w:eastAsia="Times New Roman" w:cs="Arial"/>
          <w:b/>
          <w:bCs/>
          <w:color w:val="000000"/>
        </w:rPr>
      </w:pPr>
    </w:p>
    <w:p w14:paraId="1116A435" w14:textId="55A3434E" w:rsidR="00AC01B3" w:rsidRDefault="00AC01B3" w:rsidP="00AC01B3">
      <w:pPr>
        <w:jc w:val="center"/>
        <w:rPr>
          <w:rFonts w:eastAsia="Times New Roman" w:cs="Arial"/>
          <w:b/>
          <w:bCs/>
          <w:color w:val="000000"/>
        </w:rPr>
      </w:pPr>
      <w:r w:rsidRPr="009D5CCA">
        <w:rPr>
          <w:rFonts w:eastAsia="Times New Roman" w:cs="Arial"/>
          <w:b/>
          <w:bCs/>
          <w:color w:val="000000"/>
        </w:rPr>
        <w:t>Generalist Concentration-specific</w:t>
      </w:r>
      <w:r>
        <w:rPr>
          <w:rFonts w:eastAsia="Times New Roman" w:cs="Arial"/>
          <w:b/>
          <w:bCs/>
          <w:color w:val="000000"/>
        </w:rPr>
        <w:t xml:space="preserve"> Competencies</w:t>
      </w:r>
    </w:p>
    <w:p w14:paraId="2CA62E3E" w14:textId="77777777" w:rsidR="00AC01B3" w:rsidRPr="009D5CCA" w:rsidRDefault="00AC01B3" w:rsidP="00AC01B3">
      <w:pPr>
        <w:jc w:val="center"/>
        <w:rPr>
          <w:rFonts w:eastAsia="Times New Roman"/>
        </w:rPr>
      </w:pPr>
    </w:p>
    <w:p w14:paraId="7E48C1B5" w14:textId="77777777" w:rsidR="00AC01B3" w:rsidRPr="009D5CCA" w:rsidRDefault="00AC01B3" w:rsidP="00AC01B3">
      <w:pPr>
        <w:pStyle w:val="ListParagraph"/>
        <w:widowControl w:val="0"/>
        <w:numPr>
          <w:ilvl w:val="0"/>
          <w:numId w:val="6"/>
        </w:numPr>
        <w:autoSpaceDE w:val="0"/>
        <w:autoSpaceDN w:val="0"/>
        <w:ind w:left="360"/>
        <w:contextualSpacing w:val="0"/>
        <w:rPr>
          <w:rFonts w:eastAsia="Times New Roman" w:cs="Arial"/>
          <w:color w:val="000000"/>
        </w:rPr>
      </w:pPr>
      <w:r w:rsidRPr="009D5CCA">
        <w:rPr>
          <w:rFonts w:eastAsia="Times New Roman" w:cs="Arial"/>
          <w:color w:val="000000"/>
        </w:rPr>
        <w:t>Gather, integrate and analyze descriptive health data from rural or frontier settings.</w:t>
      </w:r>
    </w:p>
    <w:p w14:paraId="483C3E01" w14:textId="77777777" w:rsidR="00AC01B3" w:rsidRPr="009D5CCA" w:rsidRDefault="00AC01B3" w:rsidP="00AC01B3">
      <w:pPr>
        <w:pStyle w:val="ListParagraph"/>
        <w:widowControl w:val="0"/>
        <w:numPr>
          <w:ilvl w:val="0"/>
          <w:numId w:val="6"/>
        </w:numPr>
        <w:autoSpaceDE w:val="0"/>
        <w:autoSpaceDN w:val="0"/>
        <w:ind w:left="360"/>
        <w:contextualSpacing w:val="0"/>
        <w:rPr>
          <w:rFonts w:eastAsia="Times New Roman" w:cs="Arial"/>
          <w:color w:val="000000"/>
        </w:rPr>
      </w:pPr>
      <w:r w:rsidRPr="009D5CCA">
        <w:rPr>
          <w:rFonts w:eastAsia="Times New Roman" w:cs="Arial"/>
          <w:color w:val="000000"/>
        </w:rPr>
        <w:t>Identify the common demographic characteristics of rural or frontier areas and their implications for provision of public health services.</w:t>
      </w:r>
    </w:p>
    <w:p w14:paraId="4A2392F1" w14:textId="77777777" w:rsidR="00AC01B3" w:rsidRPr="009D5CCA" w:rsidRDefault="00AC01B3" w:rsidP="00AC01B3">
      <w:pPr>
        <w:pStyle w:val="ListParagraph"/>
        <w:widowControl w:val="0"/>
        <w:numPr>
          <w:ilvl w:val="0"/>
          <w:numId w:val="6"/>
        </w:numPr>
        <w:autoSpaceDE w:val="0"/>
        <w:autoSpaceDN w:val="0"/>
        <w:ind w:left="360"/>
        <w:contextualSpacing w:val="0"/>
        <w:rPr>
          <w:rFonts w:eastAsia="Times New Roman" w:cs="Arial"/>
          <w:color w:val="000000"/>
        </w:rPr>
      </w:pPr>
      <w:r w:rsidRPr="009D5CCA">
        <w:rPr>
          <w:rFonts w:eastAsia="Times New Roman" w:cs="Arial"/>
          <w:color w:val="000000"/>
        </w:rPr>
        <w:t>Explain the challenges associated with provision of environmental health services in the context of rural or frontier areas.</w:t>
      </w:r>
    </w:p>
    <w:p w14:paraId="51C8F494" w14:textId="77777777" w:rsidR="00AC01B3" w:rsidRPr="009D5CCA" w:rsidRDefault="00AC01B3" w:rsidP="00AC01B3">
      <w:pPr>
        <w:pStyle w:val="ListParagraph"/>
        <w:widowControl w:val="0"/>
        <w:numPr>
          <w:ilvl w:val="0"/>
          <w:numId w:val="6"/>
        </w:numPr>
        <w:autoSpaceDE w:val="0"/>
        <w:autoSpaceDN w:val="0"/>
        <w:ind w:left="360"/>
        <w:contextualSpacing w:val="0"/>
        <w:rPr>
          <w:rFonts w:eastAsia="Times New Roman" w:cs="Arial"/>
          <w:color w:val="000000"/>
        </w:rPr>
      </w:pPr>
      <w:r w:rsidRPr="009D5CCA">
        <w:rPr>
          <w:rFonts w:eastAsia="Times New Roman" w:cs="Arial"/>
          <w:color w:val="000000"/>
        </w:rPr>
        <w:t>Demonstrate basic understanding and respect for a multiplicity of values, believes, traditions and experiences and feelings of satisfaction or distress stemming from social determinants in rural or frontier settings.</w:t>
      </w:r>
    </w:p>
    <w:p w14:paraId="255BA11E" w14:textId="77777777" w:rsidR="00AC01B3" w:rsidRPr="009D5CCA" w:rsidRDefault="00AC01B3" w:rsidP="00AC01B3">
      <w:pPr>
        <w:pStyle w:val="ListParagraph"/>
        <w:widowControl w:val="0"/>
        <w:numPr>
          <w:ilvl w:val="0"/>
          <w:numId w:val="6"/>
        </w:numPr>
        <w:autoSpaceDE w:val="0"/>
        <w:autoSpaceDN w:val="0"/>
        <w:ind w:left="360"/>
        <w:contextualSpacing w:val="0"/>
        <w:rPr>
          <w:rFonts w:eastAsia="Times New Roman" w:cs="Arial"/>
          <w:color w:val="000000"/>
        </w:rPr>
      </w:pPr>
      <w:r w:rsidRPr="009D5CCA">
        <w:rPr>
          <w:rFonts w:eastAsia="Times New Roman" w:cs="Arial"/>
          <w:color w:val="000000"/>
        </w:rPr>
        <w:t>Utilize basic statistical skills to reason about problems associated with the populations of low density and widespread geographic dispersion.</w:t>
      </w:r>
    </w:p>
    <w:p w14:paraId="4740BD16" w14:textId="77777777" w:rsidR="00AC01B3" w:rsidRPr="009D5CCA" w:rsidRDefault="00AC01B3" w:rsidP="00AC01B3">
      <w:pPr>
        <w:pStyle w:val="BodyText"/>
        <w:rPr>
          <w:rFonts w:asciiTheme="minorHAnsi" w:hAnsiTheme="minorHAnsi"/>
        </w:rPr>
      </w:pPr>
    </w:p>
    <w:p w14:paraId="19A2CFE2" w14:textId="7676A709" w:rsidR="00AC01B3" w:rsidRDefault="00AC01B3" w:rsidP="00AC01B3">
      <w:pPr>
        <w:jc w:val="center"/>
        <w:rPr>
          <w:b/>
        </w:rPr>
      </w:pPr>
      <w:r w:rsidRPr="009D5CCA">
        <w:rPr>
          <w:b/>
        </w:rPr>
        <w:t>Community Health and Prevention Sci</w:t>
      </w:r>
      <w:r>
        <w:rPr>
          <w:b/>
        </w:rPr>
        <w:t>ences-specific Competencies</w:t>
      </w:r>
    </w:p>
    <w:p w14:paraId="160DD13E" w14:textId="77777777" w:rsidR="00AC01B3" w:rsidRPr="009D5CCA" w:rsidRDefault="00AC01B3" w:rsidP="00AC01B3">
      <w:pPr>
        <w:jc w:val="center"/>
        <w:rPr>
          <w:b/>
        </w:rPr>
      </w:pPr>
    </w:p>
    <w:p w14:paraId="2B20FD95" w14:textId="77777777" w:rsidR="00AC01B3" w:rsidRPr="009D5CCA" w:rsidRDefault="00AC01B3" w:rsidP="00AC01B3">
      <w:pPr>
        <w:ind w:left="450"/>
        <w:rPr>
          <w:rFonts w:eastAsia="Times New Roman"/>
        </w:rPr>
      </w:pPr>
      <w:r w:rsidRPr="009D5CCA">
        <w:rPr>
          <w:rFonts w:eastAsia="Times New Roman"/>
        </w:rPr>
        <w:t>Area I: Assess Needs, Resources, and Capacity for Health Education/Promotion</w:t>
      </w:r>
    </w:p>
    <w:p w14:paraId="2BAD109A" w14:textId="77777777" w:rsidR="00AC01B3" w:rsidRPr="009D5CCA" w:rsidRDefault="00AC01B3" w:rsidP="00AC01B3">
      <w:pPr>
        <w:ind w:left="450"/>
        <w:rPr>
          <w:rFonts w:eastAsia="Times New Roman"/>
        </w:rPr>
      </w:pPr>
      <w:r w:rsidRPr="009D5CCA">
        <w:rPr>
          <w:rFonts w:eastAsia="Times New Roman"/>
        </w:rPr>
        <w:t>Area II: Plan Health Education/Promotion</w:t>
      </w:r>
    </w:p>
    <w:p w14:paraId="2962A4C3" w14:textId="77777777" w:rsidR="00AC01B3" w:rsidRPr="009D5CCA" w:rsidRDefault="00AC01B3" w:rsidP="00AC01B3">
      <w:pPr>
        <w:ind w:left="450"/>
        <w:rPr>
          <w:rFonts w:eastAsia="Times New Roman"/>
        </w:rPr>
      </w:pPr>
      <w:r w:rsidRPr="009D5CCA">
        <w:rPr>
          <w:rFonts w:eastAsia="Times New Roman"/>
        </w:rPr>
        <w:t>Area III: Implement Health Education/Promotion</w:t>
      </w:r>
    </w:p>
    <w:p w14:paraId="485784E3" w14:textId="77777777" w:rsidR="00AC01B3" w:rsidRPr="009D5CCA" w:rsidRDefault="00AC01B3" w:rsidP="00AC01B3">
      <w:pPr>
        <w:ind w:left="450"/>
        <w:rPr>
          <w:rFonts w:eastAsia="Times New Roman"/>
        </w:rPr>
      </w:pPr>
      <w:r w:rsidRPr="009D5CCA">
        <w:rPr>
          <w:rFonts w:eastAsia="Times New Roman"/>
        </w:rPr>
        <w:t>Area IV: Conduct Evaluation and Research Related to Health Education/Promotion</w:t>
      </w:r>
    </w:p>
    <w:p w14:paraId="6091CD35" w14:textId="77777777" w:rsidR="00AC01B3" w:rsidRPr="009D5CCA" w:rsidRDefault="00AC01B3" w:rsidP="00AC01B3">
      <w:pPr>
        <w:ind w:left="450"/>
        <w:rPr>
          <w:rFonts w:eastAsia="Times New Roman"/>
        </w:rPr>
      </w:pPr>
      <w:r w:rsidRPr="009D5CCA">
        <w:rPr>
          <w:rFonts w:eastAsia="Times New Roman"/>
        </w:rPr>
        <w:t>Area V: Administer and Manage Health Education/Promotion</w:t>
      </w:r>
    </w:p>
    <w:p w14:paraId="547A54CD" w14:textId="77777777" w:rsidR="00AC01B3" w:rsidRPr="009D5CCA" w:rsidRDefault="00AC01B3" w:rsidP="00AC01B3">
      <w:pPr>
        <w:ind w:left="450"/>
        <w:rPr>
          <w:rFonts w:eastAsia="Times New Roman"/>
        </w:rPr>
      </w:pPr>
      <w:r w:rsidRPr="009D5CCA">
        <w:rPr>
          <w:rFonts w:eastAsia="Times New Roman"/>
        </w:rPr>
        <w:t>Area VI: Serve as a Health Education/Promotion Resource Person</w:t>
      </w:r>
    </w:p>
    <w:p w14:paraId="7414218C" w14:textId="31274E47" w:rsidR="00AC01B3" w:rsidRDefault="00AC01B3" w:rsidP="00AC01B3">
      <w:pPr>
        <w:ind w:left="450"/>
        <w:rPr>
          <w:rFonts w:eastAsia="Times New Roman"/>
        </w:rPr>
      </w:pPr>
      <w:r w:rsidRPr="009D5CCA">
        <w:rPr>
          <w:rFonts w:eastAsia="Times New Roman"/>
        </w:rPr>
        <w:t>Area VII:  Communicate, Promote, and Advocate for Health, Health Education/Promotion, and the Profession</w:t>
      </w:r>
    </w:p>
    <w:p w14:paraId="4BF2CAF1" w14:textId="3C604E87" w:rsidR="009F2573" w:rsidRDefault="009F2573" w:rsidP="00AC01B3">
      <w:pPr>
        <w:ind w:left="450"/>
        <w:rPr>
          <w:rFonts w:eastAsia="Times New Roman"/>
        </w:rPr>
      </w:pPr>
    </w:p>
    <w:p w14:paraId="4AF9F0C7" w14:textId="06FF30A3" w:rsidR="009F434B" w:rsidRPr="009F434B" w:rsidRDefault="009F434B" w:rsidP="009F434B">
      <w:pPr>
        <w:ind w:left="450"/>
        <w:rPr>
          <w:highlight w:val="yellow"/>
        </w:rPr>
      </w:pPr>
      <w:r>
        <w:rPr>
          <w:rFonts w:eastAsia="Times New Roman"/>
        </w:rPr>
        <w:t xml:space="preserve">For more information on these Community Health and Prevention Sciences-specific Competencies, please </w:t>
      </w:r>
      <w:r>
        <w:t>visit the National Commission for Health Education Credentialing website:</w:t>
      </w:r>
      <w:r>
        <w:t xml:space="preserve">  </w:t>
      </w:r>
      <w:hyperlink r:id="rId7" w:history="1">
        <w:r>
          <w:rPr>
            <w:rStyle w:val="Hyperlink"/>
          </w:rPr>
          <w:t>https://www.nchec.org/responsibilities-and-competencies</w:t>
        </w:r>
      </w:hyperlink>
    </w:p>
    <w:p w14:paraId="5D516443" w14:textId="704C76F6" w:rsidR="00AC01B3" w:rsidRDefault="00AC01B3" w:rsidP="00AC01B3">
      <w:pPr>
        <w:ind w:right="233"/>
        <w:rPr>
          <w:color w:val="231F20"/>
        </w:rPr>
      </w:pPr>
    </w:p>
    <w:p w14:paraId="2655D6C0" w14:textId="77777777" w:rsidR="00422668" w:rsidRDefault="00422668" w:rsidP="0055292B">
      <w:pPr>
        <w:ind w:right="233"/>
        <w:rPr>
          <w:color w:val="231F20"/>
        </w:rPr>
      </w:pPr>
    </w:p>
    <w:p w14:paraId="513F3411" w14:textId="11860CDF" w:rsidR="0055292B" w:rsidRDefault="00824C98" w:rsidP="0055292B">
      <w:pPr>
        <w:ind w:right="233"/>
        <w:rPr>
          <w:b/>
          <w:color w:val="231F20"/>
        </w:rPr>
      </w:pPr>
      <w:r>
        <w:rPr>
          <w:b/>
          <w:color w:val="231F20"/>
        </w:rPr>
        <w:t>ILE Proposal form</w:t>
      </w:r>
    </w:p>
    <w:p w14:paraId="6A4EDF74" w14:textId="0704879E" w:rsidR="00824C98" w:rsidRDefault="00824C98" w:rsidP="0055292B">
      <w:pPr>
        <w:ind w:right="233"/>
      </w:pPr>
      <w:r>
        <w:t>The proposal form requires the student and the ILE academic advisor to detail the project’s approach, associated public health foundational and concentration‐specific competencies, and evidence of synthesis of competencies.</w:t>
      </w:r>
      <w:r w:rsidR="0068339E">
        <w:t xml:space="preserve"> The proposal form is located on the program website and should be completed prior to the start of the ILE.</w:t>
      </w:r>
    </w:p>
    <w:p w14:paraId="0D79D551" w14:textId="77777777" w:rsidR="00C83895" w:rsidRDefault="00C83895" w:rsidP="0055292B">
      <w:pPr>
        <w:ind w:right="233"/>
      </w:pPr>
    </w:p>
    <w:p w14:paraId="13EE1596" w14:textId="77777777" w:rsidR="00C83895" w:rsidRDefault="00C83895" w:rsidP="00C83895">
      <w:pPr>
        <w:ind w:right="233"/>
        <w:rPr>
          <w:b/>
          <w:color w:val="231F20"/>
        </w:rPr>
      </w:pPr>
      <w:r w:rsidRPr="00306BFB">
        <w:rPr>
          <w:b/>
          <w:color w:val="231F20"/>
        </w:rPr>
        <w:t>Example</w:t>
      </w:r>
      <w:r>
        <w:rPr>
          <w:b/>
          <w:color w:val="231F20"/>
        </w:rPr>
        <w:t>: Competencies and evidence of synthesis</w:t>
      </w:r>
    </w:p>
    <w:p w14:paraId="5BAD4849" w14:textId="0C5ECB33" w:rsidR="00002256" w:rsidRDefault="00002256" w:rsidP="00C83895">
      <w:pPr>
        <w:ind w:right="233"/>
        <w:rPr>
          <w:b/>
          <w:color w:val="231F20"/>
        </w:rPr>
      </w:pPr>
      <w:r>
        <w:t>The table below provides an example of competencies that are put into practice jointly and result in a written document.</w:t>
      </w:r>
    </w:p>
    <w:p w14:paraId="21BB041E" w14:textId="77777777" w:rsidR="00002256" w:rsidRDefault="00002256" w:rsidP="00C83895">
      <w:pPr>
        <w:ind w:right="233"/>
        <w:rPr>
          <w:b/>
          <w:color w:val="231F20"/>
        </w:rPr>
      </w:pPr>
    </w:p>
    <w:tbl>
      <w:tblPr>
        <w:tblStyle w:val="TableGrid"/>
        <w:tblW w:w="0" w:type="auto"/>
        <w:tblLook w:val="04A0" w:firstRow="1" w:lastRow="0" w:firstColumn="1" w:lastColumn="0" w:noHBand="0" w:noVBand="1"/>
      </w:tblPr>
      <w:tblGrid>
        <w:gridCol w:w="4675"/>
        <w:gridCol w:w="4675"/>
      </w:tblGrid>
      <w:tr w:rsidR="00C83895" w:rsidRPr="00154EC7" w14:paraId="563022D0" w14:textId="77777777" w:rsidTr="00426D62">
        <w:trPr>
          <w:trHeight w:val="521"/>
        </w:trPr>
        <w:tc>
          <w:tcPr>
            <w:tcW w:w="4675" w:type="dxa"/>
          </w:tcPr>
          <w:p w14:paraId="2FBED38A" w14:textId="77777777" w:rsidR="00C83895" w:rsidRDefault="00C83895" w:rsidP="00426D62">
            <w:pPr>
              <w:jc w:val="center"/>
              <w:rPr>
                <w:color w:val="2F5496" w:themeColor="accent1" w:themeShade="BF"/>
                <w:sz w:val="20"/>
                <w:szCs w:val="20"/>
              </w:rPr>
            </w:pPr>
            <w:r w:rsidRPr="00154EC7">
              <w:rPr>
                <w:color w:val="2F5496" w:themeColor="accent1" w:themeShade="BF"/>
                <w:sz w:val="20"/>
                <w:szCs w:val="20"/>
              </w:rPr>
              <w:t xml:space="preserve">Competencies </w:t>
            </w:r>
          </w:p>
          <w:p w14:paraId="46C629E0" w14:textId="77777777" w:rsidR="00C83895" w:rsidRPr="00154EC7" w:rsidRDefault="00C83895" w:rsidP="00426D62">
            <w:pPr>
              <w:jc w:val="center"/>
              <w:rPr>
                <w:color w:val="2F5496" w:themeColor="accent1" w:themeShade="BF"/>
                <w:sz w:val="20"/>
                <w:szCs w:val="20"/>
              </w:rPr>
            </w:pPr>
            <w:r w:rsidRPr="00154EC7">
              <w:rPr>
                <w:color w:val="2F5496" w:themeColor="accent1" w:themeShade="BF"/>
                <w:sz w:val="20"/>
                <w:szCs w:val="20"/>
              </w:rPr>
              <w:t>(foundational and concentration-specific)</w:t>
            </w:r>
          </w:p>
        </w:tc>
        <w:tc>
          <w:tcPr>
            <w:tcW w:w="4675" w:type="dxa"/>
            <w:vAlign w:val="center"/>
          </w:tcPr>
          <w:p w14:paraId="3B4160EC" w14:textId="77777777" w:rsidR="00C83895" w:rsidRPr="00154EC7" w:rsidRDefault="00C83895" w:rsidP="00426D62">
            <w:pPr>
              <w:jc w:val="center"/>
              <w:rPr>
                <w:color w:val="2F5496" w:themeColor="accent1" w:themeShade="BF"/>
                <w:sz w:val="20"/>
                <w:szCs w:val="20"/>
              </w:rPr>
            </w:pPr>
            <w:r w:rsidRPr="00154EC7">
              <w:rPr>
                <w:color w:val="2F5496" w:themeColor="accent1" w:themeShade="BF"/>
                <w:sz w:val="20"/>
                <w:szCs w:val="20"/>
              </w:rPr>
              <w:t>Evidence of synthesis</w:t>
            </w:r>
          </w:p>
        </w:tc>
      </w:tr>
      <w:tr w:rsidR="00C83895" w:rsidRPr="00154EC7" w14:paraId="586887E3" w14:textId="77777777" w:rsidTr="00426D62">
        <w:tc>
          <w:tcPr>
            <w:tcW w:w="4675" w:type="dxa"/>
          </w:tcPr>
          <w:p w14:paraId="0FB460AE" w14:textId="77777777" w:rsidR="00C83895" w:rsidRPr="00154EC7" w:rsidRDefault="00C83895" w:rsidP="00426D62">
            <w:pPr>
              <w:rPr>
                <w:color w:val="2F5496" w:themeColor="accent1" w:themeShade="BF"/>
                <w:sz w:val="20"/>
                <w:szCs w:val="20"/>
              </w:rPr>
            </w:pPr>
            <w:r>
              <w:rPr>
                <w:color w:val="2F5496" w:themeColor="accent1" w:themeShade="BF"/>
                <w:sz w:val="20"/>
                <w:szCs w:val="20"/>
              </w:rPr>
              <w:t>4. Interpret results of data analysis for public health research, policy or practice</w:t>
            </w:r>
          </w:p>
        </w:tc>
        <w:tc>
          <w:tcPr>
            <w:tcW w:w="4675" w:type="dxa"/>
            <w:vMerge w:val="restart"/>
          </w:tcPr>
          <w:p w14:paraId="15EDA1E5" w14:textId="14A4694B" w:rsidR="00C83895" w:rsidRPr="00154EC7" w:rsidRDefault="00C83895" w:rsidP="00002256">
            <w:pPr>
              <w:rPr>
                <w:color w:val="2F5496" w:themeColor="accent1" w:themeShade="BF"/>
                <w:sz w:val="20"/>
                <w:szCs w:val="20"/>
              </w:rPr>
            </w:pPr>
            <w:r>
              <w:rPr>
                <w:color w:val="2F5496" w:themeColor="accent1" w:themeShade="BF"/>
                <w:sz w:val="20"/>
                <w:szCs w:val="20"/>
              </w:rPr>
              <w:t>I will complete one major section of a rural county’s community health improvement plan. This will include analyzing data the department has already collected, interpreting the findings, designing one or more interventions to address the identified health problem</w:t>
            </w:r>
            <w:r w:rsidR="00002256">
              <w:rPr>
                <w:color w:val="2F5496" w:themeColor="accent1" w:themeShade="BF"/>
                <w:sz w:val="20"/>
                <w:szCs w:val="20"/>
              </w:rPr>
              <w:t>, and suggesting appropriate evaluation methods</w:t>
            </w:r>
            <w:r>
              <w:rPr>
                <w:color w:val="2F5496" w:themeColor="accent1" w:themeShade="BF"/>
                <w:sz w:val="20"/>
                <w:szCs w:val="20"/>
              </w:rPr>
              <w:t xml:space="preserve">.  I will synthesize and summarize the findings in written form suitable for inclusion in the community health improvement plan.  Data tables and references will be included. </w:t>
            </w:r>
          </w:p>
        </w:tc>
      </w:tr>
      <w:tr w:rsidR="00C83895" w:rsidRPr="00154EC7" w14:paraId="2B345CC5" w14:textId="77777777" w:rsidTr="00426D62">
        <w:tc>
          <w:tcPr>
            <w:tcW w:w="4675" w:type="dxa"/>
          </w:tcPr>
          <w:p w14:paraId="3D31E40F" w14:textId="77777777" w:rsidR="00C83895" w:rsidRPr="00154EC7" w:rsidRDefault="00C83895" w:rsidP="00426D62">
            <w:pPr>
              <w:rPr>
                <w:color w:val="2F5496" w:themeColor="accent1" w:themeShade="BF"/>
                <w:sz w:val="20"/>
                <w:szCs w:val="20"/>
              </w:rPr>
            </w:pPr>
            <w:r>
              <w:rPr>
                <w:color w:val="2F5496" w:themeColor="accent1" w:themeShade="BF"/>
                <w:sz w:val="20"/>
                <w:szCs w:val="20"/>
              </w:rPr>
              <w:t>9. Design a population-based policy, program, project, or intervention</w:t>
            </w:r>
          </w:p>
        </w:tc>
        <w:tc>
          <w:tcPr>
            <w:tcW w:w="4675" w:type="dxa"/>
            <w:vMerge/>
          </w:tcPr>
          <w:p w14:paraId="3E06F010" w14:textId="77777777" w:rsidR="00C83895" w:rsidRPr="00154EC7" w:rsidRDefault="00C83895" w:rsidP="00426D62">
            <w:pPr>
              <w:rPr>
                <w:color w:val="2F5496" w:themeColor="accent1" w:themeShade="BF"/>
                <w:sz w:val="20"/>
                <w:szCs w:val="20"/>
              </w:rPr>
            </w:pPr>
          </w:p>
        </w:tc>
      </w:tr>
      <w:tr w:rsidR="00002256" w:rsidRPr="00154EC7" w14:paraId="2256E231" w14:textId="77777777" w:rsidTr="00426D62">
        <w:tc>
          <w:tcPr>
            <w:tcW w:w="4675" w:type="dxa"/>
          </w:tcPr>
          <w:p w14:paraId="0E97F3D9" w14:textId="0AF17E21" w:rsidR="00002256" w:rsidRDefault="00002256" w:rsidP="00426D62">
            <w:pPr>
              <w:rPr>
                <w:color w:val="2F5496" w:themeColor="accent1" w:themeShade="BF"/>
                <w:sz w:val="20"/>
                <w:szCs w:val="20"/>
              </w:rPr>
            </w:pPr>
            <w:r>
              <w:rPr>
                <w:color w:val="2F5496" w:themeColor="accent1" w:themeShade="BF"/>
                <w:sz w:val="20"/>
                <w:szCs w:val="20"/>
              </w:rPr>
              <w:t xml:space="preserve">10. </w:t>
            </w:r>
            <w:r w:rsidRPr="00002256">
              <w:rPr>
                <w:color w:val="2F5496" w:themeColor="accent1" w:themeShade="BF"/>
                <w:sz w:val="20"/>
                <w:szCs w:val="20"/>
              </w:rPr>
              <w:t>Select methods to evaluate public health programs</w:t>
            </w:r>
          </w:p>
        </w:tc>
        <w:tc>
          <w:tcPr>
            <w:tcW w:w="4675" w:type="dxa"/>
            <w:vMerge/>
          </w:tcPr>
          <w:p w14:paraId="767284A0" w14:textId="77777777" w:rsidR="00002256" w:rsidRPr="00154EC7" w:rsidRDefault="00002256" w:rsidP="00426D62">
            <w:pPr>
              <w:rPr>
                <w:color w:val="2F5496" w:themeColor="accent1" w:themeShade="BF"/>
                <w:sz w:val="20"/>
                <w:szCs w:val="20"/>
              </w:rPr>
            </w:pPr>
          </w:p>
        </w:tc>
      </w:tr>
      <w:tr w:rsidR="00C83895" w:rsidRPr="00154EC7" w14:paraId="40F3EEC4" w14:textId="77777777" w:rsidTr="00426D62">
        <w:tc>
          <w:tcPr>
            <w:tcW w:w="4675" w:type="dxa"/>
          </w:tcPr>
          <w:p w14:paraId="12D7CBEF" w14:textId="77777777" w:rsidR="00C83895" w:rsidRPr="00154EC7" w:rsidRDefault="00C83895" w:rsidP="00426D62">
            <w:pPr>
              <w:rPr>
                <w:color w:val="2F5496" w:themeColor="accent1" w:themeShade="BF"/>
                <w:sz w:val="20"/>
                <w:szCs w:val="20"/>
              </w:rPr>
            </w:pPr>
            <w:r>
              <w:rPr>
                <w:color w:val="2F5496" w:themeColor="accent1" w:themeShade="BF"/>
                <w:sz w:val="20"/>
                <w:szCs w:val="20"/>
              </w:rPr>
              <w:t>Generalist concentration-specific competency 5.  Use basic statistical skills to reason about problems associated with the populations of low density and widespread geographic dispersion</w:t>
            </w:r>
          </w:p>
        </w:tc>
        <w:tc>
          <w:tcPr>
            <w:tcW w:w="4675" w:type="dxa"/>
            <w:vMerge/>
          </w:tcPr>
          <w:p w14:paraId="7BB7458B" w14:textId="77777777" w:rsidR="00C83895" w:rsidRPr="00154EC7" w:rsidRDefault="00C83895" w:rsidP="00426D62">
            <w:pPr>
              <w:rPr>
                <w:color w:val="2F5496" w:themeColor="accent1" w:themeShade="BF"/>
                <w:sz w:val="20"/>
                <w:szCs w:val="20"/>
              </w:rPr>
            </w:pPr>
          </w:p>
        </w:tc>
      </w:tr>
    </w:tbl>
    <w:p w14:paraId="15F93189" w14:textId="77777777" w:rsidR="00C83895" w:rsidRDefault="00C83895" w:rsidP="0055292B">
      <w:pPr>
        <w:ind w:right="233"/>
      </w:pPr>
    </w:p>
    <w:p w14:paraId="5EA882E1" w14:textId="77777777" w:rsidR="001E5E5B" w:rsidRDefault="001E5E5B" w:rsidP="0055292B">
      <w:pPr>
        <w:ind w:right="233"/>
      </w:pPr>
    </w:p>
    <w:p w14:paraId="01B1D09A" w14:textId="2D5D23E0" w:rsidR="001E5E5B" w:rsidRPr="001E5E5B" w:rsidRDefault="0005430E" w:rsidP="0055292B">
      <w:pPr>
        <w:ind w:right="233"/>
        <w:rPr>
          <w:b/>
        </w:rPr>
      </w:pPr>
      <w:r>
        <w:rPr>
          <w:b/>
        </w:rPr>
        <w:t>Final written product and g</w:t>
      </w:r>
      <w:r w:rsidR="001E5E5B" w:rsidRPr="001E5E5B">
        <w:rPr>
          <w:b/>
        </w:rPr>
        <w:t>rading</w:t>
      </w:r>
      <w:r>
        <w:rPr>
          <w:b/>
        </w:rPr>
        <w:t xml:space="preserve"> </w:t>
      </w:r>
    </w:p>
    <w:p w14:paraId="11935EC2" w14:textId="1E94739B" w:rsidR="001E5E5B" w:rsidRDefault="001E5E5B" w:rsidP="0055292B">
      <w:pPr>
        <w:ind w:right="233"/>
        <w:rPr>
          <w:color w:val="231F20"/>
        </w:rPr>
      </w:pPr>
      <w:r>
        <w:rPr>
          <w:color w:val="231F20"/>
        </w:rPr>
        <w:t>The student will submit the final written product to the ILE academ</w:t>
      </w:r>
      <w:r w:rsidR="0005430E">
        <w:rPr>
          <w:color w:val="231F20"/>
        </w:rPr>
        <w:t xml:space="preserve">ic advisor and the reader/grader. </w:t>
      </w:r>
      <w:r>
        <w:rPr>
          <w:color w:val="231F20"/>
        </w:rPr>
        <w:t xml:space="preserve"> The ILE academic advisor and the reader/grader complete a grading rubric</w:t>
      </w:r>
      <w:r w:rsidR="0005430E">
        <w:rPr>
          <w:color w:val="231F20"/>
        </w:rPr>
        <w:t xml:space="preserve"> to evaluate the</w:t>
      </w:r>
      <w:r>
        <w:rPr>
          <w:color w:val="231F20"/>
        </w:rPr>
        <w:t xml:space="preserve"> ILE with regard to </w:t>
      </w:r>
      <w:r w:rsidR="0005430E">
        <w:rPr>
          <w:color w:val="231F20"/>
        </w:rPr>
        <w:t xml:space="preserve">the student’s </w:t>
      </w:r>
      <w:r>
        <w:rPr>
          <w:color w:val="231F20"/>
        </w:rPr>
        <w:t xml:space="preserve">demonstration of the selected competencies.  </w:t>
      </w:r>
      <w:r w:rsidR="0005430E">
        <w:rPr>
          <w:color w:val="231F20"/>
        </w:rPr>
        <w:t>After making any required changes, the student must submit a copy of their final, approved IPE written product to the SPCHS department office, where it will be kept on file.  It is the student’s responsibility to be aware of all graduation and ILE deadlines.</w:t>
      </w:r>
      <w:r>
        <w:rPr>
          <w:color w:val="231F20"/>
        </w:rPr>
        <w:t xml:space="preserve"> </w:t>
      </w:r>
    </w:p>
    <w:p w14:paraId="662E4DC2" w14:textId="5FF0B7B6" w:rsidR="00DA7BD9" w:rsidRDefault="00DA7BD9" w:rsidP="0055292B">
      <w:pPr>
        <w:ind w:right="233"/>
        <w:rPr>
          <w:color w:val="231F20"/>
        </w:rPr>
      </w:pPr>
    </w:p>
    <w:p w14:paraId="76FF615F" w14:textId="213EF537" w:rsidR="006C2009" w:rsidRPr="001E5E5B" w:rsidRDefault="006C2009" w:rsidP="006C2009">
      <w:pPr>
        <w:ind w:right="233"/>
        <w:jc w:val="right"/>
        <w:rPr>
          <w:color w:val="231F20"/>
        </w:rPr>
      </w:pP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r>
      <w:r>
        <w:rPr>
          <w:color w:val="231F20"/>
        </w:rPr>
        <w:tab/>
        <w:t xml:space="preserve">Updated </w:t>
      </w:r>
      <w:r w:rsidR="00F65E2F">
        <w:rPr>
          <w:color w:val="231F20"/>
        </w:rPr>
        <w:t>February 14, 2020</w:t>
      </w:r>
      <w:bookmarkStart w:id="0" w:name="_GoBack"/>
      <w:bookmarkEnd w:id="0"/>
    </w:p>
    <w:sectPr w:rsidR="006C2009" w:rsidRPr="001E5E5B" w:rsidSect="00B038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4D4F" w14:textId="77777777" w:rsidR="006A373A" w:rsidRDefault="006A373A" w:rsidP="00CB10BD">
      <w:r>
        <w:separator/>
      </w:r>
    </w:p>
  </w:endnote>
  <w:endnote w:type="continuationSeparator" w:id="0">
    <w:p w14:paraId="31324F99" w14:textId="77777777" w:rsidR="006A373A" w:rsidRDefault="006A373A" w:rsidP="00CB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5C4E" w14:textId="77777777" w:rsidR="006A373A" w:rsidRDefault="006A373A" w:rsidP="00CB10BD">
      <w:r>
        <w:separator/>
      </w:r>
    </w:p>
  </w:footnote>
  <w:footnote w:type="continuationSeparator" w:id="0">
    <w:p w14:paraId="50B38ECC" w14:textId="77777777" w:rsidR="006A373A" w:rsidRDefault="006A373A" w:rsidP="00CB1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84FF" w14:textId="4DD373C9" w:rsidR="00CB10BD" w:rsidRDefault="00CB10BD">
    <w:pPr>
      <w:pStyle w:val="Header"/>
    </w:pPr>
    <w:r>
      <w:rPr>
        <w:noProof/>
      </w:rPr>
      <w:drawing>
        <wp:anchor distT="0" distB="0" distL="114300" distR="114300" simplePos="0" relativeHeight="251658240" behindDoc="1" locked="0" layoutInCell="1" allowOverlap="1" wp14:anchorId="730A7EEC" wp14:editId="3CA4790D">
          <wp:simplePos x="0" y="0"/>
          <wp:positionH relativeFrom="column">
            <wp:posOffset>-295275</wp:posOffset>
          </wp:positionH>
          <wp:positionV relativeFrom="paragraph">
            <wp:posOffset>-115570</wp:posOffset>
          </wp:positionV>
          <wp:extent cx="2524125" cy="466725"/>
          <wp:effectExtent l="0" t="0" r="9525" b="9525"/>
          <wp:wrapNone/>
          <wp:docPr id="1" name="Picture 1" descr="UM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Logo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66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03E"/>
    <w:multiLevelType w:val="hybridMultilevel"/>
    <w:tmpl w:val="0B006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343C"/>
    <w:multiLevelType w:val="hybridMultilevel"/>
    <w:tmpl w:val="34225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3653F"/>
    <w:multiLevelType w:val="hybridMultilevel"/>
    <w:tmpl w:val="14B6CB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81C4C"/>
    <w:multiLevelType w:val="hybridMultilevel"/>
    <w:tmpl w:val="923A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30AB"/>
    <w:multiLevelType w:val="hybridMultilevel"/>
    <w:tmpl w:val="7A3A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83003"/>
    <w:multiLevelType w:val="hybridMultilevel"/>
    <w:tmpl w:val="19F4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76"/>
    <w:rsid w:val="00002256"/>
    <w:rsid w:val="0005430E"/>
    <w:rsid w:val="00055510"/>
    <w:rsid w:val="000765B5"/>
    <w:rsid w:val="000C41A8"/>
    <w:rsid w:val="00120949"/>
    <w:rsid w:val="00127705"/>
    <w:rsid w:val="001378E5"/>
    <w:rsid w:val="00154EC7"/>
    <w:rsid w:val="001751EB"/>
    <w:rsid w:val="00181ADF"/>
    <w:rsid w:val="001C5CC5"/>
    <w:rsid w:val="001E0CA8"/>
    <w:rsid w:val="001E5E5B"/>
    <w:rsid w:val="00201D28"/>
    <w:rsid w:val="00202B0F"/>
    <w:rsid w:val="00237060"/>
    <w:rsid w:val="00247B8B"/>
    <w:rsid w:val="00281E45"/>
    <w:rsid w:val="00285F08"/>
    <w:rsid w:val="002A3AD8"/>
    <w:rsid w:val="002A4BF4"/>
    <w:rsid w:val="00306BFB"/>
    <w:rsid w:val="003F6C68"/>
    <w:rsid w:val="00422668"/>
    <w:rsid w:val="0043340C"/>
    <w:rsid w:val="00447D86"/>
    <w:rsid w:val="00452A51"/>
    <w:rsid w:val="00471EB3"/>
    <w:rsid w:val="00472D1D"/>
    <w:rsid w:val="004A3446"/>
    <w:rsid w:val="004B01BE"/>
    <w:rsid w:val="004E5F96"/>
    <w:rsid w:val="0055292B"/>
    <w:rsid w:val="0056013E"/>
    <w:rsid w:val="00565F76"/>
    <w:rsid w:val="00596CB9"/>
    <w:rsid w:val="0059780C"/>
    <w:rsid w:val="005B6FDF"/>
    <w:rsid w:val="005C610B"/>
    <w:rsid w:val="005D7560"/>
    <w:rsid w:val="006072F5"/>
    <w:rsid w:val="0068339E"/>
    <w:rsid w:val="00685D1D"/>
    <w:rsid w:val="006A373A"/>
    <w:rsid w:val="006C2009"/>
    <w:rsid w:val="006D312A"/>
    <w:rsid w:val="007113AE"/>
    <w:rsid w:val="00735568"/>
    <w:rsid w:val="00741B49"/>
    <w:rsid w:val="00757B08"/>
    <w:rsid w:val="00763319"/>
    <w:rsid w:val="007F4AC7"/>
    <w:rsid w:val="00824C98"/>
    <w:rsid w:val="0082624E"/>
    <w:rsid w:val="0090416E"/>
    <w:rsid w:val="009079BE"/>
    <w:rsid w:val="009224C5"/>
    <w:rsid w:val="009F165F"/>
    <w:rsid w:val="009F2573"/>
    <w:rsid w:val="009F434B"/>
    <w:rsid w:val="00A60B6C"/>
    <w:rsid w:val="00A77FA3"/>
    <w:rsid w:val="00AA5C04"/>
    <w:rsid w:val="00AC01B3"/>
    <w:rsid w:val="00B038D6"/>
    <w:rsid w:val="00B03BDB"/>
    <w:rsid w:val="00B06FB3"/>
    <w:rsid w:val="00B622F1"/>
    <w:rsid w:val="00B91455"/>
    <w:rsid w:val="00BA13D7"/>
    <w:rsid w:val="00BC2985"/>
    <w:rsid w:val="00C561B8"/>
    <w:rsid w:val="00C77481"/>
    <w:rsid w:val="00C83895"/>
    <w:rsid w:val="00CB10BD"/>
    <w:rsid w:val="00D90F57"/>
    <w:rsid w:val="00DA3B64"/>
    <w:rsid w:val="00DA7BD9"/>
    <w:rsid w:val="00DC16CB"/>
    <w:rsid w:val="00DE33F3"/>
    <w:rsid w:val="00DF1BB7"/>
    <w:rsid w:val="00E01CB5"/>
    <w:rsid w:val="00F44438"/>
    <w:rsid w:val="00F52A0E"/>
    <w:rsid w:val="00F65E2F"/>
    <w:rsid w:val="00FC68E5"/>
    <w:rsid w:val="00FD0787"/>
    <w:rsid w:val="00FD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9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F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F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7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65F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F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5F76"/>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565F76"/>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565F76"/>
    <w:rPr>
      <w:i/>
      <w:iCs/>
      <w:color w:val="4472C4" w:themeColor="accent1"/>
    </w:rPr>
  </w:style>
  <w:style w:type="table" w:styleId="TableGrid">
    <w:name w:val="Table Grid"/>
    <w:basedOn w:val="TableNormal"/>
    <w:uiPriority w:val="39"/>
    <w:rsid w:val="007F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7B08"/>
    <w:pPr>
      <w:ind w:left="720"/>
      <w:contextualSpacing/>
    </w:pPr>
  </w:style>
  <w:style w:type="paragraph" w:styleId="BodyText">
    <w:name w:val="Body Text"/>
    <w:basedOn w:val="Normal"/>
    <w:link w:val="BodyTextChar"/>
    <w:uiPriority w:val="1"/>
    <w:qFormat/>
    <w:rsid w:val="001378E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1378E5"/>
    <w:rPr>
      <w:rFonts w:ascii="Calibri" w:eastAsia="Calibri" w:hAnsi="Calibri" w:cs="Calibri"/>
      <w:sz w:val="22"/>
      <w:szCs w:val="22"/>
    </w:rPr>
  </w:style>
  <w:style w:type="character" w:styleId="Hyperlink">
    <w:name w:val="Hyperlink"/>
    <w:basedOn w:val="DefaultParagraphFont"/>
    <w:uiPriority w:val="99"/>
    <w:unhideWhenUsed/>
    <w:rsid w:val="00FD0787"/>
    <w:rPr>
      <w:color w:val="0563C1" w:themeColor="hyperlink"/>
      <w:u w:val="single"/>
    </w:rPr>
  </w:style>
  <w:style w:type="character" w:styleId="CommentReference">
    <w:name w:val="annotation reference"/>
    <w:basedOn w:val="DefaultParagraphFont"/>
    <w:uiPriority w:val="99"/>
    <w:semiHidden/>
    <w:unhideWhenUsed/>
    <w:rsid w:val="00DF1BB7"/>
    <w:rPr>
      <w:sz w:val="18"/>
      <w:szCs w:val="18"/>
    </w:rPr>
  </w:style>
  <w:style w:type="paragraph" w:styleId="CommentText">
    <w:name w:val="annotation text"/>
    <w:basedOn w:val="Normal"/>
    <w:link w:val="CommentTextChar"/>
    <w:uiPriority w:val="99"/>
    <w:semiHidden/>
    <w:unhideWhenUsed/>
    <w:rsid w:val="00DF1BB7"/>
  </w:style>
  <w:style w:type="character" w:customStyle="1" w:styleId="CommentTextChar">
    <w:name w:val="Comment Text Char"/>
    <w:basedOn w:val="DefaultParagraphFont"/>
    <w:link w:val="CommentText"/>
    <w:uiPriority w:val="99"/>
    <w:semiHidden/>
    <w:rsid w:val="00DF1BB7"/>
  </w:style>
  <w:style w:type="paragraph" w:styleId="CommentSubject">
    <w:name w:val="annotation subject"/>
    <w:basedOn w:val="CommentText"/>
    <w:next w:val="CommentText"/>
    <w:link w:val="CommentSubjectChar"/>
    <w:uiPriority w:val="99"/>
    <w:semiHidden/>
    <w:unhideWhenUsed/>
    <w:rsid w:val="00DF1BB7"/>
    <w:rPr>
      <w:b/>
      <w:bCs/>
      <w:sz w:val="20"/>
      <w:szCs w:val="20"/>
    </w:rPr>
  </w:style>
  <w:style w:type="character" w:customStyle="1" w:styleId="CommentSubjectChar">
    <w:name w:val="Comment Subject Char"/>
    <w:basedOn w:val="CommentTextChar"/>
    <w:link w:val="CommentSubject"/>
    <w:uiPriority w:val="99"/>
    <w:semiHidden/>
    <w:rsid w:val="00DF1BB7"/>
    <w:rPr>
      <w:b/>
      <w:bCs/>
      <w:sz w:val="20"/>
      <w:szCs w:val="20"/>
    </w:rPr>
  </w:style>
  <w:style w:type="paragraph" w:styleId="BalloonText">
    <w:name w:val="Balloon Text"/>
    <w:basedOn w:val="Normal"/>
    <w:link w:val="BalloonTextChar"/>
    <w:uiPriority w:val="99"/>
    <w:semiHidden/>
    <w:unhideWhenUsed/>
    <w:rsid w:val="00DF1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1BB7"/>
    <w:rPr>
      <w:rFonts w:ascii="Times New Roman" w:hAnsi="Times New Roman" w:cs="Times New Roman"/>
      <w:sz w:val="18"/>
      <w:szCs w:val="18"/>
    </w:rPr>
  </w:style>
  <w:style w:type="paragraph" w:styleId="Header">
    <w:name w:val="header"/>
    <w:basedOn w:val="Normal"/>
    <w:link w:val="HeaderChar"/>
    <w:uiPriority w:val="99"/>
    <w:unhideWhenUsed/>
    <w:rsid w:val="00CB10BD"/>
    <w:pPr>
      <w:tabs>
        <w:tab w:val="center" w:pos="4680"/>
        <w:tab w:val="right" w:pos="9360"/>
      </w:tabs>
    </w:pPr>
  </w:style>
  <w:style w:type="character" w:customStyle="1" w:styleId="HeaderChar">
    <w:name w:val="Header Char"/>
    <w:basedOn w:val="DefaultParagraphFont"/>
    <w:link w:val="Header"/>
    <w:uiPriority w:val="99"/>
    <w:rsid w:val="00CB10BD"/>
  </w:style>
  <w:style w:type="paragraph" w:styleId="Footer">
    <w:name w:val="footer"/>
    <w:basedOn w:val="Normal"/>
    <w:link w:val="FooterChar"/>
    <w:uiPriority w:val="99"/>
    <w:unhideWhenUsed/>
    <w:rsid w:val="00CB10BD"/>
    <w:pPr>
      <w:tabs>
        <w:tab w:val="center" w:pos="4680"/>
        <w:tab w:val="right" w:pos="9360"/>
      </w:tabs>
    </w:pPr>
  </w:style>
  <w:style w:type="character" w:customStyle="1" w:styleId="FooterChar">
    <w:name w:val="Footer Char"/>
    <w:basedOn w:val="DefaultParagraphFont"/>
    <w:link w:val="Footer"/>
    <w:uiPriority w:val="99"/>
    <w:rsid w:val="00CB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28012">
      <w:bodyDiv w:val="1"/>
      <w:marLeft w:val="0"/>
      <w:marRight w:val="0"/>
      <w:marTop w:val="0"/>
      <w:marBottom w:val="0"/>
      <w:divBdr>
        <w:top w:val="none" w:sz="0" w:space="0" w:color="auto"/>
        <w:left w:val="none" w:sz="0" w:space="0" w:color="auto"/>
        <w:bottom w:val="none" w:sz="0" w:space="0" w:color="auto"/>
        <w:right w:val="none" w:sz="0" w:space="0" w:color="auto"/>
      </w:divBdr>
    </w:div>
    <w:div w:id="114184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hec.org/responsibilities-and-compet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 Harris</dc:creator>
  <cp:keywords/>
  <dc:description/>
  <cp:lastModifiedBy>Dye, Patrick</cp:lastModifiedBy>
  <cp:revision>5</cp:revision>
  <dcterms:created xsi:type="dcterms:W3CDTF">2020-02-14T18:04:00Z</dcterms:created>
  <dcterms:modified xsi:type="dcterms:W3CDTF">2020-02-14T18:20:00Z</dcterms:modified>
</cp:coreProperties>
</file>