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2EF5" w14:textId="704D4D5C" w:rsidR="007D63F7" w:rsidRPr="007D63F7" w:rsidRDefault="007D63F7" w:rsidP="007D63F7">
      <w:pPr>
        <w:pStyle w:val="Heading1"/>
      </w:pPr>
      <w:bookmarkStart w:id="0" w:name="_Hlk67572867"/>
      <w:r w:rsidRPr="007D63F7">
        <w:t>Rural Institute Child and Family Tip Sheet</w:t>
      </w:r>
    </w:p>
    <w:p w14:paraId="6DF56208" w14:textId="03ED7B47" w:rsidR="00470BBC" w:rsidRPr="007D63F7" w:rsidRDefault="007D63F7" w:rsidP="007D63F7">
      <w:pPr>
        <w:pStyle w:val="Heading2"/>
        <w:rPr>
          <w:b w:val="0"/>
        </w:rPr>
      </w:pPr>
      <w:r w:rsidRPr="007D63F7">
        <w:t>Building Skills Through Toys</w:t>
      </w:r>
      <w:bookmarkEnd w:id="0"/>
    </w:p>
    <w:p w14:paraId="435627E8" w14:textId="77777777" w:rsidR="00470BBC" w:rsidRDefault="00470BBC" w:rsidP="003106A4">
      <w:pPr>
        <w:rPr>
          <w:rFonts w:ascii="Calibri" w:hAnsi="Calibri" w:cs="Calibri"/>
          <w:b/>
          <w:sz w:val="32"/>
          <w:szCs w:val="32"/>
        </w:rPr>
      </w:pPr>
    </w:p>
    <w:p w14:paraId="0A507DD1" w14:textId="46867FD8" w:rsidR="003106A4" w:rsidRPr="003106A4" w:rsidRDefault="007B40CD" w:rsidP="003106A4">
      <w:pPr>
        <w:rPr>
          <w:rFonts w:ascii="Calibri" w:hAnsi="Calibri" w:cs="Calibri"/>
        </w:rPr>
      </w:pPr>
      <w:r>
        <w:rPr>
          <w:rFonts w:ascii="Calibri" w:hAnsi="Calibri" w:cs="Calibri"/>
        </w:rPr>
        <w:t>C</w:t>
      </w:r>
      <w:r w:rsidR="003106A4" w:rsidRPr="003106A4">
        <w:rPr>
          <w:rFonts w:ascii="Calibri" w:hAnsi="Calibri" w:cs="Calibri"/>
        </w:rPr>
        <w:t xml:space="preserve">hildren learn important skills from interacting with </w:t>
      </w:r>
      <w:r w:rsidR="007E3125">
        <w:rPr>
          <w:rFonts w:ascii="Calibri" w:hAnsi="Calibri" w:cs="Calibri"/>
        </w:rPr>
        <w:t xml:space="preserve">peers and </w:t>
      </w:r>
      <w:r w:rsidR="003106A4" w:rsidRPr="003106A4">
        <w:rPr>
          <w:rFonts w:ascii="Calibri" w:hAnsi="Calibri" w:cs="Calibri"/>
        </w:rPr>
        <w:t xml:space="preserve">play materials. </w:t>
      </w:r>
      <w:r w:rsidR="00BA596E">
        <w:rPr>
          <w:rFonts w:ascii="Calibri" w:hAnsi="Calibri" w:cs="Calibri"/>
        </w:rPr>
        <w:t>Here are some things to think about w</w:t>
      </w:r>
      <w:r w:rsidR="002F2913">
        <w:rPr>
          <w:rFonts w:ascii="Calibri" w:hAnsi="Calibri" w:cs="Calibri"/>
        </w:rPr>
        <w:t>hen evaluating toys for a group-play setting</w:t>
      </w:r>
      <w:r w:rsidR="00BA596E">
        <w:rPr>
          <w:rFonts w:ascii="Calibri" w:hAnsi="Calibri" w:cs="Calibri"/>
        </w:rPr>
        <w:t>.</w:t>
      </w:r>
    </w:p>
    <w:p w14:paraId="4CF767E2" w14:textId="7FFC6F0E" w:rsidR="007B40CD" w:rsidRPr="00C043FD" w:rsidRDefault="007B40CD" w:rsidP="007D63F7">
      <w:pPr>
        <w:pStyle w:val="Heading3"/>
        <w:rPr>
          <w:b w:val="0"/>
        </w:rPr>
      </w:pPr>
      <w:r w:rsidRPr="00C043FD">
        <w:t>T</w:t>
      </w:r>
      <w:r w:rsidR="003106A4" w:rsidRPr="00C043FD">
        <w:t xml:space="preserve">oys </w:t>
      </w:r>
      <w:r w:rsidRPr="00C043FD">
        <w:t>should be</w:t>
      </w:r>
      <w:r w:rsidR="003106A4" w:rsidRPr="00C043FD">
        <w:t>:</w:t>
      </w:r>
    </w:p>
    <w:p w14:paraId="2327EF1C" w14:textId="5C383761" w:rsidR="009C4803" w:rsidRPr="009C4803" w:rsidRDefault="009C4803" w:rsidP="007D63F7">
      <w:pPr>
        <w:pStyle w:val="ListParagraph"/>
        <w:numPr>
          <w:ilvl w:val="0"/>
          <w:numId w:val="4"/>
        </w:numPr>
      </w:pPr>
      <w:r w:rsidRPr="009C4803">
        <w:t>Durable</w:t>
      </w:r>
    </w:p>
    <w:p w14:paraId="4A592257" w14:textId="63BEA0B3" w:rsidR="007E3125" w:rsidRDefault="007E3125" w:rsidP="007D63F7">
      <w:pPr>
        <w:pStyle w:val="ListParagraph"/>
        <w:numPr>
          <w:ilvl w:val="0"/>
          <w:numId w:val="4"/>
        </w:numPr>
      </w:pPr>
      <w:r w:rsidRPr="007B40CD">
        <w:t>Visually invit</w:t>
      </w:r>
      <w:r>
        <w:t>ing</w:t>
      </w:r>
    </w:p>
    <w:p w14:paraId="47DF3B67" w14:textId="5F2C612C" w:rsidR="008D7936" w:rsidRPr="008D7936" w:rsidRDefault="008D7936" w:rsidP="007D63F7">
      <w:pPr>
        <w:pStyle w:val="ListParagraph"/>
        <w:numPr>
          <w:ilvl w:val="0"/>
          <w:numId w:val="4"/>
        </w:numPr>
      </w:pPr>
      <w:r w:rsidRPr="008D7936">
        <w:t xml:space="preserve">Easy to clean and sanitize </w:t>
      </w:r>
    </w:p>
    <w:p w14:paraId="593899F8" w14:textId="77777777" w:rsidR="007B40CD" w:rsidRDefault="003106A4" w:rsidP="007D63F7">
      <w:pPr>
        <w:pStyle w:val="ListParagraph"/>
        <w:numPr>
          <w:ilvl w:val="0"/>
          <w:numId w:val="4"/>
        </w:numPr>
      </w:pPr>
      <w:r w:rsidRPr="007B40CD">
        <w:t xml:space="preserve">The right size for </w:t>
      </w:r>
      <w:r w:rsidR="007E3125">
        <w:t xml:space="preserve">the </w:t>
      </w:r>
      <w:r w:rsidRPr="007B40CD">
        <w:t>space or room arrangement</w:t>
      </w:r>
    </w:p>
    <w:p w14:paraId="6B77B0AF" w14:textId="77777777" w:rsidR="007B40CD" w:rsidRDefault="003106A4" w:rsidP="007D63F7">
      <w:pPr>
        <w:pStyle w:val="ListParagraph"/>
        <w:numPr>
          <w:ilvl w:val="0"/>
          <w:numId w:val="4"/>
        </w:numPr>
      </w:pPr>
      <w:r w:rsidRPr="007B40CD">
        <w:t>Versatile, with more than one use</w:t>
      </w:r>
    </w:p>
    <w:p w14:paraId="69C2117F" w14:textId="77777777" w:rsidR="003106A4" w:rsidRDefault="003106A4" w:rsidP="007D63F7">
      <w:pPr>
        <w:pStyle w:val="ListParagraph"/>
        <w:numPr>
          <w:ilvl w:val="0"/>
          <w:numId w:val="4"/>
        </w:numPr>
      </w:pPr>
      <w:r w:rsidRPr="007B40CD">
        <w:t>Safe for the age and stage of e</w:t>
      </w:r>
      <w:r w:rsidR="007B40CD">
        <w:t>very</w:t>
      </w:r>
      <w:r w:rsidRPr="007B40CD">
        <w:t xml:space="preserve"> child</w:t>
      </w:r>
    </w:p>
    <w:p w14:paraId="4E43EBC4" w14:textId="40B795BA" w:rsidR="00B92DB8" w:rsidRPr="007D63F7" w:rsidRDefault="00B92DB8" w:rsidP="007D63F7">
      <w:pPr>
        <w:pStyle w:val="Heading3"/>
      </w:pPr>
      <w:r w:rsidRPr="007D63F7">
        <w:t>Toys should also be:</w:t>
      </w:r>
    </w:p>
    <w:p w14:paraId="1C516CAF" w14:textId="0CCDCD26" w:rsidR="003106A4" w:rsidRPr="007B40CD" w:rsidRDefault="003106A4" w:rsidP="00D8168C">
      <w:pPr>
        <w:pStyle w:val="Heading4"/>
        <w:rPr>
          <w:b w:val="0"/>
        </w:rPr>
      </w:pPr>
      <w:r w:rsidRPr="007B40CD">
        <w:t>Accessible</w:t>
      </w:r>
    </w:p>
    <w:p w14:paraId="7AC337CF" w14:textId="6FB7A9B4" w:rsidR="003106A4" w:rsidRPr="003106A4" w:rsidRDefault="00F72A94" w:rsidP="003106A4">
      <w:pPr>
        <w:rPr>
          <w:rFonts w:ascii="Calibri" w:hAnsi="Calibri" w:cs="Calibri"/>
        </w:rPr>
      </w:pPr>
      <w:r w:rsidRPr="00F72A94">
        <w:rPr>
          <w:rFonts w:ascii="Calibri" w:hAnsi="Calibri" w:cs="Calibri"/>
        </w:rPr>
        <w:t xml:space="preserve">The equipment or toy should allow each child </w:t>
      </w:r>
      <w:r w:rsidR="00835DBE">
        <w:rPr>
          <w:rFonts w:ascii="Calibri" w:hAnsi="Calibri" w:cs="Calibri"/>
        </w:rPr>
        <w:t>to</w:t>
      </w:r>
      <w:r w:rsidRPr="00F72A94">
        <w:rPr>
          <w:rFonts w:ascii="Calibri" w:hAnsi="Calibri" w:cs="Calibri"/>
        </w:rPr>
        <w:t xml:space="preserve"> </w:t>
      </w:r>
      <w:r w:rsidR="00BA596E">
        <w:rPr>
          <w:rFonts w:ascii="Calibri" w:hAnsi="Calibri" w:cs="Calibri"/>
        </w:rPr>
        <w:t xml:space="preserve">use </w:t>
      </w:r>
      <w:r w:rsidRPr="00F72A94">
        <w:rPr>
          <w:rFonts w:ascii="Calibri" w:hAnsi="Calibri" w:cs="Calibri"/>
        </w:rPr>
        <w:t>the toy without help.</w:t>
      </w:r>
      <w:r w:rsidR="003106A4" w:rsidRPr="003106A4">
        <w:rPr>
          <w:rFonts w:ascii="Calibri" w:hAnsi="Calibri" w:cs="Calibri"/>
        </w:rPr>
        <w:t xml:space="preserve">  </w:t>
      </w:r>
      <w:r w:rsidR="00DD7A32" w:rsidRPr="00DD7A32">
        <w:rPr>
          <w:rFonts w:ascii="Calibri" w:hAnsi="Calibri" w:cs="Calibri"/>
        </w:rPr>
        <w:t>For example, a teeter-totter with handlebars and a back rest can be used by children of varying abilities.</w:t>
      </w:r>
      <w:r>
        <w:rPr>
          <w:rFonts w:ascii="Calibri" w:hAnsi="Calibri" w:cs="Calibri"/>
        </w:rPr>
        <w:t xml:space="preserve"> </w:t>
      </w:r>
    </w:p>
    <w:p w14:paraId="2E40EFEB" w14:textId="77777777" w:rsidR="003106A4" w:rsidRPr="007B40CD" w:rsidRDefault="003106A4" w:rsidP="00D8168C">
      <w:pPr>
        <w:pStyle w:val="Heading4"/>
      </w:pPr>
      <w:r w:rsidRPr="007B40CD">
        <w:t xml:space="preserve">Adaptable </w:t>
      </w:r>
    </w:p>
    <w:p w14:paraId="0C40DD9F" w14:textId="621EE448" w:rsidR="003106A4" w:rsidRPr="003106A4" w:rsidRDefault="006D0EDB" w:rsidP="003106A4">
      <w:pPr>
        <w:rPr>
          <w:rFonts w:ascii="Calibri" w:hAnsi="Calibri" w:cs="Calibri"/>
        </w:rPr>
      </w:pPr>
      <w:r w:rsidRPr="006D0EDB">
        <w:rPr>
          <w:rFonts w:ascii="Calibri" w:hAnsi="Calibri" w:cs="Calibri"/>
        </w:rPr>
        <w:t xml:space="preserve">It is more important that each child can play with a toy </w:t>
      </w:r>
      <w:r w:rsidR="00BA596E">
        <w:rPr>
          <w:rFonts w:ascii="Calibri" w:hAnsi="Calibri" w:cs="Calibri"/>
        </w:rPr>
        <w:t xml:space="preserve">in some way </w:t>
      </w:r>
      <w:r w:rsidRPr="006D0EDB">
        <w:rPr>
          <w:rFonts w:ascii="Calibri" w:hAnsi="Calibri" w:cs="Calibri"/>
        </w:rPr>
        <w:t xml:space="preserve">than it is for children to play </w:t>
      </w:r>
      <w:r w:rsidR="00BA596E">
        <w:rPr>
          <w:rFonts w:ascii="Calibri" w:hAnsi="Calibri" w:cs="Calibri"/>
        </w:rPr>
        <w:t xml:space="preserve">with a toy in </w:t>
      </w:r>
      <w:r w:rsidRPr="006D0EDB">
        <w:rPr>
          <w:rFonts w:ascii="Calibri" w:hAnsi="Calibri" w:cs="Calibri"/>
        </w:rPr>
        <w:t>the same wa</w:t>
      </w:r>
      <w:r w:rsidR="00BA596E">
        <w:rPr>
          <w:rFonts w:ascii="Calibri" w:hAnsi="Calibri" w:cs="Calibri"/>
        </w:rPr>
        <w:t>y</w:t>
      </w:r>
      <w:r w:rsidRPr="006D0EDB">
        <w:rPr>
          <w:rFonts w:ascii="Calibri" w:hAnsi="Calibri" w:cs="Calibri"/>
        </w:rPr>
        <w:t>.</w:t>
      </w:r>
      <w:r>
        <w:rPr>
          <w:rFonts w:ascii="Calibri" w:hAnsi="Calibri" w:cs="Calibri"/>
        </w:rPr>
        <w:t xml:space="preserve"> </w:t>
      </w:r>
      <w:r w:rsidR="00B92DB8">
        <w:rPr>
          <w:rFonts w:ascii="Calibri" w:hAnsi="Calibri" w:cs="Calibri"/>
        </w:rPr>
        <w:t>A</w:t>
      </w:r>
      <w:r w:rsidR="003106A4" w:rsidRPr="003106A4">
        <w:rPr>
          <w:rFonts w:ascii="Calibri" w:hAnsi="Calibri" w:cs="Calibri"/>
        </w:rPr>
        <w:t xml:space="preserve"> water table</w:t>
      </w:r>
      <w:r w:rsidR="00B92DB8">
        <w:rPr>
          <w:rFonts w:ascii="Calibri" w:hAnsi="Calibri" w:cs="Calibri"/>
        </w:rPr>
        <w:t xml:space="preserve">, for example, </w:t>
      </w:r>
      <w:r w:rsidR="003106A4" w:rsidRPr="003106A4">
        <w:rPr>
          <w:rFonts w:ascii="Calibri" w:hAnsi="Calibri" w:cs="Calibri"/>
        </w:rPr>
        <w:t xml:space="preserve">offers a </w:t>
      </w:r>
      <w:r w:rsidR="008E7640" w:rsidRPr="003106A4">
        <w:rPr>
          <w:rFonts w:ascii="Calibri" w:hAnsi="Calibri" w:cs="Calibri"/>
        </w:rPr>
        <w:t xml:space="preserve">sensory play </w:t>
      </w:r>
      <w:r w:rsidR="003106A4" w:rsidRPr="003106A4">
        <w:rPr>
          <w:rFonts w:ascii="Calibri" w:hAnsi="Calibri" w:cs="Calibri"/>
        </w:rPr>
        <w:t xml:space="preserve">experience </w:t>
      </w:r>
      <w:r w:rsidR="00017221">
        <w:rPr>
          <w:rFonts w:ascii="Calibri" w:hAnsi="Calibri" w:cs="Calibri"/>
        </w:rPr>
        <w:t>for kids with a variety of skill levels</w:t>
      </w:r>
      <w:r w:rsidR="003106A4" w:rsidRPr="003106A4">
        <w:rPr>
          <w:rFonts w:ascii="Calibri" w:hAnsi="Calibri" w:cs="Calibri"/>
        </w:rPr>
        <w:t xml:space="preserve">. </w:t>
      </w:r>
    </w:p>
    <w:p w14:paraId="2F82C8AC" w14:textId="0D7ED008" w:rsidR="003106A4" w:rsidRDefault="003106A4" w:rsidP="00D8168C">
      <w:pPr>
        <w:pStyle w:val="Heading4"/>
      </w:pPr>
      <w:r w:rsidRPr="007B40CD">
        <w:t>Cooperative</w:t>
      </w:r>
    </w:p>
    <w:p w14:paraId="54FF740F" w14:textId="7FE546A2" w:rsidR="00F72A94" w:rsidRPr="00F72A94" w:rsidRDefault="00F72A94" w:rsidP="003106A4">
      <w:pPr>
        <w:rPr>
          <w:rFonts w:ascii="Calibri" w:hAnsi="Calibri" w:cs="Calibri"/>
        </w:rPr>
      </w:pPr>
      <w:r w:rsidRPr="00F72A94">
        <w:rPr>
          <w:rFonts w:ascii="Calibri" w:hAnsi="Calibri" w:cs="Calibri"/>
        </w:rPr>
        <w:t xml:space="preserve">Some materials inspire collaborative play, such as a parachute or wagon. Children may express their wishes, use turn-taking skills, or discuss rules for play when playing with cooperative toys. </w:t>
      </w:r>
    </w:p>
    <w:p w14:paraId="44024ED0" w14:textId="32661015" w:rsidR="003106A4" w:rsidRPr="00D8168C" w:rsidRDefault="003106A4" w:rsidP="00D8168C">
      <w:pPr>
        <w:pStyle w:val="Heading4"/>
      </w:pPr>
      <w:r w:rsidRPr="00D8168C">
        <w:t xml:space="preserve">Designed for </w:t>
      </w:r>
      <w:r w:rsidR="00EF1CD0" w:rsidRPr="00D8168C">
        <w:t>T</w:t>
      </w:r>
      <w:r w:rsidRPr="00D8168C">
        <w:t>wo</w:t>
      </w:r>
    </w:p>
    <w:p w14:paraId="704DA7DA" w14:textId="73C7EEB8" w:rsidR="00F61160" w:rsidRDefault="00835DBE" w:rsidP="003106A4">
      <w:pPr>
        <w:rPr>
          <w:rFonts w:ascii="Calibri" w:hAnsi="Calibri" w:cs="Calibri"/>
        </w:rPr>
      </w:pPr>
      <w:r w:rsidRPr="00835DBE">
        <w:rPr>
          <w:rFonts w:ascii="Calibri" w:hAnsi="Calibri" w:cs="Calibri"/>
        </w:rPr>
        <w:t>Materials designed for two allow children to play together</w:t>
      </w:r>
      <w:r w:rsidR="005B1710" w:rsidRPr="005B1710">
        <w:rPr>
          <w:rFonts w:ascii="Calibri" w:hAnsi="Calibri" w:cs="Calibri"/>
        </w:rPr>
        <w:t xml:space="preserve">. The toy may have two seats (a two-seated tricycle) or a handle and a place to ride (a wagon) or two entrances (a tunnel or barrel). </w:t>
      </w:r>
    </w:p>
    <w:p w14:paraId="4C93E33B" w14:textId="081DDCC1" w:rsidR="003106A4" w:rsidRPr="007B40CD" w:rsidRDefault="003106A4" w:rsidP="00D8168C">
      <w:pPr>
        <w:pStyle w:val="Heading4"/>
      </w:pPr>
      <w:r w:rsidRPr="007B40CD">
        <w:t>Interactive</w:t>
      </w:r>
    </w:p>
    <w:p w14:paraId="66A1516F" w14:textId="581DF125" w:rsidR="00840564" w:rsidRDefault="009C4803" w:rsidP="003106A4">
      <w:pPr>
        <w:rPr>
          <w:rFonts w:ascii="Calibri" w:hAnsi="Calibri" w:cs="Calibri"/>
        </w:rPr>
      </w:pPr>
      <w:r w:rsidRPr="009C4803">
        <w:rPr>
          <w:rFonts w:ascii="Calibri" w:hAnsi="Calibri" w:cs="Calibri"/>
        </w:rPr>
        <w:t xml:space="preserve">Toys should encourage children to interact. </w:t>
      </w:r>
      <w:r w:rsidR="00F61160">
        <w:rPr>
          <w:rFonts w:ascii="Calibri" w:hAnsi="Calibri" w:cs="Calibri"/>
        </w:rPr>
        <w:t>C</w:t>
      </w:r>
      <w:r w:rsidRPr="009C4803">
        <w:rPr>
          <w:rFonts w:ascii="Calibri" w:hAnsi="Calibri" w:cs="Calibri"/>
        </w:rPr>
        <w:t>hildren communicate with each other verbally and nonverbally (smiles, frowns, hand signals) when they play face-to-face.  A</w:t>
      </w:r>
      <w:r w:rsidR="006D0EDB">
        <w:rPr>
          <w:rFonts w:ascii="Calibri" w:hAnsi="Calibri" w:cs="Calibri"/>
        </w:rPr>
        <w:t>dding a</w:t>
      </w:r>
      <w:r w:rsidRPr="009C4803">
        <w:rPr>
          <w:rFonts w:ascii="Calibri" w:hAnsi="Calibri" w:cs="Calibri"/>
        </w:rPr>
        <w:t xml:space="preserve"> dishpan of sand or water may increase opportunities for children to watch each other’s play and communicate. Easels placed side-by-side maximize children’s interaction better than ones that are back-to-back. </w:t>
      </w:r>
    </w:p>
    <w:p w14:paraId="29C351E0" w14:textId="56289178" w:rsidR="00CB6011" w:rsidRDefault="007B40CD" w:rsidP="00D8168C">
      <w:pPr>
        <w:pStyle w:val="Heading3"/>
      </w:pPr>
      <w:r w:rsidRPr="00FB0A42">
        <w:t>Adapting Toys</w:t>
      </w:r>
    </w:p>
    <w:p w14:paraId="6D619756" w14:textId="1EF99430" w:rsidR="00B92DB8" w:rsidRPr="00B92DB8" w:rsidRDefault="00B92DB8" w:rsidP="003106A4">
      <w:pPr>
        <w:rPr>
          <w:rFonts w:ascii="Calibri" w:hAnsi="Calibri" w:cs="Calibri"/>
        </w:rPr>
      </w:pPr>
      <w:r w:rsidRPr="00B92DB8">
        <w:rPr>
          <w:rFonts w:ascii="Calibri" w:hAnsi="Calibri" w:cs="Calibri"/>
        </w:rPr>
        <w:t xml:space="preserve">Here are some ideas on </w:t>
      </w:r>
      <w:r>
        <w:rPr>
          <w:rFonts w:ascii="Calibri" w:hAnsi="Calibri" w:cs="Calibri"/>
        </w:rPr>
        <w:t xml:space="preserve">how </w:t>
      </w:r>
      <w:r w:rsidRPr="00B92DB8">
        <w:rPr>
          <w:rFonts w:ascii="Calibri" w:hAnsi="Calibri" w:cs="Calibri"/>
        </w:rPr>
        <w:t>toys</w:t>
      </w:r>
      <w:r>
        <w:rPr>
          <w:rFonts w:ascii="Calibri" w:hAnsi="Calibri" w:cs="Calibri"/>
        </w:rPr>
        <w:t xml:space="preserve"> can be adapted so kids with a variety of abilities can play together</w:t>
      </w:r>
      <w:r w:rsidRPr="00B92DB8">
        <w:rPr>
          <w:rFonts w:ascii="Calibri" w:hAnsi="Calibri" w:cs="Calibri"/>
        </w:rPr>
        <w:t>.</w:t>
      </w:r>
    </w:p>
    <w:p w14:paraId="3E5DF4F5" w14:textId="7275133B" w:rsidR="003106A4" w:rsidRPr="007B40CD" w:rsidRDefault="003106A4" w:rsidP="00D8168C">
      <w:pPr>
        <w:pStyle w:val="Heading4"/>
      </w:pPr>
      <w:r w:rsidRPr="007B40CD">
        <w:t xml:space="preserve">Make </w:t>
      </w:r>
      <w:r w:rsidR="00C600F8">
        <w:t>T</w:t>
      </w:r>
      <w:r w:rsidRPr="007B40CD">
        <w:t xml:space="preserve">oys </w:t>
      </w:r>
      <w:r w:rsidR="00C600F8">
        <w:t>E</w:t>
      </w:r>
      <w:r w:rsidRPr="007B40CD">
        <w:t xml:space="preserve">asier to </w:t>
      </w:r>
      <w:r w:rsidR="00C600F8">
        <w:t>G</w:t>
      </w:r>
      <w:r w:rsidRPr="007B40CD">
        <w:t>rasp</w:t>
      </w:r>
    </w:p>
    <w:p w14:paraId="1FAD7D5C" w14:textId="77777777" w:rsidR="00840564" w:rsidRDefault="00840564" w:rsidP="00D8168C">
      <w:r w:rsidRPr="00840564">
        <w:t>You can make toys easier to grasp by:</w:t>
      </w:r>
    </w:p>
    <w:p w14:paraId="2A081AFE" w14:textId="05D82EA2" w:rsidR="006D0EDB" w:rsidRDefault="00840564" w:rsidP="00D8168C">
      <w:pPr>
        <w:pStyle w:val="ListParagraph"/>
        <w:numPr>
          <w:ilvl w:val="0"/>
          <w:numId w:val="5"/>
        </w:numPr>
      </w:pPr>
      <w:r w:rsidRPr="00D8168C">
        <w:rPr>
          <w:b/>
        </w:rPr>
        <w:lastRenderedPageBreak/>
        <w:t>Adding a knob</w:t>
      </w:r>
      <w:r w:rsidRPr="006D0EDB">
        <w:t xml:space="preserve">. </w:t>
      </w:r>
      <w:r w:rsidR="006D0EDB" w:rsidRPr="006D0EDB">
        <w:t>Glue a ball, a large bead, or a small peg to a puzzle or wind-up toy. If a puzzle piece has no handle, attach a spool, bead, or drawer pull.</w:t>
      </w:r>
    </w:p>
    <w:p w14:paraId="067DCD7A" w14:textId="13A32255" w:rsidR="00840564" w:rsidRPr="006D0EDB" w:rsidRDefault="00840564" w:rsidP="00D8168C">
      <w:pPr>
        <w:pStyle w:val="ListParagraph"/>
        <w:numPr>
          <w:ilvl w:val="0"/>
          <w:numId w:val="5"/>
        </w:numPr>
      </w:pPr>
      <w:r w:rsidRPr="00D8168C">
        <w:rPr>
          <w:b/>
        </w:rPr>
        <w:t>Attaching a ring</w:t>
      </w:r>
      <w:r w:rsidRPr="006D0EDB">
        <w:t xml:space="preserve">. If a stuffed animal is large and does not have arms or legs that </w:t>
      </w:r>
      <w:r w:rsidR="00111807">
        <w:t>are</w:t>
      </w:r>
      <w:r w:rsidRPr="006D0EDB">
        <w:t xml:space="preserve"> easy to grasp, attach a bracelet or metal ring securely to the animal.</w:t>
      </w:r>
    </w:p>
    <w:p w14:paraId="7E4A1681" w14:textId="7B4E48CC" w:rsidR="00840564" w:rsidRDefault="00840564" w:rsidP="00D8168C">
      <w:r>
        <w:t>(</w:t>
      </w:r>
      <w:r w:rsidRPr="00840564">
        <w:t>Make sure the improvised piece is firmly attached to avoid a potential choking hazard.</w:t>
      </w:r>
      <w:r>
        <w:t>)</w:t>
      </w:r>
    </w:p>
    <w:p w14:paraId="6495C8CB" w14:textId="41AF5484" w:rsidR="003106A4" w:rsidRPr="00D8168C" w:rsidRDefault="003106A4" w:rsidP="00D8168C">
      <w:pPr>
        <w:pStyle w:val="Heading4"/>
      </w:pPr>
      <w:r w:rsidRPr="00D8168C">
        <w:t xml:space="preserve">Make the </w:t>
      </w:r>
      <w:r w:rsidR="00C600F8" w:rsidRPr="00D8168C">
        <w:t>T</w:t>
      </w:r>
      <w:r w:rsidRPr="00D8168C">
        <w:t xml:space="preserve">oys </w:t>
      </w:r>
      <w:r w:rsidR="00C600F8" w:rsidRPr="00D8168C">
        <w:t>M</w:t>
      </w:r>
      <w:r w:rsidRPr="00D8168C">
        <w:t xml:space="preserve">ore </w:t>
      </w:r>
      <w:r w:rsidR="00C600F8" w:rsidRPr="00D8168C">
        <w:t>I</w:t>
      </w:r>
      <w:r w:rsidRPr="00D8168C">
        <w:t>ntriguing</w:t>
      </w:r>
    </w:p>
    <w:p w14:paraId="13048E74" w14:textId="2FDCFD09" w:rsidR="00840564" w:rsidRDefault="00840564" w:rsidP="00D8168C">
      <w:r w:rsidRPr="00840564">
        <w:t>Children may not know how to play with a toy</w:t>
      </w:r>
      <w:r w:rsidR="00BC7802">
        <w:t>,</w:t>
      </w:r>
      <w:r w:rsidRPr="00840564">
        <w:t xml:space="preserve"> or a toy may have lost its appeal. </w:t>
      </w:r>
      <w:r w:rsidR="00CB6011">
        <w:t>Consider:</w:t>
      </w:r>
    </w:p>
    <w:p w14:paraId="4DCD1F39" w14:textId="6EC6DFA9" w:rsidR="00840564" w:rsidRDefault="00840564" w:rsidP="00D8168C">
      <w:pPr>
        <w:pStyle w:val="ListParagraph"/>
        <w:numPr>
          <w:ilvl w:val="0"/>
          <w:numId w:val="6"/>
        </w:numPr>
      </w:pPr>
      <w:r w:rsidRPr="00D8168C">
        <w:rPr>
          <w:b/>
        </w:rPr>
        <w:t>Group</w:t>
      </w:r>
      <w:r w:rsidR="00CB6011" w:rsidRPr="00D8168C">
        <w:rPr>
          <w:b/>
        </w:rPr>
        <w:t>ing</w:t>
      </w:r>
      <w:r w:rsidRPr="00D8168C">
        <w:rPr>
          <w:b/>
        </w:rPr>
        <w:t xml:space="preserve"> toys to suggest a play theme</w:t>
      </w:r>
      <w:r w:rsidRPr="00840564">
        <w:t>. Surround a stuffed animal with feeding equipment or arrange an airplane puzzle next to toy airplanes. Grouping helps children make play connections and sparks imagination.</w:t>
      </w:r>
    </w:p>
    <w:p w14:paraId="1A2A470C" w14:textId="6D90DCCB" w:rsidR="00111807" w:rsidRDefault="00840564" w:rsidP="00D8168C">
      <w:pPr>
        <w:pStyle w:val="ListParagraph"/>
        <w:numPr>
          <w:ilvl w:val="0"/>
          <w:numId w:val="6"/>
        </w:numPr>
      </w:pPr>
      <w:r w:rsidRPr="00D8168C">
        <w:rPr>
          <w:b/>
        </w:rPr>
        <w:t>Add</w:t>
      </w:r>
      <w:r w:rsidR="00CB6011" w:rsidRPr="00D8168C">
        <w:rPr>
          <w:b/>
        </w:rPr>
        <w:t>ing</w:t>
      </w:r>
      <w:r w:rsidRPr="00D8168C">
        <w:rPr>
          <w:b/>
        </w:rPr>
        <w:t xml:space="preserve"> a surprise element</w:t>
      </w:r>
      <w:r w:rsidRPr="00111807">
        <w:t xml:space="preserve">. </w:t>
      </w:r>
      <w:r w:rsidR="00111807" w:rsidRPr="00111807">
        <w:t xml:space="preserve">Adding a sensory experience or using the toy in an unpredictable way can make familiar toys interesting again.  Freezing pretend food before putting it in the </w:t>
      </w:r>
      <w:r w:rsidR="00055FA8">
        <w:t>play kitchen</w:t>
      </w:r>
      <w:r w:rsidR="00111807" w:rsidRPr="00111807">
        <w:t xml:space="preserve"> or putting clothes on a stuffed animal add a surprise to ordinary play.</w:t>
      </w:r>
    </w:p>
    <w:p w14:paraId="41A20375" w14:textId="62F44E35" w:rsidR="003106A4" w:rsidRPr="00D8168C" w:rsidRDefault="003106A4" w:rsidP="00D8168C">
      <w:pPr>
        <w:pStyle w:val="Heading4"/>
      </w:pPr>
      <w:r w:rsidRPr="00D8168C">
        <w:t xml:space="preserve">Increase the Interaction Value </w:t>
      </w:r>
    </w:p>
    <w:p w14:paraId="44F1AB78" w14:textId="14F2F0F7" w:rsidR="00C67C6A" w:rsidRPr="00C67C6A" w:rsidRDefault="00C67C6A" w:rsidP="00D8168C">
      <w:r w:rsidRPr="00C67C6A">
        <w:t>Adaptations can create new opportunities for children to interact.</w:t>
      </w:r>
    </w:p>
    <w:p w14:paraId="1531A962" w14:textId="5B6E570A" w:rsidR="00C67C6A" w:rsidRDefault="00C67C6A" w:rsidP="00D8168C">
      <w:pPr>
        <w:pStyle w:val="ListParagraph"/>
        <w:numPr>
          <w:ilvl w:val="0"/>
          <w:numId w:val="7"/>
        </w:numPr>
      </w:pPr>
      <w:r w:rsidRPr="00D8168C">
        <w:rPr>
          <w:b/>
        </w:rPr>
        <w:t>Provide duplicates of the same toy</w:t>
      </w:r>
      <w:r w:rsidRPr="008D5B75">
        <w:t>.</w:t>
      </w:r>
      <w:r w:rsidRPr="00C67C6A">
        <w:t xml:space="preserve"> </w:t>
      </w:r>
      <w:r w:rsidR="0087665F" w:rsidRPr="005B1710">
        <w:t>Have enough blocks, paints, crayons, scoops, etc., for small groups of children to use at the same time.</w:t>
      </w:r>
      <w:r w:rsidR="0087665F">
        <w:t xml:space="preserve"> </w:t>
      </w:r>
      <w:r w:rsidRPr="00C67C6A">
        <w:t xml:space="preserve">Children are </w:t>
      </w:r>
      <w:r w:rsidR="0087665F">
        <w:t>more likely to interact and share if there are enough toys for all.</w:t>
      </w:r>
      <w:r w:rsidRPr="00C67C6A">
        <w:t xml:space="preserve"> </w:t>
      </w:r>
    </w:p>
    <w:p w14:paraId="6A2F70A9" w14:textId="45B84402" w:rsidR="00C67C6A" w:rsidRDefault="00C67C6A" w:rsidP="00D8168C">
      <w:pPr>
        <w:pStyle w:val="ListParagraph"/>
        <w:numPr>
          <w:ilvl w:val="0"/>
          <w:numId w:val="7"/>
        </w:numPr>
      </w:pPr>
      <w:r w:rsidRPr="00D8168C">
        <w:rPr>
          <w:b/>
        </w:rPr>
        <w:t>Add props</w:t>
      </w:r>
      <w:r w:rsidRPr="008D5B75">
        <w:t xml:space="preserve">. </w:t>
      </w:r>
      <w:r w:rsidRPr="00C67C6A">
        <w:t xml:space="preserve">When it is impossible to provide duplicate toys, arrange toys with props. Grouping </w:t>
      </w:r>
      <w:r w:rsidR="008D5B75">
        <w:t>a</w:t>
      </w:r>
      <w:r w:rsidRPr="00C67C6A">
        <w:t xml:space="preserve"> ball with large plastic hoops and construction cones increases the chances that children play together. </w:t>
      </w:r>
    </w:p>
    <w:p w14:paraId="246F1DD3" w14:textId="3901E195" w:rsidR="003106A4" w:rsidRPr="00C67C6A" w:rsidRDefault="003106A4" w:rsidP="00D8168C">
      <w:pPr>
        <w:pStyle w:val="Heading4"/>
      </w:pPr>
      <w:r w:rsidRPr="00C67C6A">
        <w:t>Add Extra Sensory Input</w:t>
      </w:r>
    </w:p>
    <w:p w14:paraId="7CC7EFBD" w14:textId="06104933" w:rsidR="005D5266" w:rsidRPr="005D5266" w:rsidRDefault="005D5266" w:rsidP="00D8168C">
      <w:r w:rsidRPr="005D5266">
        <w:t>Children may not be able to process information with one or more of their senses</w:t>
      </w:r>
      <w:r w:rsidR="00BC7802">
        <w:t>; a</w:t>
      </w:r>
      <w:r w:rsidRPr="005D5266">
        <w:t xml:space="preserve">daptations add extra sensory input. </w:t>
      </w:r>
    </w:p>
    <w:p w14:paraId="7D3F7DF8" w14:textId="27990C9E" w:rsidR="005D5266" w:rsidRDefault="005D5266" w:rsidP="00D8168C">
      <w:pPr>
        <w:pStyle w:val="ListParagraph"/>
        <w:numPr>
          <w:ilvl w:val="0"/>
          <w:numId w:val="8"/>
        </w:numPr>
      </w:pPr>
      <w:r w:rsidRPr="00D8168C">
        <w:rPr>
          <w:b/>
        </w:rPr>
        <w:t>Add food extracts</w:t>
      </w:r>
      <w:r w:rsidRPr="005D5266">
        <w:t xml:space="preserve">. Adding smells may </w:t>
      </w:r>
      <w:r w:rsidR="0087665F">
        <w:t>prompt</w:t>
      </w:r>
      <w:r w:rsidR="0087665F" w:rsidRPr="005D5266">
        <w:t xml:space="preserve"> </w:t>
      </w:r>
      <w:r w:rsidRPr="005D5266">
        <w:t>children to use toys</w:t>
      </w:r>
      <w:r w:rsidR="00BC7802">
        <w:t xml:space="preserve"> differently</w:t>
      </w:r>
      <w:r w:rsidRPr="005D5266">
        <w:t xml:space="preserve">. </w:t>
      </w:r>
      <w:r w:rsidR="00E04C66">
        <w:t xml:space="preserve">For example, adding </w:t>
      </w:r>
      <w:r w:rsidRPr="005D5266">
        <w:t>vanilla extract</w:t>
      </w:r>
      <w:r w:rsidR="00E04C66">
        <w:t xml:space="preserve"> </w:t>
      </w:r>
      <w:r w:rsidRPr="005D5266">
        <w:t>to playdough may encourage a child to pretend to bake. If you have children in your care who exhibit Pica (compulsive eating of nonfood items), make sure any items you’re scenting are not toxic if ingested.</w:t>
      </w:r>
    </w:p>
    <w:p w14:paraId="1DE2F083" w14:textId="77777777" w:rsidR="005D5266" w:rsidRDefault="005D5266" w:rsidP="00D8168C">
      <w:pPr>
        <w:pStyle w:val="ListParagraph"/>
        <w:numPr>
          <w:ilvl w:val="0"/>
          <w:numId w:val="8"/>
        </w:numPr>
      </w:pPr>
      <w:r w:rsidRPr="00D8168C">
        <w:rPr>
          <w:b/>
        </w:rPr>
        <w:t>Add new texture</w:t>
      </w:r>
      <w:r w:rsidRPr="005D5266">
        <w:t>.</w:t>
      </w:r>
      <w:r w:rsidRPr="00D8168C">
        <w:rPr>
          <w:b/>
        </w:rPr>
        <w:t xml:space="preserve"> </w:t>
      </w:r>
      <w:r w:rsidRPr="005D5266">
        <w:t>Attach Velcro dots to blocks, include sponges with water play, or add sand to finger paint. Be aware that some children may have adverse reactions to certain textures.</w:t>
      </w:r>
    </w:p>
    <w:p w14:paraId="4A4EAE56" w14:textId="77777777" w:rsidR="00B92DB8" w:rsidRDefault="005D5266" w:rsidP="00D8168C">
      <w:pPr>
        <w:pStyle w:val="ListParagraph"/>
        <w:numPr>
          <w:ilvl w:val="0"/>
          <w:numId w:val="8"/>
        </w:numPr>
      </w:pPr>
      <w:r w:rsidRPr="00D8168C">
        <w:rPr>
          <w:b/>
        </w:rPr>
        <w:t>Vary temperature</w:t>
      </w:r>
      <w:r w:rsidRPr="005D5266">
        <w:t xml:space="preserve">. A </w:t>
      </w:r>
      <w:r>
        <w:t xml:space="preserve">warm </w:t>
      </w:r>
      <w:r w:rsidRPr="005D5266">
        <w:t xml:space="preserve">stuffed animal may encourage more cuddling. </w:t>
      </w:r>
      <w:r w:rsidR="0063710A">
        <w:t>Changing the temperature of the water from one day to the next can add a fun surprise to w</w:t>
      </w:r>
      <w:r w:rsidRPr="005D5266">
        <w:t>ater play</w:t>
      </w:r>
      <w:r w:rsidR="0063710A">
        <w:t>.</w:t>
      </w:r>
    </w:p>
    <w:p w14:paraId="7E06A221" w14:textId="4783067D" w:rsidR="00BB7CE3" w:rsidRPr="00B92DB8" w:rsidRDefault="005D5266" w:rsidP="00D8168C">
      <w:pPr>
        <w:pStyle w:val="ListParagraph"/>
        <w:numPr>
          <w:ilvl w:val="0"/>
          <w:numId w:val="8"/>
        </w:numPr>
      </w:pPr>
      <w:r w:rsidRPr="00D8168C">
        <w:rPr>
          <w:b/>
        </w:rPr>
        <w:t>Increase visual contrast</w:t>
      </w:r>
      <w:r w:rsidRPr="00B92DB8">
        <w:t>. If a child has difficulty seeing where a puzzle piece fits, use paint or markers to darken the space where puzzle pieces go. If a child cannot distinguish between two parts of a snap, paint one part of the snap a different color. When coloring or painting, it is helpful if the color of paper is different from the color of the table.</w:t>
      </w:r>
    </w:p>
    <w:p w14:paraId="75BBF49C" w14:textId="14EE073D" w:rsidR="00504242" w:rsidRDefault="00504242" w:rsidP="00504242"/>
    <w:p w14:paraId="4427B509" w14:textId="6BEAA891" w:rsidR="00504242" w:rsidRDefault="00504242" w:rsidP="00D8168C">
      <w:pPr>
        <w:pStyle w:val="Heading4"/>
      </w:pPr>
      <w:r>
        <w:lastRenderedPageBreak/>
        <w:t>MonTECH Blurb:</w:t>
      </w:r>
    </w:p>
    <w:p w14:paraId="3F1F7D7C" w14:textId="12AA2507" w:rsidR="00504242" w:rsidRDefault="00504242" w:rsidP="00D8168C">
      <w:r>
        <w:t xml:space="preserve">If you know a child who is unable to play with toys in a typically hands-on way, MonTECH can help. MonTECH is a free service that loans tools and devices to support independence. </w:t>
      </w:r>
    </w:p>
    <w:p w14:paraId="361DE5F9" w14:textId="3963A402" w:rsidR="00504242" w:rsidRDefault="00470BBC" w:rsidP="00D8168C">
      <w:r>
        <w:t>A</w:t>
      </w:r>
      <w:r w:rsidR="00504242">
        <w:t xml:space="preserve"> child who cannot play with a toy with their hands may be able to play with a toy by pressing a button. MonTECH carries specially adapted toys and a wide range of buttons (called ‘switches’) that can activate the toy with one light touch of a finger, foot, knee, head, or any body part that can move. </w:t>
      </w:r>
    </w:p>
    <w:p w14:paraId="340C58D3" w14:textId="3D0470C6" w:rsidR="00504242" w:rsidRDefault="00504242" w:rsidP="00D8168C">
      <w:r>
        <w:t xml:space="preserve">Toys and switches can be checked out and borrowed like a library book. Request them through our website or by email or phone, and we’ll ship to you for free. At the end of 30 days, mail the items back to us (utilizing our free return shipping) and request something else to try with your little ones! </w:t>
      </w:r>
    </w:p>
    <w:p w14:paraId="58B8688C" w14:textId="77777777" w:rsidR="00504242" w:rsidRDefault="00504242" w:rsidP="00D8168C">
      <w:r>
        <w:t xml:space="preserve">Use MonTECH to provide a range of toy options for your kiddos with diagnoses, or to try a product before you decide whether to buy a similar one for your center. MonTECH also loans communication, mobility, feeding, and positioning equipment; our team is accustomed to working with educators, families, and therapists to ensure the right loan item for the children in your care (although you’re most welcome to explore options on your own!). </w:t>
      </w:r>
    </w:p>
    <w:p w14:paraId="091F2743" w14:textId="763FDF00" w:rsidR="00470BBC" w:rsidRDefault="00504242" w:rsidP="00504242">
      <w:pPr>
        <w:rPr>
          <w:rFonts w:cs="Avenir Light"/>
          <w:color w:val="221E1F"/>
          <w:sz w:val="23"/>
          <w:szCs w:val="23"/>
        </w:rPr>
      </w:pPr>
      <w:r>
        <w:rPr>
          <w:rFonts w:cs="Avenir Light"/>
          <w:color w:val="221E1F"/>
          <w:sz w:val="23"/>
          <w:szCs w:val="23"/>
        </w:rPr>
        <w:t xml:space="preserve">Please call or write with any questions about how MonTECH can support you: </w:t>
      </w:r>
    </w:p>
    <w:p w14:paraId="091CC9A5" w14:textId="14C8CBD1" w:rsidR="00470BBC" w:rsidRDefault="00D8168C" w:rsidP="00504242">
      <w:pPr>
        <w:rPr>
          <w:rFonts w:cs="Avenir Light"/>
          <w:color w:val="221E1F"/>
          <w:sz w:val="23"/>
          <w:szCs w:val="23"/>
        </w:rPr>
      </w:pPr>
      <w:hyperlink r:id="rId5" w:history="1">
        <w:r w:rsidR="00470BBC" w:rsidRPr="007063E4">
          <w:rPr>
            <w:rStyle w:val="Hyperlink"/>
            <w:rFonts w:ascii="Avenir Medium" w:hAnsi="Avenir Medium" w:cs="Avenir Medium"/>
            <w:sz w:val="23"/>
            <w:szCs w:val="23"/>
          </w:rPr>
          <w:t>montech@mso.umt.edu</w:t>
        </w:r>
      </w:hyperlink>
    </w:p>
    <w:p w14:paraId="71BEB4FA" w14:textId="77777777" w:rsidR="00470BBC" w:rsidRDefault="00504242" w:rsidP="00504242">
      <w:pPr>
        <w:rPr>
          <w:rFonts w:cs="Avenir Light"/>
          <w:color w:val="221E1F"/>
          <w:sz w:val="23"/>
          <w:szCs w:val="23"/>
        </w:rPr>
      </w:pPr>
      <w:r>
        <w:rPr>
          <w:rFonts w:ascii="Avenir Medium" w:hAnsi="Avenir Medium" w:cs="Avenir Medium"/>
          <w:color w:val="221E1F"/>
          <w:sz w:val="23"/>
          <w:szCs w:val="23"/>
        </w:rPr>
        <w:t>(406) 243-5751</w:t>
      </w:r>
      <w:r>
        <w:rPr>
          <w:rFonts w:cs="Avenir Light"/>
          <w:color w:val="221E1F"/>
          <w:sz w:val="23"/>
          <w:szCs w:val="23"/>
        </w:rPr>
        <w:t xml:space="preserve">, or </w:t>
      </w:r>
      <w:r>
        <w:rPr>
          <w:rFonts w:ascii="Avenir Medium" w:hAnsi="Avenir Medium" w:cs="Avenir Medium"/>
          <w:color w:val="221E1F"/>
          <w:sz w:val="23"/>
          <w:szCs w:val="23"/>
        </w:rPr>
        <w:t>1-877-243-5511</w:t>
      </w:r>
    </w:p>
    <w:p w14:paraId="676EE0CD" w14:textId="3DD10903" w:rsidR="00504242" w:rsidRDefault="00D8168C" w:rsidP="00470BBC">
      <w:pPr>
        <w:rPr>
          <w:rFonts w:ascii="Avenir Medium" w:hAnsi="Avenir Medium" w:cs="Avenir Medium"/>
          <w:color w:val="221E1F"/>
          <w:sz w:val="23"/>
          <w:szCs w:val="23"/>
        </w:rPr>
      </w:pPr>
      <w:hyperlink r:id="rId6" w:history="1">
        <w:r w:rsidR="00470BBC" w:rsidRPr="007063E4">
          <w:rPr>
            <w:rStyle w:val="Hyperlink"/>
            <w:rFonts w:ascii="Avenir Medium" w:hAnsi="Avenir Medium" w:cs="Avenir Medium"/>
            <w:sz w:val="23"/>
            <w:szCs w:val="23"/>
          </w:rPr>
          <w:t>http://montech.ruralinstitute.umt.edu/</w:t>
        </w:r>
      </w:hyperlink>
      <w:r w:rsidR="00470BBC">
        <w:rPr>
          <w:rFonts w:ascii="Avenir Medium" w:hAnsi="Avenir Medium" w:cs="Avenir Medium"/>
          <w:color w:val="221E1F"/>
          <w:sz w:val="23"/>
          <w:szCs w:val="23"/>
        </w:rPr>
        <w:t xml:space="preserve"> </w:t>
      </w:r>
    </w:p>
    <w:p w14:paraId="17700EAC" w14:textId="1F2A76C9" w:rsidR="00470BBC" w:rsidRDefault="00470BBC" w:rsidP="00470BBC">
      <w:r w:rsidRPr="00470BBC">
        <w:t xml:space="preserve">This fact sheet was originally published in </w:t>
      </w:r>
      <w:r w:rsidR="00284BE3">
        <w:t>2011.</w:t>
      </w:r>
    </w:p>
    <w:p w14:paraId="3B1BB5E4" w14:textId="311DC080" w:rsidR="007D63F7" w:rsidRDefault="007D63F7" w:rsidP="00470BBC"/>
    <w:p w14:paraId="79BE74AD" w14:textId="77777777" w:rsidR="007D63F7" w:rsidRPr="00911A6A" w:rsidRDefault="007D63F7" w:rsidP="00D8168C">
      <w:bookmarkStart w:id="1" w:name="_Hlk67403227"/>
      <w:r w:rsidRPr="00911A6A">
        <w:t xml:space="preserve">The Child Care Plus Center was based at the Rural Institute from 1987 to 2012. The </w:t>
      </w:r>
      <w:r>
        <w:t xml:space="preserve">nationally-focused </w:t>
      </w:r>
      <w:r w:rsidRPr="00911A6A">
        <w:t>Center supported and promoted inclusive early childhood environments.</w:t>
      </w:r>
    </w:p>
    <w:p w14:paraId="1A8F11F4" w14:textId="77777777" w:rsidR="007D63F7" w:rsidRDefault="007D63F7" w:rsidP="00D8168C">
      <w:bookmarkStart w:id="2" w:name="_Hlk67389630"/>
      <w:r w:rsidRPr="00911A6A">
        <w:t>Child Care Plus is no longer an active project</w:t>
      </w:r>
      <w:r>
        <w:t>. H</w:t>
      </w:r>
      <w:r w:rsidRPr="00911A6A">
        <w:t xml:space="preserve">owever, the materials are still relevant. </w:t>
      </w:r>
      <w:r>
        <w:t xml:space="preserve">To address the needs of a broad audience, </w:t>
      </w:r>
      <w:r w:rsidRPr="00911A6A">
        <w:t xml:space="preserve">Rural Institute staff updated </w:t>
      </w:r>
      <w:r>
        <w:t xml:space="preserve">several </w:t>
      </w:r>
      <w:r w:rsidRPr="00911A6A">
        <w:t xml:space="preserve">Child Care Plus </w:t>
      </w:r>
      <w:r>
        <w:t xml:space="preserve">resources </w:t>
      </w:r>
      <w:r w:rsidRPr="00911A6A">
        <w:t>in 2021.</w:t>
      </w:r>
    </w:p>
    <w:p w14:paraId="5FC44547" w14:textId="24C4543D" w:rsidR="007D63F7" w:rsidRPr="00D8168C" w:rsidRDefault="007D63F7" w:rsidP="00D8168C">
      <w:bookmarkStart w:id="3" w:name="_Hlk67403317"/>
      <w:bookmarkEnd w:id="2"/>
      <w:r w:rsidRPr="003536DE">
        <w:t xml:space="preserve">The </w:t>
      </w:r>
      <w:r>
        <w:t xml:space="preserve">updated </w:t>
      </w:r>
      <w:r w:rsidRPr="003536DE">
        <w:t xml:space="preserve">views expressed </w:t>
      </w:r>
      <w:r>
        <w:t xml:space="preserve">in this document may </w:t>
      </w:r>
      <w:r w:rsidRPr="003536DE">
        <w:t xml:space="preserve">not reflect the original Child Care Plus </w:t>
      </w:r>
      <w:r>
        <w:t>purpose</w:t>
      </w:r>
      <w:r w:rsidRPr="003536DE">
        <w:t xml:space="preserve">, </w:t>
      </w:r>
      <w:r>
        <w:t xml:space="preserve">or the official position of </w:t>
      </w:r>
      <w:r w:rsidRPr="003536DE">
        <w:t>the Rural Institute for Inclusive Communities or University of Montana.</w:t>
      </w:r>
      <w:bookmarkEnd w:id="1"/>
      <w:bookmarkEnd w:id="3"/>
    </w:p>
    <w:p w14:paraId="07A29EBF" w14:textId="77777777" w:rsidR="007D63F7" w:rsidRPr="00470BBC" w:rsidRDefault="007D63F7" w:rsidP="007D63F7">
      <w:pPr>
        <w:rPr>
          <w:rFonts w:ascii="Calibri" w:hAnsi="Calibri" w:cs="Calibri"/>
          <w:sz w:val="24"/>
          <w:szCs w:val="24"/>
        </w:rPr>
      </w:pPr>
      <w:r w:rsidRPr="00470BBC">
        <w:rPr>
          <w:rFonts w:ascii="Calibri" w:hAnsi="Calibri" w:cs="Calibri"/>
          <w:sz w:val="24"/>
          <w:szCs w:val="24"/>
        </w:rPr>
        <w:t>To contact us</w:t>
      </w:r>
      <w:r>
        <w:rPr>
          <w:rFonts w:ascii="Calibri" w:hAnsi="Calibri" w:cs="Calibri"/>
          <w:sz w:val="24"/>
          <w:szCs w:val="24"/>
        </w:rPr>
        <w:t xml:space="preserve"> or learn more</w:t>
      </w:r>
      <w:r w:rsidRPr="00470BBC">
        <w:rPr>
          <w:rFonts w:ascii="Calibri" w:hAnsi="Calibri" w:cs="Calibri"/>
          <w:sz w:val="24"/>
          <w:szCs w:val="24"/>
        </w:rPr>
        <w:t>:</w:t>
      </w:r>
    </w:p>
    <w:p w14:paraId="04B0B2B9" w14:textId="77777777" w:rsidR="007D63F7" w:rsidRPr="00B92DB8" w:rsidRDefault="007D63F7" w:rsidP="007D63F7">
      <w:pPr>
        <w:pStyle w:val="ListParagraph"/>
        <w:numPr>
          <w:ilvl w:val="0"/>
          <w:numId w:val="2"/>
        </w:numPr>
        <w:rPr>
          <w:rFonts w:ascii="Calibri" w:hAnsi="Calibri" w:cs="Calibri"/>
          <w:sz w:val="24"/>
          <w:szCs w:val="24"/>
        </w:rPr>
      </w:pPr>
      <w:hyperlink r:id="rId7" w:history="1">
        <w:r w:rsidRPr="00DA4121">
          <w:rPr>
            <w:rStyle w:val="Hyperlink"/>
            <w:rFonts w:ascii="Calibri" w:hAnsi="Calibri" w:cs="Calibri"/>
            <w:sz w:val="24"/>
            <w:szCs w:val="24"/>
          </w:rPr>
          <w:t>http://ri.umt.edu/ccplus</w:t>
        </w:r>
      </w:hyperlink>
      <w:r>
        <w:rPr>
          <w:rFonts w:ascii="Calibri" w:hAnsi="Calibri" w:cs="Calibri"/>
          <w:sz w:val="24"/>
          <w:szCs w:val="24"/>
        </w:rPr>
        <w:t xml:space="preserve"> </w:t>
      </w:r>
    </w:p>
    <w:p w14:paraId="09C51291" w14:textId="77777777" w:rsidR="007D63F7" w:rsidRDefault="007D63F7" w:rsidP="007D63F7">
      <w:pPr>
        <w:pStyle w:val="ListParagraph"/>
        <w:numPr>
          <w:ilvl w:val="0"/>
          <w:numId w:val="2"/>
        </w:numPr>
        <w:rPr>
          <w:rFonts w:ascii="Calibri" w:hAnsi="Calibri" w:cs="Calibri"/>
          <w:sz w:val="24"/>
          <w:szCs w:val="24"/>
        </w:rPr>
      </w:pPr>
      <w:hyperlink r:id="rId8" w:history="1">
        <w:r w:rsidRPr="00DA4121">
          <w:rPr>
            <w:rStyle w:val="Hyperlink"/>
            <w:rFonts w:ascii="Calibri" w:hAnsi="Calibri" w:cs="Calibri"/>
            <w:sz w:val="24"/>
            <w:szCs w:val="24"/>
          </w:rPr>
          <w:t>rural@mso.umt.edu</w:t>
        </w:r>
      </w:hyperlink>
    </w:p>
    <w:p w14:paraId="6865F05B" w14:textId="77777777" w:rsidR="007D63F7" w:rsidRPr="003536DE" w:rsidRDefault="007D63F7" w:rsidP="007D63F7">
      <w:pPr>
        <w:pStyle w:val="ListParagraph"/>
        <w:numPr>
          <w:ilvl w:val="0"/>
          <w:numId w:val="2"/>
        </w:numPr>
        <w:rPr>
          <w:rFonts w:ascii="Calibri" w:hAnsi="Calibri" w:cs="Calibri"/>
          <w:sz w:val="24"/>
          <w:szCs w:val="24"/>
        </w:rPr>
      </w:pPr>
      <w:r w:rsidRPr="003536DE">
        <w:rPr>
          <w:rFonts w:ascii="Calibri" w:hAnsi="Calibri" w:cs="Calibri"/>
          <w:sz w:val="24"/>
          <w:szCs w:val="24"/>
        </w:rPr>
        <w:t>(406) 243-5467</w:t>
      </w:r>
    </w:p>
    <w:p w14:paraId="5D6EABB7" w14:textId="77777777" w:rsidR="007D63F7" w:rsidRPr="003106A4" w:rsidRDefault="007D63F7" w:rsidP="00470BBC"/>
    <w:sectPr w:rsidR="007D63F7" w:rsidRPr="00310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venir Light">
    <w:altName w:val="Avenir Light"/>
    <w:panose1 w:val="020B0402020203020204"/>
    <w:charset w:val="4D"/>
    <w:family w:val="swiss"/>
    <w:pitch w:val="variable"/>
    <w:sig w:usb0="00000003" w:usb1="00000000" w:usb2="00000000" w:usb3="00000000" w:csb0="00000001" w:csb1="00000000"/>
  </w:font>
  <w:font w:name="Avenir Medium">
    <w:altName w:val="Avenir Medium"/>
    <w:panose1 w:val="020006030200000200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5371"/>
    <w:multiLevelType w:val="hybridMultilevel"/>
    <w:tmpl w:val="44A87526"/>
    <w:lvl w:ilvl="0" w:tplc="306613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B4"/>
    <w:multiLevelType w:val="hybridMultilevel"/>
    <w:tmpl w:val="8170305A"/>
    <w:lvl w:ilvl="0" w:tplc="A1500EC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B6111"/>
    <w:multiLevelType w:val="hybridMultilevel"/>
    <w:tmpl w:val="3940A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2B15"/>
    <w:multiLevelType w:val="hybridMultilevel"/>
    <w:tmpl w:val="03A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D2870"/>
    <w:multiLevelType w:val="hybridMultilevel"/>
    <w:tmpl w:val="3110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44248"/>
    <w:multiLevelType w:val="hybridMultilevel"/>
    <w:tmpl w:val="2478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35880"/>
    <w:multiLevelType w:val="hybridMultilevel"/>
    <w:tmpl w:val="D59E8898"/>
    <w:lvl w:ilvl="0" w:tplc="4F3289A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30DF6"/>
    <w:multiLevelType w:val="hybridMultilevel"/>
    <w:tmpl w:val="6E78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A4"/>
    <w:rsid w:val="00017221"/>
    <w:rsid w:val="00055FA8"/>
    <w:rsid w:val="000A4BE8"/>
    <w:rsid w:val="00111807"/>
    <w:rsid w:val="00140373"/>
    <w:rsid w:val="001A19D0"/>
    <w:rsid w:val="00216E23"/>
    <w:rsid w:val="00284BE3"/>
    <w:rsid w:val="002F2913"/>
    <w:rsid w:val="00302863"/>
    <w:rsid w:val="003106A4"/>
    <w:rsid w:val="00327058"/>
    <w:rsid w:val="00332EC6"/>
    <w:rsid w:val="00342333"/>
    <w:rsid w:val="003C72CC"/>
    <w:rsid w:val="003D4DEB"/>
    <w:rsid w:val="00413AE3"/>
    <w:rsid w:val="00420CDF"/>
    <w:rsid w:val="00444CB9"/>
    <w:rsid w:val="00452EFA"/>
    <w:rsid w:val="00470BBC"/>
    <w:rsid w:val="004A2454"/>
    <w:rsid w:val="004A4D49"/>
    <w:rsid w:val="00504242"/>
    <w:rsid w:val="005B1710"/>
    <w:rsid w:val="005D1587"/>
    <w:rsid w:val="005D413E"/>
    <w:rsid w:val="005D5266"/>
    <w:rsid w:val="0063710A"/>
    <w:rsid w:val="00652D89"/>
    <w:rsid w:val="00664C8E"/>
    <w:rsid w:val="006D0EDB"/>
    <w:rsid w:val="00771F99"/>
    <w:rsid w:val="007B40CD"/>
    <w:rsid w:val="007D63F7"/>
    <w:rsid w:val="007E3125"/>
    <w:rsid w:val="00820CB9"/>
    <w:rsid w:val="00835DBE"/>
    <w:rsid w:val="00840564"/>
    <w:rsid w:val="0087665F"/>
    <w:rsid w:val="008B6903"/>
    <w:rsid w:val="008C4085"/>
    <w:rsid w:val="008D5B75"/>
    <w:rsid w:val="008D7936"/>
    <w:rsid w:val="008E7640"/>
    <w:rsid w:val="00953768"/>
    <w:rsid w:val="009A05BE"/>
    <w:rsid w:val="009C4803"/>
    <w:rsid w:val="00B34D1B"/>
    <w:rsid w:val="00B43479"/>
    <w:rsid w:val="00B92DB8"/>
    <w:rsid w:val="00BA596E"/>
    <w:rsid w:val="00BB7CE3"/>
    <w:rsid w:val="00BC7802"/>
    <w:rsid w:val="00C043FD"/>
    <w:rsid w:val="00C44503"/>
    <w:rsid w:val="00C600F8"/>
    <w:rsid w:val="00C67C6A"/>
    <w:rsid w:val="00CB2AF9"/>
    <w:rsid w:val="00CB6011"/>
    <w:rsid w:val="00D338FF"/>
    <w:rsid w:val="00D8168C"/>
    <w:rsid w:val="00DD7A32"/>
    <w:rsid w:val="00E04C66"/>
    <w:rsid w:val="00E14094"/>
    <w:rsid w:val="00EC6517"/>
    <w:rsid w:val="00EE5535"/>
    <w:rsid w:val="00EF1CD0"/>
    <w:rsid w:val="00F61160"/>
    <w:rsid w:val="00F72A94"/>
    <w:rsid w:val="00F90CEC"/>
    <w:rsid w:val="00FB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0BEF"/>
  <w15:chartTrackingRefBased/>
  <w15:docId w15:val="{BBA17728-4B05-49CF-8E20-5DB5F72E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63F7"/>
    <w:pPr>
      <w:keepNext/>
      <w:keepLines/>
      <w:spacing w:before="240" w:after="0"/>
      <w:outlineLvl w:val="0"/>
    </w:pPr>
    <w:rPr>
      <w:rFonts w:asciiTheme="majorHAnsi" w:eastAsiaTheme="majorEastAsia" w:hAnsiTheme="majorHAnsi"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7D63F7"/>
    <w:pPr>
      <w:keepNext/>
      <w:keepLines/>
      <w:spacing w:before="40" w:after="0"/>
      <w:outlineLvl w:val="1"/>
    </w:pPr>
    <w:rPr>
      <w:rFonts w:asciiTheme="majorHAnsi" w:eastAsiaTheme="majorEastAsia" w:hAnsiTheme="majorHAnsi" w:cstheme="majorBidi"/>
      <w:b/>
      <w:color w:val="2F5496" w:themeColor="accent1" w:themeShade="BF"/>
      <w:sz w:val="32"/>
      <w:szCs w:val="26"/>
    </w:rPr>
  </w:style>
  <w:style w:type="paragraph" w:styleId="Heading3">
    <w:name w:val="heading 3"/>
    <w:basedOn w:val="Normal"/>
    <w:next w:val="Normal"/>
    <w:link w:val="Heading3Char"/>
    <w:uiPriority w:val="9"/>
    <w:unhideWhenUsed/>
    <w:qFormat/>
    <w:rsid w:val="007D63F7"/>
    <w:pPr>
      <w:keepNext/>
      <w:keepLines/>
      <w:spacing w:before="40" w:after="0"/>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Normal"/>
    <w:next w:val="Normal"/>
    <w:link w:val="Heading4Char"/>
    <w:uiPriority w:val="9"/>
    <w:unhideWhenUsed/>
    <w:qFormat/>
    <w:rsid w:val="00D8168C"/>
    <w:pPr>
      <w:keepNext/>
      <w:keepLines/>
      <w:spacing w:before="40" w:after="0"/>
      <w:outlineLvl w:val="3"/>
    </w:pPr>
    <w:rPr>
      <w:rFonts w:asciiTheme="majorHAnsi" w:eastAsiaTheme="majorEastAsia" w:hAnsiTheme="majorHAnsi" w:cstheme="majorBidi"/>
      <w:b/>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CD"/>
    <w:pPr>
      <w:ind w:left="720"/>
      <w:contextualSpacing/>
    </w:pPr>
  </w:style>
  <w:style w:type="character" w:styleId="CommentReference">
    <w:name w:val="annotation reference"/>
    <w:basedOn w:val="DefaultParagraphFont"/>
    <w:uiPriority w:val="99"/>
    <w:semiHidden/>
    <w:unhideWhenUsed/>
    <w:rsid w:val="00EF1CD0"/>
    <w:rPr>
      <w:sz w:val="16"/>
      <w:szCs w:val="16"/>
    </w:rPr>
  </w:style>
  <w:style w:type="paragraph" w:styleId="CommentText">
    <w:name w:val="annotation text"/>
    <w:basedOn w:val="Normal"/>
    <w:link w:val="CommentTextChar"/>
    <w:uiPriority w:val="99"/>
    <w:semiHidden/>
    <w:unhideWhenUsed/>
    <w:rsid w:val="00EF1CD0"/>
    <w:pPr>
      <w:spacing w:line="240" w:lineRule="auto"/>
    </w:pPr>
    <w:rPr>
      <w:sz w:val="20"/>
      <w:szCs w:val="20"/>
    </w:rPr>
  </w:style>
  <w:style w:type="character" w:customStyle="1" w:styleId="CommentTextChar">
    <w:name w:val="Comment Text Char"/>
    <w:basedOn w:val="DefaultParagraphFont"/>
    <w:link w:val="CommentText"/>
    <w:uiPriority w:val="99"/>
    <w:semiHidden/>
    <w:rsid w:val="00EF1CD0"/>
    <w:rPr>
      <w:sz w:val="20"/>
      <w:szCs w:val="20"/>
    </w:rPr>
  </w:style>
  <w:style w:type="paragraph" w:styleId="CommentSubject">
    <w:name w:val="annotation subject"/>
    <w:basedOn w:val="CommentText"/>
    <w:next w:val="CommentText"/>
    <w:link w:val="CommentSubjectChar"/>
    <w:uiPriority w:val="99"/>
    <w:semiHidden/>
    <w:unhideWhenUsed/>
    <w:rsid w:val="00EF1CD0"/>
    <w:rPr>
      <w:b/>
      <w:bCs/>
    </w:rPr>
  </w:style>
  <w:style w:type="character" w:customStyle="1" w:styleId="CommentSubjectChar">
    <w:name w:val="Comment Subject Char"/>
    <w:basedOn w:val="CommentTextChar"/>
    <w:link w:val="CommentSubject"/>
    <w:uiPriority w:val="99"/>
    <w:semiHidden/>
    <w:rsid w:val="00EF1CD0"/>
    <w:rPr>
      <w:b/>
      <w:bCs/>
      <w:sz w:val="20"/>
      <w:szCs w:val="20"/>
    </w:rPr>
  </w:style>
  <w:style w:type="paragraph" w:styleId="BalloonText">
    <w:name w:val="Balloon Text"/>
    <w:basedOn w:val="Normal"/>
    <w:link w:val="BalloonTextChar"/>
    <w:uiPriority w:val="99"/>
    <w:semiHidden/>
    <w:unhideWhenUsed/>
    <w:rsid w:val="00EF1C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CD0"/>
    <w:rPr>
      <w:rFonts w:ascii="Segoe UI" w:hAnsi="Segoe UI" w:cs="Segoe UI"/>
      <w:sz w:val="18"/>
      <w:szCs w:val="18"/>
    </w:rPr>
  </w:style>
  <w:style w:type="paragraph" w:customStyle="1" w:styleId="Pa3">
    <w:name w:val="Pa3"/>
    <w:basedOn w:val="Normal"/>
    <w:next w:val="Normal"/>
    <w:uiPriority w:val="99"/>
    <w:rsid w:val="00504242"/>
    <w:pPr>
      <w:autoSpaceDE w:val="0"/>
      <w:autoSpaceDN w:val="0"/>
      <w:adjustRightInd w:val="0"/>
      <w:spacing w:after="0" w:line="241" w:lineRule="atLeast"/>
    </w:pPr>
    <w:rPr>
      <w:rFonts w:ascii="Avenir Light" w:hAnsi="Avenir Light"/>
      <w:sz w:val="24"/>
      <w:szCs w:val="24"/>
    </w:rPr>
  </w:style>
  <w:style w:type="character" w:styleId="Hyperlink">
    <w:name w:val="Hyperlink"/>
    <w:basedOn w:val="DefaultParagraphFont"/>
    <w:uiPriority w:val="99"/>
    <w:unhideWhenUsed/>
    <w:rsid w:val="00470BBC"/>
    <w:rPr>
      <w:color w:val="0563C1" w:themeColor="hyperlink"/>
      <w:u w:val="single"/>
    </w:rPr>
  </w:style>
  <w:style w:type="character" w:styleId="UnresolvedMention">
    <w:name w:val="Unresolved Mention"/>
    <w:basedOn w:val="DefaultParagraphFont"/>
    <w:uiPriority w:val="99"/>
    <w:semiHidden/>
    <w:unhideWhenUsed/>
    <w:rsid w:val="00470BBC"/>
    <w:rPr>
      <w:color w:val="605E5C"/>
      <w:shd w:val="clear" w:color="auto" w:fill="E1DFDD"/>
    </w:rPr>
  </w:style>
  <w:style w:type="paragraph" w:styleId="NoSpacing">
    <w:name w:val="No Spacing"/>
    <w:uiPriority w:val="1"/>
    <w:qFormat/>
    <w:rsid w:val="00470BBC"/>
    <w:pPr>
      <w:spacing w:after="0" w:line="240" w:lineRule="auto"/>
    </w:pPr>
  </w:style>
  <w:style w:type="character" w:customStyle="1" w:styleId="Heading1Char">
    <w:name w:val="Heading 1 Char"/>
    <w:basedOn w:val="DefaultParagraphFont"/>
    <w:link w:val="Heading1"/>
    <w:uiPriority w:val="9"/>
    <w:rsid w:val="007D63F7"/>
    <w:rPr>
      <w:rFonts w:asciiTheme="majorHAnsi" w:eastAsiaTheme="majorEastAsia" w:hAnsiTheme="majorHAnsi" w:cstheme="majorBidi"/>
      <w:b/>
      <w:color w:val="2F5496" w:themeColor="accent1" w:themeShade="BF"/>
      <w:sz w:val="36"/>
      <w:szCs w:val="32"/>
    </w:rPr>
  </w:style>
  <w:style w:type="character" w:customStyle="1" w:styleId="Heading2Char">
    <w:name w:val="Heading 2 Char"/>
    <w:basedOn w:val="DefaultParagraphFont"/>
    <w:link w:val="Heading2"/>
    <w:uiPriority w:val="9"/>
    <w:rsid w:val="007D63F7"/>
    <w:rPr>
      <w:rFonts w:asciiTheme="majorHAnsi" w:eastAsiaTheme="majorEastAsia" w:hAnsiTheme="majorHAnsi" w:cstheme="majorBidi"/>
      <w:b/>
      <w:color w:val="2F5496" w:themeColor="accent1" w:themeShade="BF"/>
      <w:sz w:val="32"/>
      <w:szCs w:val="26"/>
    </w:rPr>
  </w:style>
  <w:style w:type="character" w:customStyle="1" w:styleId="Heading3Char">
    <w:name w:val="Heading 3 Char"/>
    <w:basedOn w:val="DefaultParagraphFont"/>
    <w:link w:val="Heading3"/>
    <w:uiPriority w:val="9"/>
    <w:rsid w:val="007D63F7"/>
    <w:rPr>
      <w:rFonts w:asciiTheme="majorHAnsi" w:eastAsiaTheme="majorEastAsia" w:hAnsiTheme="majorHAnsi" w:cstheme="majorBidi"/>
      <w:b/>
      <w:color w:val="1F3763" w:themeColor="accent1" w:themeShade="7F"/>
      <w:sz w:val="28"/>
      <w:szCs w:val="24"/>
    </w:rPr>
  </w:style>
  <w:style w:type="character" w:customStyle="1" w:styleId="Heading4Char">
    <w:name w:val="Heading 4 Char"/>
    <w:basedOn w:val="DefaultParagraphFont"/>
    <w:link w:val="Heading4"/>
    <w:uiPriority w:val="9"/>
    <w:rsid w:val="00D8168C"/>
    <w:rPr>
      <w:rFonts w:asciiTheme="majorHAnsi" w:eastAsiaTheme="majorEastAsia" w:hAnsiTheme="majorHAnsi" w:cstheme="majorBidi"/>
      <w:b/>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ral@mso.umt.edu" TargetMode="External"/><Relationship Id="rId3" Type="http://schemas.openxmlformats.org/officeDocument/2006/relationships/settings" Target="settings.xml"/><Relationship Id="rId7" Type="http://schemas.openxmlformats.org/officeDocument/2006/relationships/hyperlink" Target="http://ri.umt.edu/ccp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ech.ruralinstitute.umt.edu/" TargetMode="External"/><Relationship Id="rId5" Type="http://schemas.openxmlformats.org/officeDocument/2006/relationships/hyperlink" Target="mailto:montech@mso.umt.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Bliss, Stacey</dc:creator>
  <cp:keywords/>
  <dc:description/>
  <cp:lastModifiedBy>Raheem, Wisam</cp:lastModifiedBy>
  <cp:revision>6</cp:revision>
  <dcterms:created xsi:type="dcterms:W3CDTF">2021-02-26T16:17:00Z</dcterms:created>
  <dcterms:modified xsi:type="dcterms:W3CDTF">2021-04-15T19:04:00Z</dcterms:modified>
</cp:coreProperties>
</file>