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B55E" w14:textId="77777777" w:rsidR="00933D37" w:rsidRDefault="00933D37" w:rsidP="00B26BEC">
      <w:pPr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2"/>
        </w:rPr>
      </w:pPr>
      <w:r w:rsidRPr="00933D37"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32"/>
        </w:rPr>
        <w:t>Child &amp; Family Tip Sheet: Making Connections with Children</w:t>
      </w:r>
    </w:p>
    <w:p w14:paraId="23E05BF7" w14:textId="77777777" w:rsidR="00933D37" w:rsidRDefault="00933D37" w:rsidP="00933D37">
      <w:r>
        <w:t>The rewards for putting time and energy into connecting with a child come back to you in many ways. When children are in a caring environment, they learn to treat one another with care. Positive relationships with children:</w:t>
      </w:r>
    </w:p>
    <w:p w14:paraId="12036127" w14:textId="38EFF9E0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>
        <w:t>Allow children to thrive. Children need consistent relationships to feel safe and learn about the world around them.</w:t>
      </w:r>
    </w:p>
    <w:p w14:paraId="26B2C426" w14:textId="5BAA4F98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>
        <w:t>Allow you to understand the child, their temperament, strengths and needs.</w:t>
      </w:r>
    </w:p>
    <w:p w14:paraId="331BBB60" w14:textId="26EC283A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>
        <w:t xml:space="preserve">Provide information for selecting toys and arranging the environment. </w:t>
      </w:r>
    </w:p>
    <w:p w14:paraId="49F015FC" w14:textId="5CAB96B9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>
        <w:t xml:space="preserve">Give a sense of satisfaction as the children grow and learn. </w:t>
      </w:r>
    </w:p>
    <w:p w14:paraId="4967335F" w14:textId="2A2A7D07" w:rsidR="00933D37" w:rsidRDefault="00933D37" w:rsidP="00933D37">
      <w:pPr>
        <w:pStyle w:val="Heading2"/>
      </w:pPr>
      <w:r w:rsidRPr="00933D37">
        <w:t>General hints to build relationships with children</w:t>
      </w:r>
    </w:p>
    <w:p w14:paraId="172AA73E" w14:textId="5CD6D83B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>
        <w:t xml:space="preserve">Maintain a sense of optimism. Believe children have the desire and the right to be successful. </w:t>
      </w:r>
    </w:p>
    <w:p w14:paraId="5A5EC64B" w14:textId="77AF0EE9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>
        <w:t xml:space="preserve">Be curious about each </w:t>
      </w:r>
      <w:proofErr w:type="gramStart"/>
      <w:r>
        <w:t>child‘</w:t>
      </w:r>
      <w:proofErr w:type="gramEnd"/>
      <w:r>
        <w:t>s unique strengths, interests, and needs. Your understanding influences everyday actions such as how to communicate with a child and what activities to plan.</w:t>
      </w:r>
    </w:p>
    <w:p w14:paraId="00EA241C" w14:textId="4CF9068C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>
        <w:t xml:space="preserve">Be caring and see the child first, even during challenging days and situations. </w:t>
      </w:r>
    </w:p>
    <w:p w14:paraId="3177F920" w14:textId="6C21C8D6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>
        <w:t>Be consistent. Use the same voice tone, response to problems, and degree of warmth from one day to the next.</w:t>
      </w:r>
    </w:p>
    <w:p w14:paraId="629D07E2" w14:textId="63FD9DB4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>
        <w:t xml:space="preserve">Be an effective communicator. Listen more than you speak. </w:t>
      </w:r>
    </w:p>
    <w:p w14:paraId="7F03D688" w14:textId="463B2502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>
        <w:t>Be self-reflective. Be aware of your tone of voice, body language, facial expressions, and emotional triggers.</w:t>
      </w:r>
    </w:p>
    <w:p w14:paraId="514A13EB" w14:textId="77777777" w:rsidR="00933D37" w:rsidRPr="00933D37" w:rsidRDefault="00933D37" w:rsidP="00933D37">
      <w:pPr>
        <w:pStyle w:val="Heading2"/>
      </w:pPr>
      <w:r w:rsidRPr="00933D37">
        <w:t>Specific things you can do to build relationships</w:t>
      </w:r>
    </w:p>
    <w:p w14:paraId="50DBE349" w14:textId="77777777" w:rsidR="00933D37" w:rsidRDefault="00933D37" w:rsidP="00933D37">
      <w:r>
        <w:t xml:space="preserve">There are many ways to build relationships and connections with children. Here are a few that fit in the daily routine. </w:t>
      </w:r>
    </w:p>
    <w:p w14:paraId="2B58F3B3" w14:textId="7219C984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 w:rsidRPr="00933D37">
        <w:rPr>
          <w:b/>
          <w:bCs/>
        </w:rPr>
        <w:t>Greet each child warmly</w:t>
      </w:r>
      <w:r>
        <w:t>. Get down at the child’s level or look into the child’s face, and use their name.</w:t>
      </w:r>
    </w:p>
    <w:p w14:paraId="0E89DA65" w14:textId="7173C384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 w:rsidRPr="00933D37">
        <w:rPr>
          <w:b/>
          <w:bCs/>
        </w:rPr>
        <w:t>Join a child at play</w:t>
      </w:r>
      <w:r>
        <w:t>. Quietly ask, “Can I sit by you for a minute while you paint?” and then pay attention.</w:t>
      </w:r>
    </w:p>
    <w:p w14:paraId="598C094A" w14:textId="533027D4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 w:rsidRPr="00933D37">
        <w:rPr>
          <w:b/>
          <w:bCs/>
        </w:rPr>
        <w:t>Write a short note</w:t>
      </w:r>
      <w:r>
        <w:t>. “I had fun watching you build castles in the sand box today.”</w:t>
      </w:r>
    </w:p>
    <w:p w14:paraId="6C4D495A" w14:textId="025F265C" w:rsidR="00933D37" w:rsidRDefault="00933D37" w:rsidP="00933D37">
      <w:pPr>
        <w:pStyle w:val="ListParagraph"/>
        <w:numPr>
          <w:ilvl w:val="0"/>
          <w:numId w:val="13"/>
        </w:numPr>
        <w:ind w:left="630" w:hanging="270"/>
      </w:pPr>
      <w:r w:rsidRPr="00933D37">
        <w:rPr>
          <w:b/>
          <w:bCs/>
        </w:rPr>
        <w:t>Follow up on a child’s interest</w:t>
      </w:r>
      <w:r>
        <w:t>. “Yesterday, you told us about your boat. I found this book on boats for us to read together.”</w:t>
      </w:r>
    </w:p>
    <w:p w14:paraId="17700EAC" w14:textId="64ED488C" w:rsidR="00470BBC" w:rsidRDefault="00933D37" w:rsidP="00933D37">
      <w:pPr>
        <w:pStyle w:val="ListParagraph"/>
        <w:numPr>
          <w:ilvl w:val="0"/>
          <w:numId w:val="13"/>
        </w:numPr>
        <w:ind w:left="630" w:hanging="270"/>
      </w:pPr>
      <w:r w:rsidRPr="00933D37">
        <w:rPr>
          <w:b/>
          <w:bCs/>
        </w:rPr>
        <w:t>Respond</w:t>
      </w:r>
      <w:r>
        <w:t xml:space="preserve">. When you catch yourself ignoring a child or a child’s request, don’t let the moment pass. Take a deep breath, relax your facial expression, bend or kneel down, and say, “I think you have something to tell me and I want to </w:t>
      </w:r>
      <w:proofErr w:type="spellStart"/>
      <w:r>
        <w:t>listen</w:t>
      </w:r>
      <w:proofErr w:type="gramStart"/>
      <w:r>
        <w:t>.”</w:t>
      </w:r>
      <w:r w:rsidR="00470BBC" w:rsidRPr="00470BBC">
        <w:t>This</w:t>
      </w:r>
      <w:proofErr w:type="spellEnd"/>
      <w:proofErr w:type="gramEnd"/>
      <w:r w:rsidR="00470BBC" w:rsidRPr="00470BBC">
        <w:t xml:space="preserve"> fact sheet was originally published in </w:t>
      </w:r>
      <w:r w:rsidR="00284BE3">
        <w:t>2011.</w:t>
      </w:r>
    </w:p>
    <w:p w14:paraId="79BE74AD" w14:textId="77777777" w:rsidR="007D63F7" w:rsidRPr="00911A6A" w:rsidRDefault="007D63F7" w:rsidP="00D8168C">
      <w:bookmarkStart w:id="0" w:name="_Hlk67403227"/>
      <w:r w:rsidRPr="00911A6A">
        <w:t xml:space="preserve">The Child Care Plus Center was based at the Rural Institute from 1987 to 2012. The </w:t>
      </w:r>
      <w:r>
        <w:t xml:space="preserve">nationally-focused </w:t>
      </w:r>
      <w:r w:rsidRPr="00911A6A">
        <w:t>Center supported and promoted inclusive early childhood environments.</w:t>
      </w:r>
    </w:p>
    <w:p w14:paraId="1A8F11F4" w14:textId="77777777" w:rsidR="007D63F7" w:rsidRDefault="007D63F7" w:rsidP="00D8168C">
      <w:bookmarkStart w:id="1" w:name="_Hlk67389630"/>
      <w:r w:rsidRPr="00911A6A">
        <w:t>Child Care Plus is no longer an active project</w:t>
      </w:r>
      <w:r>
        <w:t>. H</w:t>
      </w:r>
      <w:r w:rsidRPr="00911A6A">
        <w:t xml:space="preserve">owever, the materials are still relevant. </w:t>
      </w:r>
      <w:r>
        <w:t xml:space="preserve">To address the needs of a broad audience, </w:t>
      </w:r>
      <w:r w:rsidRPr="00911A6A">
        <w:t xml:space="preserve">Rural Institute staff updated </w:t>
      </w:r>
      <w:r>
        <w:t xml:space="preserve">several </w:t>
      </w:r>
      <w:r w:rsidRPr="00911A6A">
        <w:t xml:space="preserve">Child Care Plus </w:t>
      </w:r>
      <w:r>
        <w:t xml:space="preserve">resources </w:t>
      </w:r>
      <w:r w:rsidRPr="00911A6A">
        <w:t>in 2021.</w:t>
      </w:r>
    </w:p>
    <w:p w14:paraId="5FC44547" w14:textId="24C4543D" w:rsidR="007D63F7" w:rsidRPr="00D8168C" w:rsidRDefault="007D63F7" w:rsidP="00D8168C">
      <w:bookmarkStart w:id="2" w:name="_Hlk67403317"/>
      <w:bookmarkEnd w:id="1"/>
      <w:r w:rsidRPr="003536DE">
        <w:t xml:space="preserve">The </w:t>
      </w:r>
      <w:r>
        <w:t xml:space="preserve">updated </w:t>
      </w:r>
      <w:r w:rsidRPr="003536DE">
        <w:t xml:space="preserve">views expressed </w:t>
      </w:r>
      <w:r>
        <w:t xml:space="preserve">in this document may </w:t>
      </w:r>
      <w:r w:rsidRPr="003536DE">
        <w:t xml:space="preserve">not reflect the original Child Care Plus </w:t>
      </w:r>
      <w:r>
        <w:t>purpose</w:t>
      </w:r>
      <w:r w:rsidRPr="003536DE">
        <w:t xml:space="preserve">, </w:t>
      </w:r>
      <w:r>
        <w:t xml:space="preserve">or the official position of </w:t>
      </w:r>
      <w:r w:rsidRPr="003536DE">
        <w:t>the Rural Institute for Inclusive Communities or University of Montana.</w:t>
      </w:r>
      <w:bookmarkEnd w:id="0"/>
      <w:bookmarkEnd w:id="2"/>
    </w:p>
    <w:p w14:paraId="07A29EBF" w14:textId="77777777" w:rsidR="007D63F7" w:rsidRPr="00470BBC" w:rsidRDefault="007D63F7" w:rsidP="007D63F7">
      <w:pPr>
        <w:rPr>
          <w:rFonts w:ascii="Calibri" w:hAnsi="Calibri" w:cs="Calibri"/>
          <w:sz w:val="24"/>
          <w:szCs w:val="24"/>
        </w:rPr>
      </w:pPr>
      <w:r w:rsidRPr="00470BBC">
        <w:rPr>
          <w:rFonts w:ascii="Calibri" w:hAnsi="Calibri" w:cs="Calibri"/>
          <w:sz w:val="24"/>
          <w:szCs w:val="24"/>
        </w:rPr>
        <w:lastRenderedPageBreak/>
        <w:t>To contact us</w:t>
      </w:r>
      <w:r>
        <w:rPr>
          <w:rFonts w:ascii="Calibri" w:hAnsi="Calibri" w:cs="Calibri"/>
          <w:sz w:val="24"/>
          <w:szCs w:val="24"/>
        </w:rPr>
        <w:t xml:space="preserve"> or learn more</w:t>
      </w:r>
      <w:r w:rsidRPr="00470BBC">
        <w:rPr>
          <w:rFonts w:ascii="Calibri" w:hAnsi="Calibri" w:cs="Calibri"/>
          <w:sz w:val="24"/>
          <w:szCs w:val="24"/>
        </w:rPr>
        <w:t>:</w:t>
      </w:r>
    </w:p>
    <w:p w14:paraId="04B0B2B9" w14:textId="77777777" w:rsidR="007D63F7" w:rsidRPr="00B92DB8" w:rsidRDefault="00933D37" w:rsidP="007D63F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hyperlink r:id="rId5" w:history="1">
        <w:r w:rsidR="007D63F7" w:rsidRPr="00DA4121">
          <w:rPr>
            <w:rStyle w:val="Hyperlink"/>
            <w:rFonts w:ascii="Calibri" w:hAnsi="Calibri" w:cs="Calibri"/>
            <w:sz w:val="24"/>
            <w:szCs w:val="24"/>
          </w:rPr>
          <w:t>http://ri.umt.edu/ccplus</w:t>
        </w:r>
      </w:hyperlink>
      <w:r w:rsidR="007D63F7">
        <w:rPr>
          <w:rFonts w:ascii="Calibri" w:hAnsi="Calibri" w:cs="Calibri"/>
          <w:sz w:val="24"/>
          <w:szCs w:val="24"/>
        </w:rPr>
        <w:t xml:space="preserve"> </w:t>
      </w:r>
    </w:p>
    <w:p w14:paraId="09C51291" w14:textId="77777777" w:rsidR="007D63F7" w:rsidRDefault="00933D37" w:rsidP="007D63F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hyperlink r:id="rId6" w:history="1">
        <w:r w:rsidR="007D63F7" w:rsidRPr="00DA4121">
          <w:rPr>
            <w:rStyle w:val="Hyperlink"/>
            <w:rFonts w:ascii="Calibri" w:hAnsi="Calibri" w:cs="Calibri"/>
            <w:sz w:val="24"/>
            <w:szCs w:val="24"/>
          </w:rPr>
          <w:t>rural@mso.umt.edu</w:t>
        </w:r>
      </w:hyperlink>
    </w:p>
    <w:p w14:paraId="6865F05B" w14:textId="77777777" w:rsidR="007D63F7" w:rsidRPr="003536DE" w:rsidRDefault="007D63F7" w:rsidP="007D63F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3536DE">
        <w:rPr>
          <w:rFonts w:ascii="Calibri" w:hAnsi="Calibri" w:cs="Calibri"/>
          <w:sz w:val="24"/>
          <w:szCs w:val="24"/>
        </w:rPr>
        <w:t>(406) 243-5467</w:t>
      </w:r>
    </w:p>
    <w:p w14:paraId="5D6EABB7" w14:textId="77777777" w:rsidR="007D63F7" w:rsidRPr="003106A4" w:rsidRDefault="007D63F7" w:rsidP="00470BBC"/>
    <w:sectPr w:rsidR="007D63F7" w:rsidRPr="00310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Avenir Light"/>
    <w:panose1 w:val="020B0402020203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371"/>
    <w:multiLevelType w:val="hybridMultilevel"/>
    <w:tmpl w:val="44A87526"/>
    <w:lvl w:ilvl="0" w:tplc="306613C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3110"/>
    <w:multiLevelType w:val="hybridMultilevel"/>
    <w:tmpl w:val="F7E81B90"/>
    <w:lvl w:ilvl="0" w:tplc="196CA1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55B4"/>
    <w:multiLevelType w:val="hybridMultilevel"/>
    <w:tmpl w:val="8170305A"/>
    <w:lvl w:ilvl="0" w:tplc="A1500EC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111"/>
    <w:multiLevelType w:val="hybridMultilevel"/>
    <w:tmpl w:val="394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2B15"/>
    <w:multiLevelType w:val="hybridMultilevel"/>
    <w:tmpl w:val="03A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031A"/>
    <w:multiLevelType w:val="hybridMultilevel"/>
    <w:tmpl w:val="4056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870"/>
    <w:multiLevelType w:val="hybridMultilevel"/>
    <w:tmpl w:val="3110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44248"/>
    <w:multiLevelType w:val="hybridMultilevel"/>
    <w:tmpl w:val="247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5880"/>
    <w:multiLevelType w:val="hybridMultilevel"/>
    <w:tmpl w:val="D59E8898"/>
    <w:lvl w:ilvl="0" w:tplc="4F3289A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25C2E"/>
    <w:multiLevelType w:val="hybridMultilevel"/>
    <w:tmpl w:val="77A8E814"/>
    <w:lvl w:ilvl="0" w:tplc="196CA1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80DB3"/>
    <w:multiLevelType w:val="hybridMultilevel"/>
    <w:tmpl w:val="87843C4C"/>
    <w:lvl w:ilvl="0" w:tplc="196CA1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64EC0"/>
    <w:multiLevelType w:val="hybridMultilevel"/>
    <w:tmpl w:val="BDAA9476"/>
    <w:lvl w:ilvl="0" w:tplc="196CA1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0258"/>
    <w:multiLevelType w:val="hybridMultilevel"/>
    <w:tmpl w:val="1A2C4B26"/>
    <w:lvl w:ilvl="0" w:tplc="196CA1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3193C"/>
    <w:multiLevelType w:val="hybridMultilevel"/>
    <w:tmpl w:val="A072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30DF6"/>
    <w:multiLevelType w:val="hybridMultilevel"/>
    <w:tmpl w:val="6E7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4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A4"/>
    <w:rsid w:val="00017221"/>
    <w:rsid w:val="00055FA8"/>
    <w:rsid w:val="000A4BE8"/>
    <w:rsid w:val="00111807"/>
    <w:rsid w:val="00140373"/>
    <w:rsid w:val="001A19D0"/>
    <w:rsid w:val="00216E23"/>
    <w:rsid w:val="00284BE3"/>
    <w:rsid w:val="002F2913"/>
    <w:rsid w:val="00302863"/>
    <w:rsid w:val="003106A4"/>
    <w:rsid w:val="00327058"/>
    <w:rsid w:val="00332EC6"/>
    <w:rsid w:val="00342333"/>
    <w:rsid w:val="003C72CC"/>
    <w:rsid w:val="003D4DEB"/>
    <w:rsid w:val="00413AE3"/>
    <w:rsid w:val="00420CDF"/>
    <w:rsid w:val="00444CB9"/>
    <w:rsid w:val="00452EFA"/>
    <w:rsid w:val="00470BBC"/>
    <w:rsid w:val="004A2454"/>
    <w:rsid w:val="004A4D49"/>
    <w:rsid w:val="00504242"/>
    <w:rsid w:val="005B1710"/>
    <w:rsid w:val="005D1587"/>
    <w:rsid w:val="005D413E"/>
    <w:rsid w:val="005D5266"/>
    <w:rsid w:val="0063710A"/>
    <w:rsid w:val="00652D89"/>
    <w:rsid w:val="00664C8E"/>
    <w:rsid w:val="006D0EDB"/>
    <w:rsid w:val="00771F99"/>
    <w:rsid w:val="007B40CD"/>
    <w:rsid w:val="007D63F7"/>
    <w:rsid w:val="007E3125"/>
    <w:rsid w:val="00820CB9"/>
    <w:rsid w:val="00835DBE"/>
    <w:rsid w:val="00840564"/>
    <w:rsid w:val="0087665F"/>
    <w:rsid w:val="008B6903"/>
    <w:rsid w:val="008C4085"/>
    <w:rsid w:val="008D5B75"/>
    <w:rsid w:val="008D7936"/>
    <w:rsid w:val="008E7640"/>
    <w:rsid w:val="00933D37"/>
    <w:rsid w:val="00953768"/>
    <w:rsid w:val="009A05BE"/>
    <w:rsid w:val="009C4803"/>
    <w:rsid w:val="00B26BEC"/>
    <w:rsid w:val="00B34D1B"/>
    <w:rsid w:val="00B43479"/>
    <w:rsid w:val="00B92DB8"/>
    <w:rsid w:val="00BA596E"/>
    <w:rsid w:val="00BB7CE3"/>
    <w:rsid w:val="00BC7802"/>
    <w:rsid w:val="00C043FD"/>
    <w:rsid w:val="00C44503"/>
    <w:rsid w:val="00C600F8"/>
    <w:rsid w:val="00C67C6A"/>
    <w:rsid w:val="00CB2AF9"/>
    <w:rsid w:val="00CB6011"/>
    <w:rsid w:val="00D338FF"/>
    <w:rsid w:val="00D8168C"/>
    <w:rsid w:val="00DD7A32"/>
    <w:rsid w:val="00E04C66"/>
    <w:rsid w:val="00E14094"/>
    <w:rsid w:val="00EC6517"/>
    <w:rsid w:val="00EE5535"/>
    <w:rsid w:val="00EF1CD0"/>
    <w:rsid w:val="00F61160"/>
    <w:rsid w:val="00F72A94"/>
    <w:rsid w:val="00F90CEC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0BEF"/>
  <w15:chartTrackingRefBased/>
  <w15:docId w15:val="{BBA17728-4B05-49CF-8E20-5DB5F72E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6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D0"/>
    <w:rPr>
      <w:rFonts w:ascii="Segoe UI" w:hAnsi="Segoe UI" w:cs="Segoe UI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504242"/>
    <w:pPr>
      <w:autoSpaceDE w:val="0"/>
      <w:autoSpaceDN w:val="0"/>
      <w:adjustRightInd w:val="0"/>
      <w:spacing w:after="0" w:line="241" w:lineRule="atLeast"/>
    </w:pPr>
    <w:rPr>
      <w:rFonts w:ascii="Avenir Light" w:hAnsi="Avenir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BB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0B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63F7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3F7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63F7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168C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ral@mso.umt.edu" TargetMode="External"/><Relationship Id="rId5" Type="http://schemas.openxmlformats.org/officeDocument/2006/relationships/hyperlink" Target="http://ri.umt.edu/cc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Bliss, Stacey</dc:creator>
  <cp:keywords/>
  <dc:description/>
  <cp:lastModifiedBy>Raheem, Wisam</cp:lastModifiedBy>
  <cp:revision>8</cp:revision>
  <dcterms:created xsi:type="dcterms:W3CDTF">2021-02-26T16:17:00Z</dcterms:created>
  <dcterms:modified xsi:type="dcterms:W3CDTF">2021-05-03T17:27:00Z</dcterms:modified>
</cp:coreProperties>
</file>