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0D009F6A">
                        <wp:extent cx="5715000" cy="2400300"/>
                        <wp:effectExtent l="0" t="0" r="0" b="0"/>
                        <wp:docPr id="11" name="x_x__x0000_i1034" descr="UM School of Social Wor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34" descr="UM School of Social Work">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54A89DA" w14:textId="77777777" w:rsidR="000D24BF" w:rsidRPr="000D24BF" w:rsidRDefault="000D24BF" w:rsidP="0093302D">
                  <w:pPr>
                    <w:spacing w:before="120"/>
                    <w:rPr>
                      <w:rFonts w:ascii="Aptos" w:eastAsia="Aptos" w:hAnsi="Aptos" w:cs="Aptos"/>
                      <w:kern w:val="0"/>
                      <w:sz w:val="24"/>
                      <w:szCs w:val="24"/>
                      <w14:ligatures w14:val="none"/>
                    </w:rPr>
                  </w:pPr>
                  <w:proofErr w:type="gramStart"/>
                  <w:r w:rsidRPr="000D24BF">
                    <w:rPr>
                      <w:rFonts w:eastAsia="Aptos"/>
                      <w:b/>
                      <w:bCs/>
                      <w:color w:val="70002E"/>
                      <w:kern w:val="0"/>
                      <w:sz w:val="28"/>
                      <w:szCs w:val="28"/>
                      <w14:ligatures w14:val="none"/>
                    </w:rPr>
                    <w:t>Celebrate</w:t>
                  </w:r>
                  <w:proofErr w:type="gramEnd"/>
                  <w:r w:rsidRPr="000D24BF">
                    <w:rPr>
                      <w:rFonts w:eastAsia="Aptos"/>
                      <w:b/>
                      <w:bCs/>
                      <w:color w:val="70002E"/>
                      <w:kern w:val="0"/>
                      <w:sz w:val="28"/>
                      <w:szCs w:val="28"/>
                      <w14:ligatures w14:val="none"/>
                    </w:rPr>
                    <w:t xml:space="preserve"> Black History Month</w:t>
                  </w:r>
                </w:p>
                <w:p w14:paraId="17973548"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noProof/>
                      <w:color w:val="000000"/>
                      <w:kern w:val="0"/>
                      <w:sz w:val="24"/>
                      <w:szCs w:val="24"/>
                      <w14:ligatures w14:val="none"/>
                    </w:rPr>
                    <w:drawing>
                      <wp:inline distT="0" distB="0" distL="0" distR="0" wp14:anchorId="6C015B9B" wp14:editId="0B243F8D">
                        <wp:extent cx="4953000" cy="1228725"/>
                        <wp:effectExtent l="0" t="0" r="0" b="9525"/>
                        <wp:docPr id="12" name="x_Picture 1" descr="A digital banner promoting Black History Month with a gold and blue gradient background. It features bold text &quot;Celebrate Black History Month All February Long&quot; and a circular gold emblem highlighting &quot;2026 Theme 100 Years of Black History Commemoration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A digital banner promoting Black History Month with a gold and blue gradient background. It features bold text &quot;Celebrate Black History Month All February Long&quot; and a circular gold emblem highlighting &quot;2026 Theme 100 Years of Black History Commemorations.&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0" cy="1228725"/>
                                </a:xfrm>
                                <a:prstGeom prst="rect">
                                  <a:avLst/>
                                </a:prstGeom>
                                <a:noFill/>
                                <a:ln>
                                  <a:noFill/>
                                </a:ln>
                              </pic:spPr>
                            </pic:pic>
                          </a:graphicData>
                        </a:graphic>
                      </wp:inline>
                    </w:drawing>
                  </w:r>
                </w:p>
                <w:p w14:paraId="1EE3D0C4"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000000"/>
                      <w:kern w:val="0"/>
                      <w:sz w:val="24"/>
                      <w:szCs w:val="24"/>
                      <w14:ligatures w14:val="none"/>
                    </w:rPr>
                    <w:t>By Amanda Cahill, MSW Director</w:t>
                  </w:r>
                </w:p>
                <w:p w14:paraId="24CCBF3B"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We ask students, alumni, and colleagues to join us in celebrating Black History Month by taking time to recognize and reflect on the contributions of Black Americans to social work.  Several important historical figures are discussed in this </w:t>
                  </w:r>
                  <w:hyperlink r:id="rId8" w:history="1">
                    <w:r w:rsidRPr="000D24BF">
                      <w:rPr>
                        <w:rFonts w:eastAsia="Aptos"/>
                        <w:color w:val="467886"/>
                        <w:kern w:val="0"/>
                        <w:u w:val="single"/>
                        <w14:ligatures w14:val="none"/>
                      </w:rPr>
                      <w:t>powerful article</w:t>
                    </w:r>
                  </w:hyperlink>
                  <w:r w:rsidRPr="000D24BF">
                    <w:rPr>
                      <w:rFonts w:eastAsia="Aptos"/>
                      <w:color w:val="000000"/>
                      <w:kern w:val="0"/>
                      <w14:ligatures w14:val="none"/>
                    </w:rPr>
                    <w:t> from The Massachusetts Society for the Prevention of Cruelty to Children.  Additionally, the theme of this year’s Black History Month,</w:t>
                  </w:r>
                  <w:r w:rsidRPr="000D24BF">
                    <w:rPr>
                      <w:rFonts w:eastAsia="Aptos"/>
                      <w:i/>
                      <w:iCs/>
                      <w:color w:val="000000"/>
                      <w:kern w:val="0"/>
                      <w14:ligatures w14:val="none"/>
                    </w:rPr>
                    <w:t xml:space="preserve"> </w:t>
                  </w:r>
                  <w:hyperlink r:id="rId9" w:history="1">
                    <w:r w:rsidRPr="000D24BF">
                      <w:rPr>
                        <w:rFonts w:eastAsia="Aptos"/>
                        <w:i/>
                        <w:iCs/>
                        <w:color w:val="467886"/>
                        <w:kern w:val="0"/>
                        <w:u w:val="single"/>
                        <w14:ligatures w14:val="none"/>
                      </w:rPr>
                      <w:t>A Century of Black Commemorations,</w:t>
                    </w:r>
                  </w:hyperlink>
                  <w:r w:rsidRPr="000D24BF">
                    <w:rPr>
                      <w:rFonts w:eastAsia="Aptos"/>
                      <w:color w:val="000000"/>
                      <w:kern w:val="0"/>
                      <w14:ligatures w14:val="none"/>
                    </w:rPr>
                    <w:t> as proclaimed by ASALH- the Founders of Black History Month.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341B641"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70002E"/>
                      <w:kern w:val="0"/>
                      <w:sz w:val="28"/>
                      <w:szCs w:val="28"/>
                      <w14:ligatures w14:val="none"/>
                    </w:rPr>
                    <w:t>UM Social Work Professor Advocates for LGBTQ Youth</w:t>
                  </w:r>
                </w:p>
                <w:p w14:paraId="5AF9A857"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noProof/>
                      <w:color w:val="000000"/>
                      <w:kern w:val="0"/>
                      <w:sz w:val="24"/>
                      <w:szCs w:val="24"/>
                      <w14:ligatures w14:val="none"/>
                    </w:rPr>
                    <w:lastRenderedPageBreak/>
                    <w:drawing>
                      <wp:inline distT="0" distB="0" distL="0" distR="0" wp14:anchorId="08A6A99E" wp14:editId="7CC5B802">
                        <wp:extent cx="2286000" cy="2286000"/>
                        <wp:effectExtent l="0" t="0" r="0" b="0"/>
                        <wp:docPr id="13" name="x_Picture 2" descr="Photograph of Dr. David Kilmnick  wearing a dark blue jacket and white shirt standing outdoors with a blurred natural background. The lighting highlights the top of the man's head and ears, with soft greenery and sunlight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Photograph of Dr. David Kilmnick  wearing a dark blue jacket and white shirt standing outdoors with a blurred natural background. The lighting highlights the top of the man's head and ears, with soft greenery and sunlight in th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36BBEB72"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UM School of Social Work Clinical Assistant Professor Dr. David Kilmnick was featured on PIX11 News discussing the Bellmore-Merrick School District’s decision to comply with New York State law protecting transgender students, as well as the district’s current federal investigation by the U.S. Department of Education. Dr. </w:t>
                  </w:r>
                  <w:proofErr w:type="spellStart"/>
                  <w:r w:rsidRPr="000D24BF">
                    <w:rPr>
                      <w:rFonts w:eastAsia="Aptos"/>
                      <w:color w:val="000000"/>
                      <w:kern w:val="0"/>
                      <w14:ligatures w14:val="none"/>
                    </w:rPr>
                    <w:t>Kilmnick</w:t>
                  </w:r>
                  <w:proofErr w:type="spellEnd"/>
                  <w:r w:rsidRPr="000D24BF">
                    <w:rPr>
                      <w:rFonts w:eastAsia="Aptos"/>
                      <w:color w:val="000000"/>
                      <w:kern w:val="0"/>
                      <w14:ligatures w14:val="none"/>
                    </w:rPr>
                    <w:t xml:space="preserve"> addressed the legal, ethical, and social implications for schools and emphasized the importance of safeguarding student dignity, safety, and civil rights.</w:t>
                  </w:r>
                  <w:r w:rsidRPr="000D24BF">
                    <w:rPr>
                      <w:rFonts w:eastAsia="Aptos"/>
                      <w:color w:val="000000"/>
                      <w:kern w:val="0"/>
                      <w14:ligatures w14:val="none"/>
                    </w:rPr>
                    <w:br/>
                  </w:r>
                  <w:r w:rsidRPr="000D24BF">
                    <w:rPr>
                      <w:rFonts w:ascii="Segoe UI Emoji" w:eastAsia="Aptos" w:hAnsi="Segoe UI Emoji" w:cs="Aptos"/>
                      <w:color w:val="000000"/>
                      <w:kern w:val="0"/>
                      <w14:ligatures w14:val="none"/>
                    </w:rPr>
                    <w:t>▶️</w:t>
                  </w:r>
                  <w:r w:rsidRPr="000D24BF">
                    <w:rPr>
                      <w:rFonts w:eastAsia="Aptos"/>
                      <w:color w:val="000000"/>
                      <w:kern w:val="0"/>
                      <w14:ligatures w14:val="none"/>
                    </w:rPr>
                    <w:t xml:space="preserve"> </w:t>
                  </w:r>
                  <w:r w:rsidRPr="000D24BF">
                    <w:rPr>
                      <w:rFonts w:eastAsia="Aptos"/>
                      <w:i/>
                      <w:iCs/>
                      <w:color w:val="000000"/>
                      <w:kern w:val="0"/>
                      <w14:ligatures w14:val="none"/>
                    </w:rPr>
                    <w:t>Watch the segment here:</w:t>
                  </w:r>
                  <w:r w:rsidRPr="000D24BF">
                    <w:rPr>
                      <w:rFonts w:eastAsia="Aptos"/>
                      <w:color w:val="000000"/>
                      <w:kern w:val="0"/>
                      <w14:ligatures w14:val="none"/>
                    </w:rPr>
                    <w:t xml:space="preserve"> </w:t>
                  </w:r>
                  <w:hyperlink r:id="rId11" w:history="1">
                    <w:r w:rsidRPr="000D24BF">
                      <w:rPr>
                        <w:rFonts w:eastAsia="Aptos"/>
                        <w:color w:val="467886"/>
                        <w:kern w:val="0"/>
                        <w:u w:val="single"/>
                        <w14:ligatures w14:val="none"/>
                      </w:rPr>
                      <w:t>https://www.youtube.com/watch?v=4OS82dVQOfU</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EBFE4D4"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70002E"/>
                      <w:kern w:val="0"/>
                      <w:sz w:val="28"/>
                      <w:szCs w:val="28"/>
                      <w14:ligatures w14:val="none"/>
                    </w:rPr>
                    <w:t>MSW Online Students Now Eligible for the Student Health Insurance Plan (SHIP)</w:t>
                  </w:r>
                </w:p>
                <w:p w14:paraId="42BA64C5"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000000"/>
                      <w:kern w:val="0"/>
                      <w:sz w:val="24"/>
                      <w:szCs w:val="24"/>
                      <w14:ligatures w14:val="none"/>
                    </w:rPr>
                    <w:t>By Kinsey Webb</w:t>
                  </w:r>
                </w:p>
                <w:p w14:paraId="03B8A58C"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MSW Online students are now eligible for the Student Health Insurance Plan (SHIP).</w:t>
                  </w:r>
                </w:p>
                <w:p w14:paraId="5DB3A660"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Please learn more about the plan, and what it covers by following this link: </w:t>
                  </w:r>
                  <w:hyperlink r:id="rId12" w:history="1">
                    <w:r w:rsidRPr="000D24BF">
                      <w:rPr>
                        <w:rFonts w:eastAsia="Aptos"/>
                        <w:color w:val="467886"/>
                        <w:kern w:val="0"/>
                        <w:u w:val="single"/>
                        <w14:ligatures w14:val="none"/>
                      </w:rPr>
                      <w:t>2026: Insurance Accepted at Medical | University of Montana</w:t>
                    </w:r>
                  </w:hyperlink>
                </w:p>
                <w:p w14:paraId="5002ABC2"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The Student Health Fee is a fee that all other UM students have been able to opt in to, to access the full range of Curry services. Starting in January, MSW Online students should be able to opt in as well.  The Student Health Fee is currently $303.</w:t>
                  </w:r>
                </w:p>
                <w:p w14:paraId="1184071F"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We are still gathering information about the opt-in Student Health fee for Online students. If you'd be interested in opting into this fee, and are an MSW Online student, please send an email to </w:t>
                  </w:r>
                  <w:hyperlink r:id="rId13" w:history="1">
                    <w:r w:rsidRPr="000D24BF">
                      <w:rPr>
                        <w:rFonts w:eastAsia="Aptos"/>
                        <w:color w:val="0000FF"/>
                        <w:kern w:val="0"/>
                        <w:u w:val="single"/>
                        <w14:ligatures w14:val="none"/>
                      </w:rPr>
                      <w:t>kinsey.webb@mso.umt.edu</w:t>
                    </w:r>
                  </w:hyperlink>
                  <w:r w:rsidRPr="000D24BF">
                    <w:rPr>
                      <w:rFonts w:eastAsia="Aptos"/>
                      <w:color w:val="000000"/>
                      <w:kern w:val="0"/>
                      <w14:ligatures w14:val="none"/>
                    </w:rPr>
                    <w:t>.</w:t>
                  </w:r>
                </w:p>
                <w:p w14:paraId="1111FB58"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lastRenderedPageBreak/>
                    <w:t>Additionally, if you are local and have other insurance, Curry Health Center will begin billing insurance in January, for visits to the medical clinic (including psychiatric care).</w:t>
                  </w:r>
                </w:p>
                <w:p w14:paraId="79E41297"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Counseling Services will remain at the current rate (first session free, $20/session thereafter), if you pay the Student Health Fee.</w:t>
                  </w:r>
                </w:p>
                <w:p w14:paraId="3DAA30D4"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As always, all students are eligible to see Wellness Coordinators, regardless of program.</w:t>
                  </w:r>
                </w:p>
                <w:p w14:paraId="4520062A" w14:textId="77777777" w:rsidR="000D24BF" w:rsidRPr="000D24BF" w:rsidRDefault="000D24BF" w:rsidP="0093302D">
                  <w:pPr>
                    <w:spacing w:before="120"/>
                    <w:rPr>
                      <w:rFonts w:ascii="Aptos" w:eastAsia="Aptos" w:hAnsi="Aptos" w:cs="Aptos"/>
                      <w:kern w:val="0"/>
                      <w:sz w:val="24"/>
                      <w:szCs w:val="24"/>
                      <w14:ligatures w14:val="none"/>
                    </w:rPr>
                  </w:pPr>
                  <w:hyperlink r:id="rId14" w:history="1">
                    <w:r w:rsidRPr="000D24BF">
                      <w:rPr>
                        <w:rFonts w:eastAsia="Aptos"/>
                        <w:color w:val="467886"/>
                        <w:kern w:val="0"/>
                        <w:u w:val="single"/>
                        <w14:ligatures w14:val="none"/>
                      </w:rPr>
                      <w:t>Wellbeing Support Coaches | University of Montana</w:t>
                    </w:r>
                  </w:hyperlink>
                </w:p>
                <w:p w14:paraId="7899483B"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More information via the QR code, or phone number:</w:t>
                  </w:r>
                </w:p>
                <w:p w14:paraId="2B74EA82"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noProof/>
                      <w:color w:val="000000"/>
                      <w:kern w:val="0"/>
                      <w14:ligatures w14:val="none"/>
                    </w:rPr>
                    <w:drawing>
                      <wp:inline distT="0" distB="0" distL="0" distR="0" wp14:anchorId="48312BF9" wp14:editId="2170C40E">
                        <wp:extent cx="4324350" cy="5600700"/>
                        <wp:effectExtent l="0" t="0" r="0" b="0"/>
                        <wp:docPr id="14" name="x_Picture 3" descr="Flyer promoting University of Montana Curry Health Center, featuring a photograph of the building entrance with a student walking inside. It highlights medical, dental, pharmacy, insurance, counseling, wellbeing, and confidential advocacy services, includes a QR code for more information, and provides a contact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 descr="Flyer promoting University of Montana Curry Health Center, featuring a photograph of the building entrance with a student walking inside. It highlights medical, dental, pharmacy, insurance, counseling, wellbeing, and confidential advocacy services, includes a QR code for more information, and provides a contact phone numb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4350" cy="5600700"/>
                                </a:xfrm>
                                <a:prstGeom prst="rect">
                                  <a:avLst/>
                                </a:prstGeom>
                                <a:noFill/>
                                <a:ln>
                                  <a:noFill/>
                                </a:ln>
                              </pic:spPr>
                            </pic:pic>
                          </a:graphicData>
                        </a:graphic>
                      </wp:inline>
                    </w:drawing>
                  </w:r>
                </w:p>
                <w:p w14:paraId="3F55466F"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kern w:val="0"/>
                            <w:sz w:val="2"/>
                            <w:szCs w:val="2"/>
                            <w14:ligatures w14:val="none"/>
                          </w:rPr>
                          <w:lastRenderedPageBreak/>
                          <w:t> </w:t>
                        </w:r>
                      </w:p>
                    </w:tc>
                  </w:tr>
                </w:tbl>
                <w:p w14:paraId="71B2A9EA"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70002E"/>
                      <w:kern w:val="0"/>
                      <w:sz w:val="28"/>
                      <w:szCs w:val="28"/>
                      <w14:ligatures w14:val="none"/>
                    </w:rPr>
                    <w:t>Student Spotlight: Emily Curtis</w:t>
                  </w:r>
                  <w:r w:rsidRPr="000D24BF">
                    <w:rPr>
                      <w:rFonts w:eastAsia="Aptos"/>
                      <w:b/>
                      <w:bCs/>
                      <w:color w:val="70002E"/>
                      <w:kern w:val="0"/>
                      <w:sz w:val="28"/>
                      <w:szCs w:val="28"/>
                      <w14:ligatures w14:val="none"/>
                    </w:rPr>
                    <w:br/>
                    <w:t>Why Studying Abroad Changed How I See Social Work</w:t>
                  </w:r>
                </w:p>
                <w:p w14:paraId="6E2D76A8"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000000"/>
                      <w:kern w:val="0"/>
                      <w:sz w:val="24"/>
                      <w:szCs w:val="24"/>
                      <w14:ligatures w14:val="none"/>
                    </w:rPr>
                    <w:t>By Emily Curtis, Online MSW Specialization Year Student</w:t>
                  </w:r>
                </w:p>
                <w:p w14:paraId="612E0696"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ascii="Aptos" w:eastAsia="Aptos" w:hAnsi="Aptos" w:cs="Aptos"/>
                      <w:noProof/>
                      <w:color w:val="000000"/>
                      <w:kern w:val="0"/>
                      <w:sz w:val="24"/>
                      <w:szCs w:val="24"/>
                      <w14:ligatures w14:val="none"/>
                    </w:rPr>
                    <w:drawing>
                      <wp:inline distT="0" distB="0" distL="0" distR="0" wp14:anchorId="7E1E0355" wp14:editId="6072C133">
                        <wp:extent cx="1390650" cy="2190750"/>
                        <wp:effectExtent l="0" t="0" r="0" b="0"/>
                        <wp:docPr id="15" name="x_Picture 4" descr="Photograph of a person standing outdoors in front of green leafy plants and a stone wall. The person wears a sleeveless beige top and a long brown skirt, with long brown hair falling over their shou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 descr="Photograph of a person standing outdoors in front of green leafy plants and a stone wall. The person wears a sleeveless beige top and a long brown skirt, with long brown hair falling over their should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0650" cy="2190750"/>
                                </a:xfrm>
                                <a:prstGeom prst="rect">
                                  <a:avLst/>
                                </a:prstGeom>
                                <a:noFill/>
                                <a:ln>
                                  <a:noFill/>
                                </a:ln>
                              </pic:spPr>
                            </pic:pic>
                          </a:graphicData>
                        </a:graphic>
                      </wp:inline>
                    </w:drawing>
                  </w:r>
                </w:p>
                <w:p w14:paraId="3DBF9690"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As students, we are deliberately putting ourselves in a humbling position to learn, adapt new skills, and challenge ourselves to grow. I believe the underlying factor </w:t>
                  </w:r>
                  <w:proofErr w:type="gramStart"/>
                  <w:r w:rsidRPr="000D24BF">
                    <w:rPr>
                      <w:rFonts w:eastAsia="Aptos"/>
                      <w:color w:val="000000"/>
                      <w:kern w:val="0"/>
                      <w14:ligatures w14:val="none"/>
                    </w:rPr>
                    <w:t>of</w:t>
                  </w:r>
                  <w:proofErr w:type="gramEnd"/>
                  <w:r w:rsidRPr="000D24BF">
                    <w:rPr>
                      <w:rFonts w:eastAsia="Aptos"/>
                      <w:color w:val="000000"/>
                      <w:kern w:val="0"/>
                      <w14:ligatures w14:val="none"/>
                    </w:rPr>
                    <w:t xml:space="preserve"> choosing to become a student in social work is the innate desire to learn how to best help people in a genuine way. After joining the UMSSW MSW program, I realized quickly how complex a social work degree truly is. Reading about intersectionality, trauma-informed care, family and group dynamics, research methods, and ethical dilemmas, it was clear that I looked at the world through western-model lenses. I began to seriously reflect on the magnitude of how our environment shapes us.</w:t>
                  </w:r>
                </w:p>
                <w:p w14:paraId="79FFE5A1"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I became infatuated with the holistic model of care and was shown how each micro, mezzo, and macro level impacts who we are as humans. I applied this to people living in different countries, speaking different languages, and growing up with different values and ways of life. I knew that to help others in a broad sense, I could not generalize to one group. After traveling abroad for the first time at 22, I became humbled in realization that I have so much to learn about the ways of the world and that if I can become a student again and again in a disparate country from a diverse culture, I can compile more humility and knowledge on how to better serve people. My international experiences have changed my conception of social work as a global, culturally grounded profession and challenged me to reflect on ethical practice, positionality, and responsibilities as a future practitioner.</w:t>
                  </w:r>
                </w:p>
                <w:p w14:paraId="69195117"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lastRenderedPageBreak/>
                    <w:t>My international work began at 24 with a 3-credit study abroad course to Berlin, facilitated by Clinical Associate Professor Kat Werner, focused on refugee resettlement and immigration. During my time in Berlin, I attended meetings with legislative representatives, spoke with German social workers, listened to refugees’ firsthand stories, and visited refugee camps. Being there gave me a deep understanding of the complexity of life for people everywhere and showed me how social work can impact lives on a human and policy level. Within the refugee camps, I witnessed extreme trauma, grief, and uncertainty, as well as care, organization, and a genuine passion for helping those in need.</w:t>
                  </w:r>
                </w:p>
                <w:p w14:paraId="0B48C616"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After spending the remainder of the summer abroad, I returned to the USA with a clear sense that I needed to continue international work. I am currently completing a six-month practicum in New Zealand at a nurse-led clinic providing cervical health services to Māori and Pasifika women. Here, I am learning about cervical health, New Zealand healthcare, Māori culture, and how colonization, historical trauma, and systemic inequalities continue to shape Indigenous communities. Across both experiences, I recognize that while social issues manifest differently across countries, themes of dignity, equity, and justice remain universal. As I prepare for graduation, I carry with me the lessons to listen first, remain humble, and approach all communities with respect and curiosity.</w:t>
                  </w:r>
                </w:p>
                <w:p w14:paraId="01E3EE99"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My advice to UM students: </w:t>
                  </w:r>
                  <w:r w:rsidRPr="000D24BF">
                    <w:rPr>
                      <w:rFonts w:eastAsia="Aptos"/>
                      <w:b/>
                      <w:bCs/>
                      <w:color w:val="000000"/>
                      <w:kern w:val="0"/>
                      <w14:ligatures w14:val="none"/>
                    </w:rPr>
                    <w:t xml:space="preserve">GO! </w:t>
                  </w:r>
                  <w:proofErr w:type="gramStart"/>
                  <w:r w:rsidRPr="000D24BF">
                    <w:rPr>
                      <w:rFonts w:eastAsia="Aptos"/>
                      <w:color w:val="000000"/>
                      <w:kern w:val="0"/>
                      <w14:ligatures w14:val="none"/>
                    </w:rPr>
                    <w:t>Seek</w:t>
                  </w:r>
                  <w:proofErr w:type="gramEnd"/>
                  <w:r w:rsidRPr="000D24BF">
                    <w:rPr>
                      <w:rFonts w:eastAsia="Aptos"/>
                      <w:color w:val="000000"/>
                      <w:kern w:val="0"/>
                      <w14:ligatures w14:val="none"/>
                    </w:rPr>
                    <w:t xml:space="preserve"> out opportunities that will push you out of your comfort zone and challenge your biases. I would encourage students across all programs to participate in the Berlin class (offered again in the spring of 2027!), even if international social work isn’t your focus. It completely changed how I approach my work, my relationships, and my own growth; from empathy and cultural humility to understanding systems and policy. The lessons go far beyond international work; </w:t>
                  </w:r>
                  <w:proofErr w:type="gramStart"/>
                  <w:r w:rsidRPr="000D24BF">
                    <w:rPr>
                      <w:rFonts w:eastAsia="Aptos"/>
                      <w:color w:val="000000"/>
                      <w:kern w:val="0"/>
                      <w14:ligatures w14:val="none"/>
                    </w:rPr>
                    <w:t>it makes</w:t>
                  </w:r>
                  <w:proofErr w:type="gramEnd"/>
                  <w:r w:rsidRPr="000D24BF">
                    <w:rPr>
                      <w:rFonts w:eastAsia="Aptos"/>
                      <w:color w:val="000000"/>
                      <w:kern w:val="0"/>
                      <w14:ligatures w14:val="none"/>
                    </w:rPr>
                    <w:t xml:space="preserve"> you see the world, and your place in it, in a completely new way.</w:t>
                  </w:r>
                </w:p>
                <w:p w14:paraId="20450454"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sz w:val="23"/>
                      <w:szCs w:val="23"/>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1D38C7F"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b/>
                      <w:bCs/>
                      <w:color w:val="70002E"/>
                      <w:kern w:val="0"/>
                      <w:sz w:val="28"/>
                      <w:szCs w:val="28"/>
                      <w14:ligatures w14:val="none"/>
                    </w:rPr>
                    <w:t>Spring Visits to Partnering Colleges</w:t>
                  </w:r>
                </w:p>
                <w:p w14:paraId="5BC1D534" w14:textId="77777777" w:rsidR="000D24BF" w:rsidRPr="000D24BF" w:rsidRDefault="000D24BF" w:rsidP="0093302D">
                  <w:pPr>
                    <w:spacing w:before="120"/>
                    <w:rPr>
                      <w:rFonts w:ascii="Aptos" w:eastAsia="Aptos" w:hAnsi="Aptos" w:cs="Aptos"/>
                      <w:kern w:val="0"/>
                      <w:sz w:val="24"/>
                      <w:szCs w:val="24"/>
                      <w14:ligatures w14:val="none"/>
                    </w:rPr>
                  </w:pPr>
                  <w:r w:rsidRPr="000D24BF">
                    <w:rPr>
                      <w:rFonts w:eastAsia="Aptos"/>
                      <w:color w:val="000000"/>
                      <w:kern w:val="0"/>
                      <w14:ligatures w14:val="none"/>
                    </w:rPr>
                    <w:t xml:space="preserve">This spring faculty and staff will travel throughout the state to visit with current and prospective social work students and partnering colleges in the 2+2 program. This is a great time to connect </w:t>
                  </w:r>
                  <w:proofErr w:type="gramStart"/>
                  <w:r w:rsidRPr="000D24BF">
                    <w:rPr>
                      <w:rFonts w:eastAsia="Aptos"/>
                      <w:color w:val="000000"/>
                      <w:kern w:val="0"/>
                      <w14:ligatures w14:val="none"/>
                    </w:rPr>
                    <w:t>in-person</w:t>
                  </w:r>
                  <w:proofErr w:type="gramEnd"/>
                  <w:r w:rsidRPr="000D24BF">
                    <w:rPr>
                      <w:rFonts w:eastAsia="Aptos"/>
                      <w:color w:val="000000"/>
                      <w:kern w:val="0"/>
                      <w14:ligatures w14:val="none"/>
                    </w:rPr>
                    <w:t xml:space="preserve"> after spending much of the year connecting virtually. We hope to see some of you </w:t>
                  </w:r>
                  <w:r w:rsidRPr="000D24BF">
                    <w:rPr>
                      <w:rFonts w:eastAsia="Aptos"/>
                      <w:color w:val="000000"/>
                      <w:kern w:val="0"/>
                      <w14:ligatures w14:val="none"/>
                    </w:rPr>
                    <w:lastRenderedPageBreak/>
                    <w:t xml:space="preserve">again and meet many of you for the first time! For more information contact Distance Education Support Specialist, Hailey Michelson @ </w:t>
                  </w:r>
                  <w:hyperlink r:id="rId17" w:history="1">
                    <w:r w:rsidRPr="000D24BF">
                      <w:rPr>
                        <w:rFonts w:eastAsia="Aptos"/>
                        <w:color w:val="467886"/>
                        <w:kern w:val="0"/>
                        <w:u w:val="single"/>
                        <w14:ligatures w14:val="none"/>
                      </w:rPr>
                      <w:t>Hailey.michelson@mso.umt.edu</w:t>
                    </w:r>
                  </w:hyperlink>
                </w:p>
                <w:p w14:paraId="361D097A" w14:textId="77777777" w:rsidR="000D24BF" w:rsidRPr="000D24BF" w:rsidRDefault="000D24BF" w:rsidP="0093302D">
                  <w:pPr>
                    <w:numPr>
                      <w:ilvl w:val="0"/>
                      <w:numId w:val="1"/>
                    </w:numPr>
                    <w:spacing w:before="120"/>
                    <w:rPr>
                      <w:rFonts w:ascii="Aptos" w:eastAsia="Times New Roman" w:hAnsi="Aptos" w:cs="Aptos"/>
                      <w:kern w:val="0"/>
                      <w:sz w:val="24"/>
                      <w:szCs w:val="24"/>
                      <w14:ligatures w14:val="none"/>
                    </w:rPr>
                  </w:pPr>
                  <w:r w:rsidRPr="000D24BF">
                    <w:rPr>
                      <w:rFonts w:eastAsia="Times New Roman"/>
                      <w:color w:val="000000"/>
                      <w:kern w:val="0"/>
                      <w14:ligatures w14:val="none"/>
                    </w:rPr>
                    <w:t>March 17</w:t>
                  </w:r>
                  <w:r w:rsidRPr="000D24BF">
                    <w:rPr>
                      <w:rFonts w:eastAsia="Times New Roman"/>
                      <w:color w:val="000000"/>
                      <w:kern w:val="0"/>
                      <w:vertAlign w:val="superscript"/>
                      <w14:ligatures w14:val="none"/>
                    </w:rPr>
                    <w:t>th</w:t>
                  </w:r>
                  <w:r w:rsidRPr="000D24BF">
                    <w:rPr>
                      <w:rFonts w:eastAsia="Times New Roman"/>
                      <w:color w:val="000000"/>
                      <w:kern w:val="0"/>
                      <w14:ligatures w14:val="none"/>
                    </w:rPr>
                    <w:t> – Great Falls Community College</w:t>
                  </w:r>
                </w:p>
                <w:p w14:paraId="13016224" w14:textId="77777777" w:rsidR="000D24BF" w:rsidRPr="000D24BF" w:rsidRDefault="000D24BF" w:rsidP="0093302D">
                  <w:pPr>
                    <w:numPr>
                      <w:ilvl w:val="0"/>
                      <w:numId w:val="1"/>
                    </w:numPr>
                    <w:spacing w:before="120"/>
                    <w:rPr>
                      <w:rFonts w:ascii="Aptos" w:eastAsia="Times New Roman" w:hAnsi="Aptos" w:cs="Aptos"/>
                      <w:kern w:val="0"/>
                      <w:sz w:val="24"/>
                      <w:szCs w:val="24"/>
                      <w14:ligatures w14:val="none"/>
                    </w:rPr>
                  </w:pPr>
                  <w:r w:rsidRPr="000D24BF">
                    <w:rPr>
                      <w:rFonts w:eastAsia="Times New Roman"/>
                      <w:color w:val="000000"/>
                      <w:kern w:val="0"/>
                      <w14:ligatures w14:val="none"/>
                    </w:rPr>
                    <w:t>March 18</w:t>
                  </w:r>
                  <w:r w:rsidRPr="000D24BF">
                    <w:rPr>
                      <w:rFonts w:eastAsia="Times New Roman"/>
                      <w:color w:val="000000"/>
                      <w:kern w:val="0"/>
                      <w:vertAlign w:val="superscript"/>
                      <w14:ligatures w14:val="none"/>
                    </w:rPr>
                    <w:t>th</w:t>
                  </w:r>
                  <w:r w:rsidRPr="000D24BF">
                    <w:rPr>
                      <w:rFonts w:eastAsia="Times New Roman"/>
                      <w:color w:val="000000"/>
                      <w:kern w:val="0"/>
                      <w14:ligatures w14:val="none"/>
                    </w:rPr>
                    <w:t> – Stone Child College</w:t>
                  </w:r>
                </w:p>
                <w:p w14:paraId="371ECA3B" w14:textId="77777777" w:rsidR="000D24BF" w:rsidRPr="000D24BF" w:rsidRDefault="000D24BF" w:rsidP="0093302D">
                  <w:pPr>
                    <w:numPr>
                      <w:ilvl w:val="0"/>
                      <w:numId w:val="1"/>
                    </w:numPr>
                    <w:spacing w:before="120"/>
                    <w:rPr>
                      <w:rFonts w:ascii="Aptos" w:eastAsia="Times New Roman" w:hAnsi="Aptos" w:cs="Aptos"/>
                      <w:kern w:val="0"/>
                      <w:sz w:val="24"/>
                      <w:szCs w:val="24"/>
                      <w14:ligatures w14:val="none"/>
                    </w:rPr>
                  </w:pPr>
                  <w:r w:rsidRPr="000D24BF">
                    <w:rPr>
                      <w:rFonts w:eastAsia="Times New Roman"/>
                      <w:color w:val="000000"/>
                      <w:kern w:val="0"/>
                      <w14:ligatures w14:val="none"/>
                    </w:rPr>
                    <w:t>March 23</w:t>
                  </w:r>
                  <w:r w:rsidRPr="000D24BF">
                    <w:rPr>
                      <w:rFonts w:eastAsia="Times New Roman"/>
                      <w:color w:val="000000"/>
                      <w:kern w:val="0"/>
                      <w:vertAlign w:val="superscript"/>
                      <w14:ligatures w14:val="none"/>
                    </w:rPr>
                    <w:t>rd</w:t>
                  </w:r>
                  <w:r w:rsidRPr="000D24BF">
                    <w:rPr>
                      <w:rFonts w:eastAsia="Times New Roman"/>
                      <w:color w:val="000000"/>
                      <w:kern w:val="0"/>
                      <w14:ligatures w14:val="none"/>
                    </w:rPr>
                    <w:t> – Little Big Horn College</w:t>
                  </w:r>
                </w:p>
                <w:p w14:paraId="33411A64" w14:textId="77777777" w:rsidR="000D24BF" w:rsidRPr="000D24BF" w:rsidRDefault="000D24BF" w:rsidP="0093302D">
                  <w:pPr>
                    <w:numPr>
                      <w:ilvl w:val="0"/>
                      <w:numId w:val="1"/>
                    </w:numPr>
                    <w:spacing w:before="120"/>
                    <w:rPr>
                      <w:rFonts w:ascii="Aptos" w:eastAsia="Times New Roman" w:hAnsi="Aptos" w:cs="Aptos"/>
                      <w:kern w:val="0"/>
                      <w:sz w:val="24"/>
                      <w:szCs w:val="24"/>
                      <w14:ligatures w14:val="none"/>
                    </w:rPr>
                  </w:pPr>
                  <w:r w:rsidRPr="000D24BF">
                    <w:rPr>
                      <w:rFonts w:eastAsia="Times New Roman"/>
                      <w:color w:val="000000"/>
                      <w:kern w:val="0"/>
                      <w14:ligatures w14:val="none"/>
                    </w:rPr>
                    <w:t>March 23</w:t>
                  </w:r>
                  <w:r w:rsidRPr="000D24BF">
                    <w:rPr>
                      <w:rFonts w:eastAsia="Times New Roman"/>
                      <w:color w:val="000000"/>
                      <w:kern w:val="0"/>
                      <w:vertAlign w:val="superscript"/>
                      <w14:ligatures w14:val="none"/>
                    </w:rPr>
                    <w:t>rd</w:t>
                  </w:r>
                  <w:r w:rsidRPr="000D24BF">
                    <w:rPr>
                      <w:rFonts w:eastAsia="Times New Roman"/>
                      <w:color w:val="000000"/>
                      <w:kern w:val="0"/>
                      <w14:ligatures w14:val="none"/>
                    </w:rPr>
                    <w:t> – Chief Dull Knife College</w:t>
                  </w:r>
                </w:p>
                <w:p w14:paraId="4A82A873" w14:textId="354D1101" w:rsidR="000D24BF" w:rsidRPr="000D24BF" w:rsidRDefault="000D24BF" w:rsidP="0093302D">
                  <w:pPr>
                    <w:numPr>
                      <w:ilvl w:val="0"/>
                      <w:numId w:val="1"/>
                    </w:numPr>
                    <w:spacing w:before="120"/>
                    <w:rPr>
                      <w:rFonts w:ascii="Aptos" w:eastAsia="Times New Roman" w:hAnsi="Aptos" w:cs="Aptos"/>
                      <w:kern w:val="0"/>
                      <w:sz w:val="24"/>
                      <w:szCs w:val="24"/>
                      <w14:ligatures w14:val="none"/>
                    </w:rPr>
                  </w:pPr>
                  <w:r w:rsidRPr="000D24BF">
                    <w:rPr>
                      <w:rFonts w:eastAsia="Times New Roman"/>
                      <w:color w:val="000000"/>
                      <w:kern w:val="0"/>
                      <w14:ligatures w14:val="none"/>
                    </w:rPr>
                    <w:t>March 24</w:t>
                  </w:r>
                  <w:r w:rsidRPr="000D24BF">
                    <w:rPr>
                      <w:rFonts w:eastAsia="Times New Roman"/>
                      <w:color w:val="000000"/>
                      <w:kern w:val="0"/>
                      <w:vertAlign w:val="superscript"/>
                      <w14:ligatures w14:val="none"/>
                    </w:rPr>
                    <w:t>th</w:t>
                  </w:r>
                  <w:r w:rsidRPr="000D24BF">
                    <w:rPr>
                      <w:rFonts w:eastAsia="Times New Roman"/>
                      <w:color w:val="000000"/>
                      <w:kern w:val="0"/>
                      <w14:ligatures w14:val="none"/>
                    </w:rPr>
                    <w:t xml:space="preserve"> – Fort Peck Community College </w:t>
                  </w:r>
                  <w:r w:rsidRPr="000D24BF">
                    <w:rPr>
                      <w:rFonts w:eastAsia="Times New Roman"/>
                      <w:b/>
                      <w:bCs/>
                      <w:color w:val="70002E"/>
                      <w:kern w:val="0"/>
                      <w:sz w:val="24"/>
                      <w:szCs w:val="24"/>
                      <w14:ligatures w14:val="none"/>
                    </w:rPr>
                    <w:t> </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93302D">
                  <w:pPr>
                    <w:spacing w:before="120"/>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93302D">
            <w:pPr>
              <w:spacing w:before="120"/>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D24BF"/>
    <w:rsid w:val="005C7F99"/>
    <w:rsid w:val="007B7CA9"/>
    <w:rsid w:val="0093302D"/>
    <w:rsid w:val="00992CF8"/>
    <w:rsid w:val="00E23341"/>
    <w:rsid w:val="00E5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mspcc.org%2Fbhm2026%2F&amp;data=05%7C02%7Ctomas.hernandez%40mso.umt.edu%7C5763065eec6b4df1cf1508de6835c8aa%7C68407ce503da49ffaf0a724be0d37c9d%7C0%7C0%7C639062777489090552%7CUnknown%7CTWFpbGZsb3d8eyJFbXB0eU1hcGkiOnRydWUsIlYiOiIwLjAuMDAwMCIsIlAiOiJXaW4zMiIsIkFOIjoiTWFpbCIsIldUIjoyfQ%3D%3D%7C0%7C%7C%7C&amp;sdata=LwtsmiRysgyiktrm9eWx%2BMOlX1xt%2BftHDPbJaXHDRmc%3D&amp;reserved=0" TargetMode="External"/><Relationship Id="rId13" Type="http://schemas.openxmlformats.org/officeDocument/2006/relationships/hyperlink" Target="mailto:kinsey.webb@mso.umt.ed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mt.edu/curry-health-center/insurance/medical-insurance-update.php" TargetMode="External"/><Relationship Id="rId17" Type="http://schemas.openxmlformats.org/officeDocument/2006/relationships/hyperlink" Target="mailto:Hailey.michelson@mso.umt.edu" TargetMode="Externa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www.youtube.com%2Fwatch%3Fv%3D4OS82dVQOfU&amp;data=05%7C02%7Ctomas.hernandez%40mso.umt.edu%7C5763065eec6b4df1cf1508de6835c8aa%7C68407ce503da49ffaf0a724be0d37c9d%7C0%7C0%7C639062777489130220%7CUnknown%7CTWFpbGZsb3d8eyJFbXB0eU1hcGkiOnRydWUsIlYiOiIwLjAuMDAwMCIsIlAiOiJXaW4zMiIsIkFOIjoiTWFpbCIsIldUIjoyfQ%3D%3D%7C0%7C%7C%7C&amp;sdata=Q%2Bp9ZpzjOh3sD6Ot1vwohQ%2BLReC9wkG4OQ9THb4vCXc%3D&amp;reserved=0" TargetMode="External"/><Relationship Id="rId5" Type="http://schemas.openxmlformats.org/officeDocument/2006/relationships/hyperlink" Target="https://www.umt.edu/social-work/default.php" TargetMode="Externa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m04.safelinks.protection.outlook.com/?url=https%3A%2F%2Fasalh.org%2Fblack-history-themes%2F&amp;data=05%7C02%7Ctomas.hernandez%40mso.umt.edu%7C5763065eec6b4df1cf1508de6835c8aa%7C68407ce503da49ffaf0a724be0d37c9d%7C0%7C0%7C639062777489116601%7CUnknown%7CTWFpbGZsb3d8eyJFbXB0eU1hcGkiOnRydWUsIlYiOiIwLjAuMDAwMCIsIlAiOiJXaW4zMiIsIkFOIjoiTWFpbCIsIldUIjoyfQ%3D%3D%7C0%7C%7C%7C&amp;sdata=shB8sX7dUJPOs7ka8oWiRmMPngcPtoLB0y2NhkXQMR8%3D&amp;reserved=0" TargetMode="External"/><Relationship Id="rId14" Type="http://schemas.openxmlformats.org/officeDocument/2006/relationships/hyperlink" Target="https://www.umt.edu/curry-health-center/wellbeing/wellbeing-support-coa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1123</Words>
  <Characters>5969</Characters>
  <Application>Microsoft Office Word</Application>
  <DocSecurity>0</DocSecurity>
  <Lines>105</Lines>
  <Paragraphs>33</Paragraphs>
  <ScaleCrop>false</ScaleCrop>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2026-02-11T01:39:00Z</dcterms:created>
  <dcterms:modified xsi:type="dcterms:W3CDTF">2026-02-11T02:48:00Z</dcterms:modified>
</cp:coreProperties>
</file>