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0" w:type="dxa"/>
        <w:shd w:val="clear" w:color="auto" w:fill="F5F5F5"/>
        <w:tblCellMar>
          <w:left w:w="0" w:type="dxa"/>
          <w:right w:w="0" w:type="dxa"/>
        </w:tblCellMar>
        <w:tblLook w:val="04A0" w:firstRow="1" w:lastRow="0" w:firstColumn="1" w:lastColumn="0" w:noHBand="0" w:noVBand="1"/>
      </w:tblPr>
      <w:tblGrid>
        <w:gridCol w:w="10800"/>
      </w:tblGrid>
      <w:tr w:rsidR="000D24BF" w:rsidRPr="000D24BF" w14:paraId="4A0A3A3E" w14:textId="77777777">
        <w:trPr>
          <w:tblCellSpacing w:w="0" w:type="dxa"/>
        </w:trPr>
        <w:tc>
          <w:tcPr>
            <w:tcW w:w="0" w:type="auto"/>
            <w:shd w:val="clear" w:color="auto" w:fill="F5F5F5"/>
            <w:tcMar>
              <w:top w:w="300" w:type="dxa"/>
              <w:left w:w="150" w:type="dxa"/>
              <w:bottom w:w="300" w:type="dxa"/>
              <w:right w:w="150" w:type="dxa"/>
            </w:tcMar>
            <w:vAlign w:val="center"/>
            <w:hideMark/>
          </w:tcPr>
          <w:tbl>
            <w:tblPr>
              <w:tblW w:w="9320" w:type="dxa"/>
              <w:jc w:val="center"/>
              <w:tblCellSpacing w:w="0" w:type="dxa"/>
              <w:shd w:val="clear" w:color="auto" w:fill="FFFFFF"/>
              <w:tblCellMar>
                <w:left w:w="0" w:type="dxa"/>
                <w:right w:w="0" w:type="dxa"/>
              </w:tblCellMar>
              <w:tblLook w:val="04A0" w:firstRow="1" w:lastRow="0" w:firstColumn="1" w:lastColumn="0" w:noHBand="0" w:noVBand="1"/>
            </w:tblPr>
            <w:tblGrid>
              <w:gridCol w:w="9320"/>
            </w:tblGrid>
            <w:tr w:rsidR="000D24BF" w:rsidRPr="000D24BF" w14:paraId="2873AD14" w14:textId="77777777">
              <w:trPr>
                <w:tblCellSpacing w:w="0" w:type="dxa"/>
                <w:jc w:val="center"/>
              </w:trPr>
              <w:tc>
                <w:tcPr>
                  <w:tcW w:w="0" w:type="auto"/>
                  <w:shd w:val="clear" w:color="auto" w:fill="FFFFFF"/>
                  <w:tcMar>
                    <w:top w:w="300" w:type="dxa"/>
                    <w:left w:w="150" w:type="dxa"/>
                    <w:bottom w:w="300" w:type="dxa"/>
                    <w:right w:w="150" w:type="dxa"/>
                  </w:tcMar>
                  <w:vAlign w:val="center"/>
                  <w:hideMark/>
                </w:tcPr>
                <w:p w14:paraId="1830EFFE"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noProof/>
                      <w:color w:val="0000FF"/>
                      <w:kern w:val="0"/>
                      <w:sz w:val="24"/>
                      <w:szCs w:val="24"/>
                      <w14:ligatures w14:val="none"/>
                    </w:rPr>
                    <w:drawing>
                      <wp:inline distT="0" distB="0" distL="0" distR="0" wp14:anchorId="05692F06" wp14:editId="3B1F3F2F">
                        <wp:extent cx="5715000" cy="2400300"/>
                        <wp:effectExtent l="0" t="0" r="0" b="0"/>
                        <wp:doc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tc>
            </w:tr>
            <w:tr w:rsidR="000D24BF" w:rsidRPr="000D24BF" w14:paraId="0618ED0C" w14:textId="77777777">
              <w:trPr>
                <w:tblCellSpacing w:w="0" w:type="dxa"/>
                <w:jc w:val="center"/>
              </w:trPr>
              <w:tc>
                <w:tcPr>
                  <w:tcW w:w="0" w:type="auto"/>
                  <w:tcBorders>
                    <w:top w:val="nil"/>
                    <w:left w:val="nil"/>
                    <w:bottom w:val="single" w:sz="8" w:space="0" w:color="70002E"/>
                    <w:right w:val="nil"/>
                  </w:tcBorders>
                  <w:shd w:val="clear" w:color="auto" w:fill="FFFFFF"/>
                  <w:tcMar>
                    <w:top w:w="150" w:type="dxa"/>
                    <w:left w:w="300" w:type="dxa"/>
                    <w:bottom w:w="150" w:type="dxa"/>
                    <w:right w:w="300" w:type="dxa"/>
                  </w:tcMar>
                  <w:vAlign w:val="center"/>
                  <w:hideMark/>
                </w:tcPr>
                <w:p w14:paraId="78C3AEE1" w14:textId="77777777" w:rsidR="000D24BF" w:rsidRPr="000D24BF" w:rsidRDefault="000D24BF" w:rsidP="00D34E5C">
                  <w:pPr>
                    <w:rPr>
                      <w:rFonts w:ascii="Aptos" w:eastAsia="Aptos" w:hAnsi="Aptos" w:cs="Aptos"/>
                      <w:kern w:val="0"/>
                      <w:sz w:val="24"/>
                      <w:szCs w:val="24"/>
                      <w14:ligatures w14:val="none"/>
                    </w:rPr>
                  </w:pPr>
                  <w:r w:rsidRPr="000D24BF">
                    <w:rPr>
                      <w:rFonts w:eastAsia="Aptos"/>
                      <w:b/>
                      <w:bCs/>
                      <w:color w:val="70002E"/>
                      <w:kern w:val="0"/>
                      <w:sz w:val="29"/>
                      <w:szCs w:val="29"/>
                      <w14:ligatures w14:val="none"/>
                    </w:rPr>
                    <w:t>What's Up – A Newsletter from the UM School of Social Work</w:t>
                  </w:r>
                </w:p>
              </w:tc>
            </w:tr>
            <w:tr w:rsidR="000D24BF" w:rsidRPr="000D24BF" w14:paraId="11850F3C" w14:textId="77777777">
              <w:trPr>
                <w:tblCellSpacing w:w="0" w:type="dxa"/>
                <w:jc w:val="center"/>
              </w:trPr>
              <w:tc>
                <w:tcPr>
                  <w:tcW w:w="0" w:type="auto"/>
                  <w:shd w:val="clear" w:color="auto" w:fill="FFFFFF"/>
                  <w:tcMar>
                    <w:top w:w="300" w:type="dxa"/>
                    <w:left w:w="300" w:type="dxa"/>
                    <w:bottom w:w="300" w:type="dxa"/>
                    <w:right w:w="300" w:type="dxa"/>
                  </w:tcMar>
                  <w:vAlign w:val="center"/>
                  <w:hideMark/>
                </w:tcPr>
                <w:p w14:paraId="153781E0" w14:textId="77777777" w:rsidR="00282D51" w:rsidRPr="00282D51" w:rsidRDefault="00282D51" w:rsidP="00282D51">
                  <w:pPr>
                    <w:rPr>
                      <w:rFonts w:eastAsia="Aptos"/>
                      <w:b/>
                      <w:bCs/>
                      <w:color w:val="70002E"/>
                      <w:kern w:val="0"/>
                      <w:sz w:val="28"/>
                      <w:szCs w:val="28"/>
                      <w14:ligatures w14:val="none"/>
                    </w:rPr>
                  </w:pPr>
                  <w:r w:rsidRPr="00282D51">
                    <w:rPr>
                      <w:rFonts w:eastAsia="Aptos"/>
                      <w:b/>
                      <w:bCs/>
                      <w:color w:val="70002E"/>
                      <w:kern w:val="0"/>
                      <w:sz w:val="28"/>
                      <w:szCs w:val="28"/>
                      <w14:ligatures w14:val="none"/>
                    </w:rPr>
                    <w:t>Reminders</w:t>
                  </w:r>
                </w:p>
                <w:p w14:paraId="7862AFF8" w14:textId="77777777" w:rsidR="00376FAF" w:rsidRPr="00376FAF" w:rsidRDefault="00376FAF" w:rsidP="00376FAF">
                  <w:pPr>
                    <w:rPr>
                      <w:rFonts w:eastAsia="Aptos"/>
                      <w:color w:val="000000"/>
                      <w:kern w:val="0"/>
                      <w14:ligatures w14:val="none"/>
                    </w:rPr>
                  </w:pPr>
                  <w:r w:rsidRPr="00376FAF">
                    <w:rPr>
                      <w:rFonts w:eastAsia="Aptos"/>
                      <w:color w:val="000000"/>
                      <w:kern w:val="0"/>
                      <w14:ligatures w14:val="none"/>
                    </w:rPr>
                    <w:t>Please remember these helpful UM resources as you embark on another year of learning. These are all available to help you in your coursework:</w:t>
                  </w:r>
                </w:p>
                <w:p w14:paraId="7D05B833" w14:textId="77777777" w:rsidR="00376FAF" w:rsidRPr="00376FAF" w:rsidRDefault="00376FAF" w:rsidP="00376FAF">
                  <w:pPr>
                    <w:numPr>
                      <w:ilvl w:val="0"/>
                      <w:numId w:val="27"/>
                    </w:numPr>
                    <w:rPr>
                      <w:rFonts w:eastAsia="Aptos"/>
                      <w:color w:val="000000"/>
                      <w:kern w:val="0"/>
                      <w14:ligatures w14:val="none"/>
                    </w:rPr>
                  </w:pPr>
                  <w:r w:rsidRPr="00376FAF">
                    <w:rPr>
                      <w:rFonts w:eastAsia="Aptos"/>
                      <w:b/>
                      <w:bCs/>
                      <w:color w:val="000000"/>
                      <w:kern w:val="0"/>
                      <w14:ligatures w14:val="none"/>
                    </w:rPr>
                    <w:t>The Writing Center:</w:t>
                  </w:r>
                  <w:r w:rsidRPr="00376FAF">
                    <w:rPr>
                      <w:rFonts w:eastAsia="Aptos"/>
                      <w:color w:val="000000"/>
                      <w:kern w:val="0"/>
                      <w14:ligatures w14:val="none"/>
                    </w:rPr>
                    <w:t> This is a NO-COST service available to all students. Everyone can benefit from working with the Writing Center, even if you’ve been told you’re a strong writer.</w:t>
                  </w:r>
                </w:p>
                <w:p w14:paraId="5F786726" w14:textId="77777777" w:rsidR="00376FAF" w:rsidRPr="00376FAF" w:rsidRDefault="00376FAF" w:rsidP="00376FAF">
                  <w:pPr>
                    <w:numPr>
                      <w:ilvl w:val="1"/>
                      <w:numId w:val="28"/>
                    </w:numPr>
                    <w:rPr>
                      <w:rFonts w:eastAsia="Aptos"/>
                      <w:color w:val="000000"/>
                      <w:kern w:val="0"/>
                      <w14:ligatures w14:val="none"/>
                    </w:rPr>
                  </w:pPr>
                  <w:r w:rsidRPr="00376FAF">
                    <w:rPr>
                      <w:rFonts w:eastAsia="Aptos"/>
                      <w:color w:val="000000"/>
                      <w:kern w:val="0"/>
                      <w14:ligatures w14:val="none"/>
                    </w:rPr>
                    <w:t>How it works: Book an appointment with a consultant and discuss your paper/project. From there, you and your tutor will map out a plan to address your needs and writing concerns. </w:t>
                  </w:r>
                </w:p>
                <w:p w14:paraId="291A08EE" w14:textId="77777777" w:rsidR="00376FAF" w:rsidRPr="00376FAF" w:rsidRDefault="00376FAF" w:rsidP="00376FAF">
                  <w:pPr>
                    <w:numPr>
                      <w:ilvl w:val="1"/>
                      <w:numId w:val="28"/>
                    </w:numPr>
                    <w:rPr>
                      <w:rFonts w:eastAsia="Aptos"/>
                      <w:color w:val="000000"/>
                      <w:kern w:val="0"/>
                      <w14:ligatures w14:val="none"/>
                    </w:rPr>
                  </w:pPr>
                  <w:r w:rsidRPr="00376FAF">
                    <w:rPr>
                      <w:rFonts w:eastAsia="Aptos"/>
                      <w:color w:val="000000"/>
                      <w:kern w:val="0"/>
                      <w14:ligatures w14:val="none"/>
                    </w:rPr>
                    <w:t>Access the following link to learn more:</w:t>
                  </w:r>
                  <w:hyperlink r:id="rId7" w:tgtFrame="_blank" w:tooltip="https://www.umt.edu/writing-center/" w:history="1">
                    <w:r w:rsidRPr="00376FAF">
                      <w:rPr>
                        <w:rStyle w:val="Hyperlink"/>
                        <w:rFonts w:eastAsia="Aptos"/>
                        <w:kern w:val="0"/>
                        <w14:ligatures w14:val="none"/>
                      </w:rPr>
                      <w:t> Writing Center</w:t>
                    </w:r>
                  </w:hyperlink>
                </w:p>
                <w:p w14:paraId="2D134FBE" w14:textId="3E97BFA1" w:rsidR="00E92FCB" w:rsidRPr="00376FAF" w:rsidRDefault="00376FAF" w:rsidP="00D34E5C">
                  <w:pPr>
                    <w:numPr>
                      <w:ilvl w:val="0"/>
                      <w:numId w:val="29"/>
                    </w:numPr>
                    <w:rPr>
                      <w:rFonts w:eastAsia="Aptos"/>
                      <w:color w:val="000000"/>
                      <w:kern w:val="0"/>
                      <w14:ligatures w14:val="none"/>
                    </w:rPr>
                  </w:pPr>
                  <w:r w:rsidRPr="00376FAF">
                    <w:rPr>
                      <w:rFonts w:eastAsia="Aptos"/>
                      <w:b/>
                      <w:bCs/>
                      <w:color w:val="000000"/>
                      <w:kern w:val="0"/>
                      <w14:ligatures w14:val="none"/>
                    </w:rPr>
                    <w:t>The Mansfield Library: </w:t>
                  </w:r>
                  <w:r w:rsidRPr="00376FAF">
                    <w:rPr>
                      <w:rFonts w:eastAsia="Aptos"/>
                      <w:color w:val="000000"/>
                      <w:kern w:val="0"/>
                      <w14:ligatures w14:val="none"/>
                    </w:rPr>
                    <w:t>The UM Library offers free access to thousands of journals, articles, and databases. The </w:t>
                  </w:r>
                  <w:hyperlink r:id="rId8" w:tgtFrame="_blank" w:tooltip="Original URL: https://trails-um.primo.exlibrisgroup.com/discovery/search?vid=01TRAILS_UM:01TRAILS_UM. Click or tap if you trust this link." w:history="1">
                    <w:r w:rsidRPr="00376FAF">
                      <w:rPr>
                        <w:rStyle w:val="Hyperlink"/>
                        <w:rFonts w:eastAsia="Aptos"/>
                        <w:kern w:val="0"/>
                        <w14:ligatures w14:val="none"/>
                      </w:rPr>
                      <w:t>Onesearch</w:t>
                    </w:r>
                  </w:hyperlink>
                  <w:r w:rsidRPr="00376FAF">
                    <w:rPr>
                      <w:rFonts w:eastAsia="Aptos"/>
                      <w:color w:val="000000"/>
                      <w:kern w:val="0"/>
                      <w14:ligatures w14:val="none"/>
                    </w:rPr>
                    <w:t> tool makes it incredibly easy to research any subject and find credible sources.</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33855D6" w14:textId="77777777">
                    <w:trPr>
                      <w:tblCellSpacing w:w="0" w:type="dxa"/>
                    </w:trPr>
                    <w:tc>
                      <w:tcPr>
                        <w:tcW w:w="0" w:type="auto"/>
                        <w:tcBorders>
                          <w:top w:val="single" w:sz="8" w:space="0" w:color="E0E0E0"/>
                          <w:left w:val="nil"/>
                          <w:bottom w:val="nil"/>
                          <w:right w:val="nil"/>
                        </w:tcBorders>
                        <w:vAlign w:val="center"/>
                        <w:hideMark/>
                      </w:tcPr>
                      <w:p w14:paraId="5DD0ED9C"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711C0469" w14:textId="77777777" w:rsidR="0037513C" w:rsidRPr="0037513C" w:rsidRDefault="0037513C" w:rsidP="0037513C">
                  <w:pPr>
                    <w:rPr>
                      <w:rFonts w:eastAsia="Aptos"/>
                      <w:b/>
                      <w:bCs/>
                      <w:color w:val="70002E"/>
                      <w:kern w:val="0"/>
                      <w:sz w:val="28"/>
                      <w:szCs w:val="28"/>
                      <w14:ligatures w14:val="none"/>
                    </w:rPr>
                  </w:pPr>
                  <w:r w:rsidRPr="0037513C">
                    <w:rPr>
                      <w:rFonts w:eastAsia="Aptos"/>
                      <w:b/>
                      <w:bCs/>
                      <w:color w:val="70002E"/>
                      <w:kern w:val="0"/>
                      <w:sz w:val="28"/>
                      <w:szCs w:val="28"/>
                      <w14:ligatures w14:val="none"/>
                    </w:rPr>
                    <w:t>News</w:t>
                  </w:r>
                </w:p>
                <w:p w14:paraId="4C55C201" w14:textId="77777777" w:rsidR="00DD6906" w:rsidRPr="00DD6906" w:rsidRDefault="00DD6906" w:rsidP="00DD6906">
                  <w:pPr>
                    <w:rPr>
                      <w:rFonts w:eastAsia="Aptos"/>
                      <w:kern w:val="0"/>
                      <w14:ligatures w14:val="none"/>
                    </w:rPr>
                  </w:pPr>
                  <w:r w:rsidRPr="00DD6906">
                    <w:rPr>
                      <w:rFonts w:eastAsia="Aptos"/>
                      <w:b/>
                      <w:bCs/>
                      <w:kern w:val="0"/>
                      <w14:ligatures w14:val="none"/>
                    </w:rPr>
                    <w:lastRenderedPageBreak/>
                    <w:t>Indian Child Welfare Act Upheld</w:t>
                  </w:r>
                </w:p>
                <w:p w14:paraId="11007A81" w14:textId="77777777" w:rsidR="00DD6906" w:rsidRPr="00DD6906" w:rsidRDefault="00DD6906" w:rsidP="00DD6906">
                  <w:pPr>
                    <w:rPr>
                      <w:rFonts w:eastAsia="Aptos"/>
                      <w:kern w:val="0"/>
                      <w14:ligatures w14:val="none"/>
                    </w:rPr>
                  </w:pPr>
                  <w:r w:rsidRPr="00DD6906">
                    <w:rPr>
                      <w:rFonts w:eastAsia="Aptos"/>
                      <w:kern w:val="0"/>
                      <w14:ligatures w14:val="none"/>
                    </w:rPr>
                    <w:t>On June 15, 2023, the United States Supreme Court handed down its </w:t>
                  </w:r>
                  <w:hyperlink r:id="rId9" w:tgtFrame="_blank" w:tooltip="Original URL: https://www.supremecourt.gov/opinions/22pdf/21-376_7l48.pdf. Click or tap if you trust this link." w:history="1">
                    <w:r w:rsidRPr="00DD6906">
                      <w:rPr>
                        <w:rStyle w:val="Hyperlink"/>
                        <w:rFonts w:eastAsia="Aptos"/>
                        <w:kern w:val="0"/>
                        <w14:ligatures w14:val="none"/>
                      </w:rPr>
                      <w:t>decision in </w:t>
                    </w:r>
                    <w:r w:rsidRPr="00DD6906">
                      <w:rPr>
                        <w:rStyle w:val="Hyperlink"/>
                        <w:rFonts w:eastAsia="Aptos"/>
                        <w:i/>
                        <w:iCs/>
                        <w:kern w:val="0"/>
                        <w14:ligatures w14:val="none"/>
                      </w:rPr>
                      <w:t>Haaland v. Brackeen</w:t>
                    </w:r>
                  </w:hyperlink>
                  <w:r w:rsidRPr="00DD6906">
                    <w:rPr>
                      <w:rFonts w:eastAsia="Aptos"/>
                      <w:kern w:val="0"/>
                      <w14:ligatures w14:val="none"/>
                    </w:rPr>
                    <w:t> and, in a 7-2 opinion, resoundingly affirmed the constitutionality of the Indian Child Welfare Act (Native American Rights Fund, 2023)</w:t>
                  </w:r>
                </w:p>
                <w:p w14:paraId="5A686E0B" w14:textId="77777777" w:rsidR="00DD6906" w:rsidRPr="00DD6906" w:rsidRDefault="00DD6906" w:rsidP="00DD6906">
                  <w:pPr>
                    <w:rPr>
                      <w:rFonts w:eastAsia="Aptos"/>
                      <w:kern w:val="0"/>
                      <w14:ligatures w14:val="none"/>
                    </w:rPr>
                  </w:pPr>
                  <w:r w:rsidRPr="00DD6906">
                    <w:rPr>
                      <w:rFonts w:eastAsia="Aptos"/>
                      <w:kern w:val="0"/>
                      <w14:ligatures w14:val="none"/>
                    </w:rPr>
                    <w:t>Read more about this important news </w:t>
                  </w:r>
                  <w:hyperlink r:id="rId10" w:tgtFrame="_blank" w:tooltip="Original URL: https://narf.org/protect-icwa-statement/. Click or tap if you trust this link." w:history="1">
                    <w:r w:rsidRPr="00DD6906">
                      <w:rPr>
                        <w:rStyle w:val="Hyperlink"/>
                        <w:rFonts w:eastAsia="Aptos"/>
                        <w:kern w:val="0"/>
                        <w14:ligatures w14:val="none"/>
                      </w:rPr>
                      <w:t>here!</w:t>
                    </w:r>
                  </w:hyperlink>
                </w:p>
                <w:p w14:paraId="73528B43" w14:textId="77777777" w:rsidR="00DD6906" w:rsidRPr="00DD6906" w:rsidRDefault="00DD6906" w:rsidP="00DD6906">
                  <w:pPr>
                    <w:rPr>
                      <w:rFonts w:eastAsia="Aptos"/>
                      <w:kern w:val="0"/>
                      <w14:ligatures w14:val="none"/>
                    </w:rPr>
                  </w:pPr>
                  <w:r w:rsidRPr="00DD6906">
                    <w:rPr>
                      <w:rFonts w:eastAsia="Aptos"/>
                      <w:b/>
                      <w:bCs/>
                      <w:kern w:val="0"/>
                      <w14:ligatures w14:val="none"/>
                    </w:rPr>
                    <w:t>Judge Rules in Favor of Montana Youths in a Landmark Climate Case</w:t>
                  </w:r>
                </w:p>
                <w:p w14:paraId="40B57F6D" w14:textId="77777777" w:rsidR="00DD6906" w:rsidRPr="00DD6906" w:rsidRDefault="00DD6906" w:rsidP="00DD6906">
                  <w:pPr>
                    <w:rPr>
                      <w:rFonts w:eastAsia="Aptos"/>
                      <w:kern w:val="0"/>
                      <w14:ligatures w14:val="none"/>
                    </w:rPr>
                  </w:pPr>
                  <w:r w:rsidRPr="00DD6906">
                    <w:rPr>
                      <w:rFonts w:eastAsia="Aptos"/>
                      <w:kern w:val="0"/>
                      <w14:ligatures w14:val="none"/>
                    </w:rPr>
                    <w:t>The court found that young people have a constitutional right to a healthful environment and that the state must consider potential climate damage when approving projects (New York Times, 2023). Read the full article </w:t>
                  </w:r>
                  <w:hyperlink r:id="rId11" w:tgtFrame="_blank" w:tooltip="Original URL: https://www.nytimes.com/2023/08/14/us/montana-youth-climate-ruling.html. Click or tap if you trust this link." w:history="1">
                    <w:r w:rsidRPr="00DD6906">
                      <w:rPr>
                        <w:rStyle w:val="Hyperlink"/>
                        <w:rFonts w:eastAsia="Aptos"/>
                        <w:kern w:val="0"/>
                        <w14:ligatures w14:val="none"/>
                      </w:rPr>
                      <w:t>here</w:t>
                    </w:r>
                  </w:hyperlink>
                  <w:r w:rsidRPr="00DD6906">
                    <w:rPr>
                      <w:rFonts w:eastAsia="Aptos"/>
                      <w:kern w:val="0"/>
                      <w14:ligatures w14:val="none"/>
                    </w:rPr>
                    <w:t> (</w:t>
                  </w:r>
                  <w:r w:rsidRPr="00DD6906">
                    <w:rPr>
                      <w:rFonts w:eastAsia="Aptos"/>
                      <w:i/>
                      <w:iCs/>
                      <w:kern w:val="0"/>
                      <w14:ligatures w14:val="none"/>
                    </w:rPr>
                    <w:t>note</w:t>
                  </w:r>
                  <w:r w:rsidRPr="00DD6906">
                    <w:rPr>
                      <w:rFonts w:eastAsia="Aptos"/>
                      <w:kern w:val="0"/>
                      <w14:ligatures w14:val="none"/>
                    </w:rPr>
                    <w:t>: if you get firewalled/asked to subscribe, you can access this through the Mansfield Library resources- search key terms in </w:t>
                  </w:r>
                  <w:hyperlink r:id="rId12" w:tgtFrame="_blank" w:tooltip="Original URL: https://trails-um.primo.exlibrisgroup.com/discovery/search?vid=01TRAILS_UM:01TRAILS_UM. Click or tap if you trust this link." w:history="1">
                    <w:r w:rsidRPr="00DD6906">
                      <w:rPr>
                        <w:rStyle w:val="Hyperlink"/>
                        <w:rFonts w:eastAsia="Aptos"/>
                        <w:kern w:val="0"/>
                        <w14:ligatures w14:val="none"/>
                      </w:rPr>
                      <w:t>Onesearch</w:t>
                    </w:r>
                  </w:hyperlink>
                  <w:r w:rsidRPr="00DD6906">
                    <w:rPr>
                      <w:rFonts w:eastAsia="Aptos"/>
                      <w:kern w:val="0"/>
                      <w14:ligatures w14:val="none"/>
                    </w:rPr>
                    <w:t>).</w:t>
                  </w:r>
                </w:p>
                <w:p w14:paraId="0DE65CA1" w14:textId="77777777" w:rsidR="00DD6906" w:rsidRPr="00DD6906" w:rsidRDefault="00DD6906" w:rsidP="00DD6906">
                  <w:pPr>
                    <w:rPr>
                      <w:rFonts w:eastAsia="Aptos"/>
                      <w:kern w:val="0"/>
                      <w14:ligatures w14:val="none"/>
                    </w:rPr>
                  </w:pPr>
                  <w:r w:rsidRPr="00DD6906">
                    <w:rPr>
                      <w:rFonts w:eastAsia="Aptos"/>
                      <w:b/>
                      <w:bCs/>
                      <w:kern w:val="0"/>
                      <w14:ligatures w14:val="none"/>
                    </w:rPr>
                    <w:t>September is National Suicide Awareness Month</w:t>
                  </w:r>
                </w:p>
                <w:p w14:paraId="5C76DE47" w14:textId="6409C55C" w:rsidR="0004769E" w:rsidRPr="00BC7FCC" w:rsidRDefault="00DD6906" w:rsidP="00D34E5C">
                  <w:pPr>
                    <w:rPr>
                      <w:rFonts w:eastAsia="Aptos"/>
                      <w:kern w:val="0"/>
                      <w14:ligatures w14:val="none"/>
                    </w:rPr>
                  </w:pPr>
                  <w:r w:rsidRPr="00DD6906">
                    <w:rPr>
                      <w:rFonts w:eastAsia="Aptos"/>
                      <w:kern w:val="0"/>
                      <w14:ligatures w14:val="none"/>
                    </w:rPr>
                    <w:t>Social workers play a key role in suicide prevention and awareness. Take time this month to learn more about this issue. Below is one event, but more are happening all around the country and online. NAMI is an excellent resource.</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0419361" w14:textId="77777777">
                    <w:trPr>
                      <w:tblCellSpacing w:w="0" w:type="dxa"/>
                    </w:trPr>
                    <w:tc>
                      <w:tcPr>
                        <w:tcW w:w="0" w:type="auto"/>
                        <w:tcBorders>
                          <w:top w:val="single" w:sz="8" w:space="0" w:color="E0E0E0"/>
                          <w:left w:val="nil"/>
                          <w:bottom w:val="nil"/>
                          <w:right w:val="nil"/>
                        </w:tcBorders>
                        <w:vAlign w:val="center"/>
                        <w:hideMark/>
                      </w:tcPr>
                      <w:p w14:paraId="62444616"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247F0DC1" w14:textId="77777777" w:rsidR="00451E35" w:rsidRPr="00451E35" w:rsidRDefault="00451E35" w:rsidP="00451E35">
                  <w:pPr>
                    <w:rPr>
                      <w:rFonts w:eastAsia="Aptos"/>
                      <w:b/>
                      <w:bCs/>
                      <w:color w:val="70002E"/>
                      <w:kern w:val="0"/>
                      <w:sz w:val="28"/>
                      <w:szCs w:val="28"/>
                      <w14:ligatures w14:val="none"/>
                    </w:rPr>
                  </w:pPr>
                  <w:r w:rsidRPr="00451E35">
                    <w:rPr>
                      <w:rFonts w:eastAsia="Aptos"/>
                      <w:b/>
                      <w:bCs/>
                      <w:color w:val="70002E"/>
                      <w:kern w:val="0"/>
                      <w:sz w:val="28"/>
                      <w:szCs w:val="28"/>
                      <w14:ligatures w14:val="none"/>
                    </w:rPr>
                    <w:t>STAY</w:t>
                  </w:r>
                </w:p>
                <w:p w14:paraId="4229B6A1" w14:textId="3491069D" w:rsidR="00AF3FDE" w:rsidRPr="00AF3FDE" w:rsidRDefault="009B7373" w:rsidP="00D34E5C">
                  <w:pPr>
                    <w:jc w:val="center"/>
                    <w:rPr>
                      <w:rFonts w:eastAsia="Aptos"/>
                      <w:color w:val="000000"/>
                      <w:kern w:val="0"/>
                      <w14:ligatures w14:val="none"/>
                    </w:rPr>
                  </w:pPr>
                  <w:r>
                    <w:rPr>
                      <w:rFonts w:eastAsia="Aptos"/>
                      <w:noProof/>
                      <w:color w:val="000000"/>
                    </w:rPr>
                    <w:drawing>
                      <wp:inline distT="0" distB="0" distL="0" distR="0" wp14:anchorId="39070AE6" wp14:editId="2FAEB083">
                        <wp:extent cx="3105150" cy="1752600"/>
                        <wp:effectExtent l="0" t="0" r="0" b="0"/>
                        <wp:docPr id="1" name="Picture 1" descr="A mountain range with a red sky and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mountain range with a red sky and clouds&#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05150" cy="1752600"/>
                                </a:xfrm>
                                <a:prstGeom prst="rect">
                                  <a:avLst/>
                                </a:prstGeom>
                                <a:noFill/>
                                <a:ln>
                                  <a:noFill/>
                                </a:ln>
                              </pic:spPr>
                            </pic:pic>
                          </a:graphicData>
                        </a:graphic>
                      </wp:inline>
                    </w:drawing>
                  </w:r>
                </w:p>
                <w:p w14:paraId="382C4AE5" w14:textId="77777777" w:rsidR="00222CD4" w:rsidRPr="00222CD4" w:rsidRDefault="00222CD4" w:rsidP="00222CD4">
                  <w:pPr>
                    <w:rPr>
                      <w:rFonts w:eastAsia="Aptos"/>
                      <w:color w:val="000000"/>
                      <w:kern w:val="0"/>
                      <w14:ligatures w14:val="none"/>
                    </w:rPr>
                  </w:pPr>
                  <w:r w:rsidRPr="00222CD4">
                    <w:rPr>
                      <w:rFonts w:eastAsia="Aptos"/>
                      <w:color w:val="000000"/>
                      <w:kern w:val="0"/>
                      <w14:ligatures w14:val="none"/>
                    </w:rPr>
                    <w:t>"Speaking Out Against Suicide”</w:t>
                  </w:r>
                </w:p>
                <w:p w14:paraId="164213A1" w14:textId="77777777" w:rsidR="00222CD4" w:rsidRPr="00222CD4" w:rsidRDefault="00222CD4" w:rsidP="00222CD4">
                  <w:pPr>
                    <w:rPr>
                      <w:rFonts w:eastAsia="Aptos"/>
                      <w:color w:val="000000"/>
                      <w:kern w:val="0"/>
                      <w14:ligatures w14:val="none"/>
                    </w:rPr>
                  </w:pPr>
                  <w:r w:rsidRPr="00222CD4">
                    <w:rPr>
                      <w:rFonts w:eastAsia="Aptos"/>
                      <w:color w:val="000000"/>
                      <w:kern w:val="0"/>
                      <w14:ligatures w14:val="none"/>
                    </w:rPr>
                    <w:t>Sept 5, 2023 (6:30 P.M.)</w:t>
                  </w:r>
                </w:p>
                <w:p w14:paraId="7FF7B232" w14:textId="77777777" w:rsidR="00222CD4" w:rsidRPr="00222CD4" w:rsidRDefault="00222CD4" w:rsidP="00222CD4">
                  <w:pPr>
                    <w:rPr>
                      <w:rFonts w:eastAsia="Aptos"/>
                      <w:color w:val="000000"/>
                      <w:kern w:val="0"/>
                      <w14:ligatures w14:val="none"/>
                    </w:rPr>
                  </w:pPr>
                  <w:r w:rsidRPr="00222CD4">
                    <w:rPr>
                      <w:rFonts w:eastAsia="Aptos"/>
                      <w:color w:val="000000"/>
                      <w:kern w:val="0"/>
                      <w14:ligatures w14:val="none"/>
                    </w:rPr>
                    <w:t>Missoula Public Library</w:t>
                  </w:r>
                </w:p>
                <w:p w14:paraId="5C7C1688" w14:textId="77777777" w:rsidR="00222CD4" w:rsidRPr="00222CD4" w:rsidRDefault="00222CD4" w:rsidP="00222CD4">
                  <w:pPr>
                    <w:rPr>
                      <w:rFonts w:eastAsia="Aptos"/>
                      <w:color w:val="000000"/>
                      <w:kern w:val="0"/>
                      <w14:ligatures w14:val="none"/>
                    </w:rPr>
                  </w:pPr>
                  <w:r w:rsidRPr="00222CD4">
                    <w:rPr>
                      <w:rFonts w:eastAsia="Aptos"/>
                      <w:color w:val="000000"/>
                      <w:kern w:val="0"/>
                      <w14:ligatures w14:val="none"/>
                    </w:rPr>
                    <w:t>NAMI Missoula</w:t>
                  </w:r>
                </w:p>
                <w:p w14:paraId="1F794EAD" w14:textId="77777777" w:rsidR="00222CD4" w:rsidRPr="00222CD4" w:rsidRDefault="00222CD4" w:rsidP="00222CD4">
                  <w:pPr>
                    <w:rPr>
                      <w:rFonts w:eastAsia="Aptos"/>
                      <w:color w:val="000000"/>
                      <w:kern w:val="0"/>
                      <w14:ligatures w14:val="none"/>
                    </w:rPr>
                  </w:pPr>
                  <w:r w:rsidRPr="00222CD4">
                    <w:rPr>
                      <w:rFonts w:eastAsia="Aptos"/>
                      <w:color w:val="000000"/>
                      <w:kern w:val="0"/>
                      <w14:ligatures w14:val="none"/>
                    </w:rPr>
                    <w:t>406-880-1013 namimissoula@gmail.com</w:t>
                  </w:r>
                </w:p>
                <w:p w14:paraId="0553C701" w14:textId="2E939C77" w:rsidR="00E92FCB" w:rsidRPr="00D34E5C" w:rsidRDefault="00222CD4" w:rsidP="00D34E5C">
                  <w:pPr>
                    <w:rPr>
                      <w:rFonts w:eastAsia="Aptos"/>
                      <w:color w:val="000000"/>
                      <w:kern w:val="0"/>
                      <w14:ligatures w14:val="none"/>
                    </w:rPr>
                  </w:pPr>
                  <w:r w:rsidRPr="00222CD4">
                    <w:rPr>
                      <w:rFonts w:eastAsia="Aptos"/>
                      <w:color w:val="000000"/>
                      <w:kern w:val="0"/>
                      <w14:ligatures w14:val="none"/>
                    </w:rPr>
                    <w:lastRenderedPageBreak/>
                    <w:t xml:space="preserve">For more information about a NAMI Chapter near you, please visit: </w:t>
                  </w:r>
                  <w:hyperlink r:id="rId14" w:history="1">
                    <w:r w:rsidRPr="00222CD4">
                      <w:rPr>
                        <w:rStyle w:val="Hyperlink"/>
                        <w:rFonts w:eastAsia="Aptos"/>
                        <w:kern w:val="0"/>
                        <w14:ligatures w14:val="none"/>
                      </w:rPr>
                      <w:t>https://www.nami.org/Home</w:t>
                    </w:r>
                  </w:hyperlink>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ABCA27F" w14:textId="77777777">
                    <w:trPr>
                      <w:tblCellSpacing w:w="0" w:type="dxa"/>
                    </w:trPr>
                    <w:tc>
                      <w:tcPr>
                        <w:tcW w:w="0" w:type="auto"/>
                        <w:tcBorders>
                          <w:top w:val="single" w:sz="8" w:space="0" w:color="E0E0E0"/>
                          <w:left w:val="nil"/>
                          <w:bottom w:val="nil"/>
                          <w:right w:val="nil"/>
                        </w:tcBorders>
                        <w:vAlign w:val="center"/>
                        <w:hideMark/>
                      </w:tcPr>
                      <w:p w14:paraId="457BD58F"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21A4387A" w14:textId="77777777" w:rsidR="0099300E" w:rsidRPr="0099300E" w:rsidRDefault="0099300E" w:rsidP="0099300E">
                  <w:pPr>
                    <w:rPr>
                      <w:rFonts w:eastAsia="Aptos"/>
                      <w:b/>
                      <w:bCs/>
                      <w:color w:val="70002E"/>
                      <w:kern w:val="0"/>
                      <w:sz w:val="28"/>
                      <w:szCs w:val="28"/>
                      <w14:ligatures w14:val="none"/>
                    </w:rPr>
                  </w:pPr>
                  <w:r w:rsidRPr="0099300E">
                    <w:rPr>
                      <w:rFonts w:eastAsia="Aptos"/>
                      <w:b/>
                      <w:bCs/>
                      <w:color w:val="70002E"/>
                      <w:kern w:val="0"/>
                      <w:sz w:val="28"/>
                      <w:szCs w:val="28"/>
                      <w14:ligatures w14:val="none"/>
                    </w:rPr>
                    <w:t>UM School of Social Work Goes Global!</w:t>
                  </w:r>
                </w:p>
                <w:p w14:paraId="0E6005BD" w14:textId="12945117" w:rsidR="00D34E5C" w:rsidRDefault="0099300E" w:rsidP="00D34E5C">
                  <w:pPr>
                    <w:jc w:val="center"/>
                    <w:rPr>
                      <w:rFonts w:eastAsia="Aptos"/>
                      <w:color w:val="000000"/>
                      <w:kern w:val="0"/>
                      <w14:ligatures w14:val="none"/>
                    </w:rPr>
                  </w:pPr>
                  <w:r>
                    <w:rPr>
                      <w:rFonts w:eastAsia="Aptos"/>
                      <w:noProof/>
                      <w:color w:val="000000"/>
                    </w:rPr>
                    <w:drawing>
                      <wp:inline distT="0" distB="0" distL="0" distR="0" wp14:anchorId="598BF2FE" wp14:editId="539EEDEC">
                        <wp:extent cx="2714625" cy="2638425"/>
                        <wp:effectExtent l="0" t="0" r="9525" b="9525"/>
                        <wp:docPr id="2" name="Picture 2"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oup of people posing for a photo&#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14625" cy="2638425"/>
                                </a:xfrm>
                                <a:prstGeom prst="rect">
                                  <a:avLst/>
                                </a:prstGeom>
                                <a:noFill/>
                                <a:ln>
                                  <a:noFill/>
                                </a:ln>
                              </pic:spPr>
                            </pic:pic>
                          </a:graphicData>
                        </a:graphic>
                      </wp:inline>
                    </w:drawing>
                  </w:r>
                </w:p>
                <w:p w14:paraId="5C249767" w14:textId="5546B688" w:rsidR="0099300E" w:rsidRPr="0099300E" w:rsidRDefault="0099300E" w:rsidP="00D34E5C">
                  <w:pPr>
                    <w:jc w:val="center"/>
                    <w:rPr>
                      <w:rFonts w:eastAsia="Aptos"/>
                      <w:i/>
                      <w:iCs/>
                      <w:color w:val="0E2841" w:themeColor="text2"/>
                      <w:kern w:val="0"/>
                      <w:sz w:val="20"/>
                      <w:szCs w:val="20"/>
                      <w14:ligatures w14:val="none"/>
                    </w:rPr>
                  </w:pPr>
                  <w:r w:rsidRPr="0099300E">
                    <w:rPr>
                      <w:rFonts w:eastAsia="Aptos"/>
                      <w:i/>
                      <w:iCs/>
                      <w:color w:val="0E2841" w:themeColor="text2"/>
                      <w:kern w:val="0"/>
                      <w:sz w:val="20"/>
                      <w:szCs w:val="20"/>
                      <w14:ligatures w14:val="none"/>
                    </w:rPr>
                    <w:t>UMSSW Students and Professors Meeting with a Member of the German Parliament</w:t>
                  </w:r>
                </w:p>
                <w:p w14:paraId="20450454" w14:textId="6EB252A8" w:rsidR="000D24BF" w:rsidRPr="000D24BF" w:rsidRDefault="0084380A" w:rsidP="00D34E5C">
                  <w:pPr>
                    <w:rPr>
                      <w:rFonts w:eastAsia="Aptos"/>
                      <w:color w:val="000000"/>
                      <w:kern w:val="0"/>
                      <w14:ligatures w14:val="none"/>
                    </w:rPr>
                  </w:pPr>
                  <w:r w:rsidRPr="0084380A">
                    <w:rPr>
                      <w:rFonts w:eastAsia="Aptos"/>
                      <w:color w:val="000000"/>
                      <w:kern w:val="0"/>
                      <w14:ligatures w14:val="none"/>
                    </w:rPr>
                    <w:t>Director of Field Education Kat Werner and Adjunct Assistant Professor Zak Reimer led a study abroad course this spring and traveled to Berlin, Germany, with 13 mostly BSW and MSW students. The 2-weeks immersive experience focused on immigration and refugee resettlement in Europe and Germany's response to the ongoing humanitarian crisis and its support and integration efforts of displaced people. The group met with diverse community and political stakeholders and deeply reflected on the issue and how Germany's past and present positions the country to address it. There was also a lot of great food sunshine, hanging out in public parks, shuffling through the subway together, and wandering through the city's busy streets brimming with history on every corner! The course was a huge success and will be offered again in the spring of 2025. If you are curious, here is what one of the participating students would tell you: "Do it! It is so much fun, interesting, and heavy and forces you to reflect on history and today. This is a great class, no matter what you want to do after graduating. You will make friends for life, and you'll make memories." </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C8768FC" w14:textId="77777777">
                    <w:trPr>
                      <w:tblCellSpacing w:w="0" w:type="dxa"/>
                    </w:trPr>
                    <w:tc>
                      <w:tcPr>
                        <w:tcW w:w="0" w:type="auto"/>
                        <w:tcBorders>
                          <w:top w:val="single" w:sz="8" w:space="0" w:color="E0E0E0"/>
                          <w:left w:val="nil"/>
                          <w:bottom w:val="nil"/>
                          <w:right w:val="nil"/>
                        </w:tcBorders>
                        <w:vAlign w:val="center"/>
                        <w:hideMark/>
                      </w:tcPr>
                      <w:p w14:paraId="12C3CC75"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1E896DBE" w14:textId="77777777" w:rsidR="0084380A" w:rsidRPr="0084380A" w:rsidRDefault="0084380A" w:rsidP="0084380A">
                  <w:pPr>
                    <w:rPr>
                      <w:rFonts w:eastAsia="Aptos"/>
                      <w:b/>
                      <w:bCs/>
                      <w:color w:val="70002E"/>
                      <w:kern w:val="0"/>
                      <w:sz w:val="28"/>
                      <w:szCs w:val="28"/>
                      <w14:ligatures w14:val="none"/>
                    </w:rPr>
                  </w:pPr>
                  <w:r w:rsidRPr="0084380A">
                    <w:rPr>
                      <w:rFonts w:eastAsia="Aptos"/>
                      <w:b/>
                      <w:bCs/>
                      <w:color w:val="70002E"/>
                      <w:kern w:val="0"/>
                      <w:sz w:val="28"/>
                      <w:szCs w:val="28"/>
                      <w14:ligatures w14:val="none"/>
                    </w:rPr>
                    <w:t>BSW Highlight</w:t>
                  </w:r>
                </w:p>
                <w:p w14:paraId="0B0C5B1F" w14:textId="656C0B32" w:rsidR="00D34E5C" w:rsidRDefault="000C6114" w:rsidP="00D34E5C">
                  <w:pPr>
                    <w:jc w:val="center"/>
                    <w:rPr>
                      <w:rFonts w:eastAsia="Aptos"/>
                      <w:noProof/>
                      <w:color w:val="000000"/>
                      <w:kern w:val="0"/>
                      <w14:ligatures w14:val="none"/>
                    </w:rPr>
                  </w:pPr>
                  <w:r>
                    <w:rPr>
                      <w:rFonts w:eastAsia="Aptos"/>
                      <w:noProof/>
                      <w:color w:val="000000"/>
                    </w:rPr>
                    <w:lastRenderedPageBreak/>
                    <w:drawing>
                      <wp:inline distT="0" distB="0" distL="0" distR="0" wp14:anchorId="3B0AB1E6" wp14:editId="05A35121">
                        <wp:extent cx="3009900" cy="2562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09900" cy="2562225"/>
                                </a:xfrm>
                                <a:prstGeom prst="rect">
                                  <a:avLst/>
                                </a:prstGeom>
                                <a:noFill/>
                                <a:ln>
                                  <a:noFill/>
                                </a:ln>
                              </pic:spPr>
                            </pic:pic>
                          </a:graphicData>
                        </a:graphic>
                      </wp:inline>
                    </w:drawing>
                  </w:r>
                </w:p>
                <w:p w14:paraId="126BC7EB" w14:textId="087BFFEF" w:rsidR="000C6114" w:rsidRPr="000C6114" w:rsidRDefault="000C6114" w:rsidP="00D34E5C">
                  <w:pPr>
                    <w:jc w:val="center"/>
                    <w:rPr>
                      <w:rFonts w:eastAsia="Aptos"/>
                      <w:noProof/>
                      <w:color w:val="0E2841" w:themeColor="text2"/>
                      <w:kern w:val="0"/>
                      <w:sz w:val="20"/>
                      <w:szCs w:val="20"/>
                      <w14:ligatures w14:val="none"/>
                    </w:rPr>
                  </w:pPr>
                  <w:r w:rsidRPr="000C6114">
                    <w:rPr>
                      <w:rFonts w:eastAsia="Aptos"/>
                      <w:i/>
                      <w:iCs/>
                      <w:noProof/>
                      <w:color w:val="0E2841" w:themeColor="text2"/>
                      <w:kern w:val="0"/>
                      <w:sz w:val="20"/>
                      <w:szCs w:val="20"/>
                      <w14:ligatures w14:val="none"/>
                    </w:rPr>
                    <w:t>Laila Mascarena presenting at the 22</w:t>
                  </w:r>
                  <w:r w:rsidRPr="000C6114">
                    <w:rPr>
                      <w:rFonts w:eastAsia="Aptos"/>
                      <w:i/>
                      <w:iCs/>
                      <w:noProof/>
                      <w:color w:val="0E2841" w:themeColor="text2"/>
                      <w:kern w:val="0"/>
                      <w:sz w:val="20"/>
                      <w:szCs w:val="20"/>
                      <w:vertAlign w:val="superscript"/>
                      <w14:ligatures w14:val="none"/>
                    </w:rPr>
                    <w:t>nd</w:t>
                  </w:r>
                  <w:r w:rsidRPr="000C6114">
                    <w:rPr>
                      <w:rFonts w:eastAsia="Aptos"/>
                      <w:i/>
                      <w:iCs/>
                      <w:noProof/>
                      <w:color w:val="0E2841" w:themeColor="text2"/>
                      <w:kern w:val="0"/>
                      <w:sz w:val="20"/>
                      <w:szCs w:val="20"/>
                      <w14:ligatures w14:val="none"/>
                    </w:rPr>
                    <w:t> annual UM Conference on Undergraduate Research</w:t>
                  </w:r>
                </w:p>
                <w:p w14:paraId="54F00E8A" w14:textId="77777777" w:rsidR="00467356" w:rsidRPr="00467356" w:rsidRDefault="00467356" w:rsidP="00467356">
                  <w:pPr>
                    <w:rPr>
                      <w:rFonts w:eastAsia="Aptos"/>
                      <w:color w:val="000000"/>
                      <w:kern w:val="0"/>
                      <w14:ligatures w14:val="none"/>
                    </w:rPr>
                  </w:pPr>
                  <w:r w:rsidRPr="00467356">
                    <w:rPr>
                      <w:rFonts w:eastAsia="Aptos"/>
                      <w:color w:val="000000"/>
                      <w:kern w:val="0"/>
                      <w14:ligatures w14:val="none"/>
                    </w:rPr>
                    <w:t>We’re pleased to share that Laila Mascarena, a recent BSW graduate, received an Honorable Mention (second place) for her oral presentation in Social Sciences at the 22nd annual UM Conference on Undergraduate Research! Alexis Gibson, Director of the Office of Undergraduate Research, wrote, “The judges were thoroughly impressed with [Laila’s] work, and we are proud to have [Laila] among our presenters.”</w:t>
                  </w:r>
                </w:p>
                <w:p w14:paraId="186AA325" w14:textId="77777777" w:rsidR="00467356" w:rsidRPr="00467356" w:rsidRDefault="00467356" w:rsidP="00467356">
                  <w:pPr>
                    <w:rPr>
                      <w:rFonts w:eastAsia="Aptos"/>
                      <w:color w:val="000000"/>
                      <w:kern w:val="0"/>
                      <w14:ligatures w14:val="none"/>
                    </w:rPr>
                  </w:pPr>
                  <w:r w:rsidRPr="00467356">
                    <w:rPr>
                      <w:rFonts w:eastAsia="Aptos"/>
                      <w:color w:val="000000"/>
                      <w:kern w:val="0"/>
                      <w14:ligatures w14:val="none"/>
                    </w:rPr>
                    <w:t>Laila’s presentation, “Exploring Barriers and Facilitators to Accessing Reproductive Healthcare in Rural Montana,” described her efforts and learning as a part of her research assistantship with Dr. Jessica Liddell.</w:t>
                  </w:r>
                </w:p>
                <w:p w14:paraId="7BE75474" w14:textId="7CB13FAC" w:rsidR="003D502B" w:rsidRPr="000D24BF" w:rsidRDefault="00467356" w:rsidP="00D34E5C">
                  <w:pPr>
                    <w:rPr>
                      <w:rFonts w:eastAsia="Aptos"/>
                      <w:color w:val="000000"/>
                      <w:kern w:val="0"/>
                      <w14:ligatures w14:val="none"/>
                    </w:rPr>
                  </w:pPr>
                  <w:r w:rsidRPr="00467356">
                    <w:rPr>
                      <w:rFonts w:eastAsia="Aptos"/>
                      <w:color w:val="000000"/>
                      <w:kern w:val="0"/>
                      <w14:ligatures w14:val="none"/>
                    </w:rPr>
                    <w:t>Congratulations Laila!</w:t>
                  </w:r>
                </w:p>
                <w:tbl>
                  <w:tblPr>
                    <w:tblW w:w="5000" w:type="pct"/>
                    <w:tblCellSpacing w:w="0" w:type="dxa"/>
                    <w:tblCellMar>
                      <w:left w:w="0" w:type="dxa"/>
                      <w:right w:w="0" w:type="dxa"/>
                    </w:tblCellMar>
                    <w:tblLook w:val="04A0" w:firstRow="1" w:lastRow="0" w:firstColumn="1" w:lastColumn="0" w:noHBand="0" w:noVBand="1"/>
                  </w:tblPr>
                  <w:tblGrid>
                    <w:gridCol w:w="8720"/>
                  </w:tblGrid>
                  <w:tr w:rsidR="003D502B" w:rsidRPr="000D24BF" w14:paraId="607FBDBC" w14:textId="77777777" w:rsidTr="0004477A">
                    <w:trPr>
                      <w:tblCellSpacing w:w="0" w:type="dxa"/>
                    </w:trPr>
                    <w:tc>
                      <w:tcPr>
                        <w:tcW w:w="0" w:type="auto"/>
                        <w:tcBorders>
                          <w:top w:val="single" w:sz="8" w:space="0" w:color="E0E0E0"/>
                          <w:left w:val="nil"/>
                          <w:bottom w:val="nil"/>
                          <w:right w:val="nil"/>
                        </w:tcBorders>
                        <w:vAlign w:val="center"/>
                        <w:hideMark/>
                      </w:tcPr>
                      <w:p w14:paraId="4DF8E541" w14:textId="77777777" w:rsidR="003D502B" w:rsidRPr="000D24BF" w:rsidRDefault="003D502B"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4B15BC82" w14:textId="7E3898E3" w:rsidR="003D502B" w:rsidRPr="00467356" w:rsidRDefault="00467356" w:rsidP="00D34E5C">
                  <w:pPr>
                    <w:rPr>
                      <w:rFonts w:eastAsia="Aptos"/>
                      <w:b/>
                      <w:bCs/>
                      <w:color w:val="70002E"/>
                      <w:kern w:val="0"/>
                      <w:sz w:val="28"/>
                      <w:szCs w:val="28"/>
                      <w14:ligatures w14:val="none"/>
                    </w:rPr>
                  </w:pPr>
                  <w:r w:rsidRPr="00467356">
                    <w:rPr>
                      <w:rFonts w:eastAsia="Aptos"/>
                      <w:b/>
                      <w:bCs/>
                      <w:color w:val="70002E"/>
                      <w:kern w:val="0"/>
                      <w:sz w:val="28"/>
                      <w:szCs w:val="28"/>
                      <w14:ligatures w14:val="none"/>
                    </w:rPr>
                    <w:t>Faculty News</w:t>
                  </w:r>
                </w:p>
                <w:p w14:paraId="1C58AA33" w14:textId="77777777" w:rsidR="00D34E5C" w:rsidRDefault="00D34E5C" w:rsidP="00D34E5C">
                  <w:pPr>
                    <w:rPr>
                      <w:rFonts w:eastAsia="Aptos"/>
                      <w:color w:val="000000"/>
                      <w:kern w:val="0"/>
                      <w14:ligatures w14:val="none"/>
                    </w:rPr>
                  </w:pPr>
                </w:p>
                <w:p w14:paraId="4AE8487A" w14:textId="75CB637A" w:rsidR="00D34E5C" w:rsidRPr="00D34E5C" w:rsidRDefault="00C65223" w:rsidP="00D34E5C">
                  <w:pPr>
                    <w:jc w:val="center"/>
                    <w:rPr>
                      <w:rFonts w:eastAsia="Aptos"/>
                      <w:color w:val="000000"/>
                      <w:kern w:val="0"/>
                      <w14:ligatures w14:val="none"/>
                    </w:rPr>
                  </w:pPr>
                  <w:r>
                    <w:rPr>
                      <w:rFonts w:eastAsia="Aptos"/>
                      <w:noProof/>
                      <w:color w:val="000000"/>
                    </w:rPr>
                    <w:lastRenderedPageBreak/>
                    <w:drawing>
                      <wp:inline distT="0" distB="0" distL="0" distR="0" wp14:anchorId="4F2BFA04" wp14:editId="371FE830">
                        <wp:extent cx="1724025" cy="2622981"/>
                        <wp:effectExtent l="0" t="0" r="0" b="6350"/>
                        <wp:docPr id="4" name="Picture 4" descr="A book cover with a black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ook cover with a black and white background&#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24901" cy="2624313"/>
                                </a:xfrm>
                                <a:prstGeom prst="rect">
                                  <a:avLst/>
                                </a:prstGeom>
                                <a:noFill/>
                                <a:ln>
                                  <a:noFill/>
                                </a:ln>
                              </pic:spPr>
                            </pic:pic>
                          </a:graphicData>
                        </a:graphic>
                      </wp:inline>
                    </w:drawing>
                  </w:r>
                </w:p>
                <w:p w14:paraId="06335C34" w14:textId="77777777" w:rsidR="00B764C7" w:rsidRPr="00B764C7" w:rsidRDefault="00B764C7" w:rsidP="00B764C7">
                  <w:pPr>
                    <w:rPr>
                      <w:rFonts w:eastAsia="Aptos"/>
                      <w:color w:val="000000"/>
                      <w:kern w:val="0"/>
                      <w14:ligatures w14:val="none"/>
                    </w:rPr>
                  </w:pPr>
                  <w:r w:rsidRPr="00B764C7">
                    <w:rPr>
                      <w:rFonts w:eastAsia="Aptos"/>
                      <w:color w:val="000000"/>
                      <w:kern w:val="0"/>
                      <w14:ligatures w14:val="none"/>
                    </w:rPr>
                    <w:t>Dr. Phyllis Ngai, Clinical Associate Professor, has published a newly co-authored book in Routledge’s Global Public Health Series - Migrant Health and Resilience- addressing the transnational migration crisis. In an era of escalating migration and cross-border interaction, transnational competency preparation for displaced persons, members of their host communities, humanitarian responders, social workers, and healthcare professionals are critical. Addressing a range of humanitarian and environmental crises and global justice contexts, this volume provides practical guidelines for preparing effective responses to health and other challenges arising from population dislocation. Migrant Health and Resilience (</w:t>
                  </w:r>
                  <w:hyperlink r:id="rId18" w:history="1">
                    <w:r w:rsidRPr="00B764C7">
                      <w:rPr>
                        <w:rStyle w:val="Hyperlink"/>
                        <w:rFonts w:eastAsia="Aptos"/>
                        <w:kern w:val="0"/>
                        <w14:ligatures w14:val="none"/>
                      </w:rPr>
                      <w:t>with a link to the Open Access option</w:t>
                    </w:r>
                  </w:hyperlink>
                  <w:r w:rsidRPr="00B764C7">
                    <w:rPr>
                      <w:rFonts w:eastAsia="Aptos"/>
                      <w:color w:val="000000"/>
                      <w:kern w:val="0"/>
                      <w14:ligatures w14:val="none"/>
                    </w:rPr>
                    <w:t>) will be essential reading for students, instructors, scholars, and evaluators in social work and related helping professions.</w:t>
                  </w:r>
                </w:p>
                <w:p w14:paraId="4A82A873" w14:textId="66C599C0" w:rsidR="000D24BF" w:rsidRPr="0059065E" w:rsidRDefault="00B764C7" w:rsidP="00D34E5C">
                  <w:pPr>
                    <w:rPr>
                      <w:rFonts w:eastAsia="Aptos"/>
                      <w:color w:val="000000"/>
                      <w:kern w:val="0"/>
                      <w14:ligatures w14:val="none"/>
                    </w:rPr>
                  </w:pPr>
                  <w:r w:rsidRPr="00B764C7">
                    <w:rPr>
                      <w:rFonts w:eastAsia="Aptos"/>
                      <w:color w:val="000000"/>
                      <w:kern w:val="0"/>
                      <w14:ligatures w14:val="none"/>
                    </w:rPr>
                    <w:t>Huge congratulations to Dr. Ngai on this amazing achievement!</w:t>
                  </w:r>
                </w:p>
              </w:tc>
            </w:tr>
            <w:tr w:rsidR="000D24BF" w:rsidRPr="000D24BF" w14:paraId="04E818C2" w14:textId="77777777">
              <w:trPr>
                <w:tblCellSpacing w:w="0" w:type="dxa"/>
                <w:jc w:val="center"/>
              </w:trPr>
              <w:tc>
                <w:tcPr>
                  <w:tcW w:w="0" w:type="auto"/>
                  <w:shd w:val="clear" w:color="auto" w:fill="F9F9F9"/>
                  <w:tcMar>
                    <w:top w:w="300" w:type="dxa"/>
                    <w:left w:w="300" w:type="dxa"/>
                    <w:bottom w:w="300" w:type="dxa"/>
                    <w:right w:w="300" w:type="dxa"/>
                  </w:tcMar>
                  <w:vAlign w:val="center"/>
                  <w:hideMark/>
                </w:tcPr>
                <w:p w14:paraId="38A620E7"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b/>
                      <w:bCs/>
                      <w:i/>
                      <w:iCs/>
                      <w:color w:val="262626"/>
                      <w:kern w:val="0"/>
                      <w:sz w:val="17"/>
                      <w:szCs w:val="17"/>
                      <w14:ligatures w14:val="none"/>
                    </w:rPr>
                    <w:lastRenderedPageBreak/>
                    <w:t>You're receiving this update because you're part of the UM School of Social Work community.</w:t>
                  </w:r>
                </w:p>
                <w:p w14:paraId="584908EC"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color w:val="70002E"/>
                      <w:kern w:val="0"/>
                      <w:sz w:val="17"/>
                      <w:szCs w:val="17"/>
                      <w14:ligatures w14:val="none"/>
                    </w:rPr>
                    <w:t>University of Montana – School of Social Work • Jeanette Rankin Hall • Missoula, MT</w:t>
                  </w:r>
                </w:p>
              </w:tc>
            </w:tr>
          </w:tbl>
          <w:p w14:paraId="570A87D7" w14:textId="77777777" w:rsidR="000D24BF" w:rsidRPr="000D24BF" w:rsidRDefault="000D24BF" w:rsidP="00FA0028">
            <w:pPr>
              <w:jc w:val="center"/>
              <w:rPr>
                <w:rFonts w:ascii="Times New Roman" w:eastAsia="Times New Roman" w:hAnsi="Times New Roman" w:cs="Times New Roman"/>
                <w:kern w:val="0"/>
                <w:sz w:val="20"/>
                <w:szCs w:val="20"/>
                <w14:ligatures w14:val="none"/>
              </w:rPr>
            </w:pPr>
          </w:p>
        </w:tc>
      </w:tr>
    </w:tbl>
    <w:p w14:paraId="78339E98" w14:textId="77777777" w:rsidR="007B7CA9" w:rsidRDefault="007B7CA9" w:rsidP="00FA0028">
      <w:pPr>
        <w:spacing w:before="0"/>
      </w:pPr>
    </w:p>
    <w:sectPr w:rsidR="007B7CA9" w:rsidSect="000D24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E422A"/>
    <w:multiLevelType w:val="hybridMultilevel"/>
    <w:tmpl w:val="0D2C9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51762"/>
    <w:multiLevelType w:val="multilevel"/>
    <w:tmpl w:val="62C81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2177D"/>
    <w:multiLevelType w:val="multilevel"/>
    <w:tmpl w:val="8B4A03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6B55DC3"/>
    <w:multiLevelType w:val="multilevel"/>
    <w:tmpl w:val="A62668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856E25"/>
    <w:multiLevelType w:val="multilevel"/>
    <w:tmpl w:val="8DBE1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0E5F55"/>
    <w:multiLevelType w:val="multilevel"/>
    <w:tmpl w:val="015C6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B06A45"/>
    <w:multiLevelType w:val="hybridMultilevel"/>
    <w:tmpl w:val="45565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EA400C"/>
    <w:multiLevelType w:val="multilevel"/>
    <w:tmpl w:val="B8AC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5F3B97"/>
    <w:multiLevelType w:val="multilevel"/>
    <w:tmpl w:val="A3D8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EE737D"/>
    <w:multiLevelType w:val="hybridMultilevel"/>
    <w:tmpl w:val="AFEE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D52A03"/>
    <w:multiLevelType w:val="multilevel"/>
    <w:tmpl w:val="FEC45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7D6C0A"/>
    <w:multiLevelType w:val="multilevel"/>
    <w:tmpl w:val="381A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45477C"/>
    <w:multiLevelType w:val="multilevel"/>
    <w:tmpl w:val="3F3C6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CD6899"/>
    <w:multiLevelType w:val="multilevel"/>
    <w:tmpl w:val="21B44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902B08"/>
    <w:multiLevelType w:val="multilevel"/>
    <w:tmpl w:val="3496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EB4740"/>
    <w:multiLevelType w:val="multilevel"/>
    <w:tmpl w:val="2A4604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05D376B"/>
    <w:multiLevelType w:val="multilevel"/>
    <w:tmpl w:val="839C6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054FAC"/>
    <w:multiLevelType w:val="multilevel"/>
    <w:tmpl w:val="73864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55648B"/>
    <w:multiLevelType w:val="multilevel"/>
    <w:tmpl w:val="FB604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4131D1"/>
    <w:multiLevelType w:val="multilevel"/>
    <w:tmpl w:val="AC40B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9D0FEB"/>
    <w:multiLevelType w:val="multilevel"/>
    <w:tmpl w:val="AE6AC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B655BC"/>
    <w:multiLevelType w:val="multilevel"/>
    <w:tmpl w:val="8E18A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A6022F"/>
    <w:multiLevelType w:val="multilevel"/>
    <w:tmpl w:val="DE4A7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FD34C42"/>
    <w:multiLevelType w:val="multilevel"/>
    <w:tmpl w:val="B0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387501"/>
    <w:multiLevelType w:val="multilevel"/>
    <w:tmpl w:val="12DA9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5842D0"/>
    <w:multiLevelType w:val="multilevel"/>
    <w:tmpl w:val="BF9A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E80D39"/>
    <w:multiLevelType w:val="multilevel"/>
    <w:tmpl w:val="0DACD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6515DEC"/>
    <w:multiLevelType w:val="multilevel"/>
    <w:tmpl w:val="FC68E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BA2446"/>
    <w:multiLevelType w:val="multilevel"/>
    <w:tmpl w:val="757C74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3"/>
  </w:num>
  <w:num w:numId="3">
    <w:abstractNumId w:val="15"/>
  </w:num>
  <w:num w:numId="4">
    <w:abstractNumId w:val="4"/>
  </w:num>
  <w:num w:numId="5">
    <w:abstractNumId w:val="9"/>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0"/>
  </w:num>
  <w:num w:numId="10">
    <w:abstractNumId w:val="13"/>
  </w:num>
  <w:num w:numId="11">
    <w:abstractNumId w:val="18"/>
  </w:num>
  <w:num w:numId="12">
    <w:abstractNumId w:val="25"/>
  </w:num>
  <w:num w:numId="13">
    <w:abstractNumId w:val="23"/>
  </w:num>
  <w:num w:numId="14">
    <w:abstractNumId w:val="11"/>
  </w:num>
  <w:num w:numId="15">
    <w:abstractNumId w:val="10"/>
  </w:num>
  <w:num w:numId="16">
    <w:abstractNumId w:val="16"/>
  </w:num>
  <w:num w:numId="17">
    <w:abstractNumId w:val="14"/>
  </w:num>
  <w:num w:numId="18">
    <w:abstractNumId w:val="27"/>
  </w:num>
  <w:num w:numId="19">
    <w:abstractNumId w:val="8"/>
  </w:num>
  <w:num w:numId="20">
    <w:abstractNumId w:val="21"/>
  </w:num>
  <w:num w:numId="21">
    <w:abstractNumId w:val="17"/>
  </w:num>
  <w:num w:numId="22">
    <w:abstractNumId w:val="12"/>
  </w:num>
  <w:num w:numId="23">
    <w:abstractNumId w:val="5"/>
  </w:num>
  <w:num w:numId="24">
    <w:abstractNumId w:val="6"/>
  </w:num>
  <w:num w:numId="25">
    <w:abstractNumId w:val="24"/>
  </w:num>
  <w:num w:numId="26">
    <w:abstractNumId w:val="19"/>
  </w:num>
  <w:num w:numId="27">
    <w:abstractNumId w:val="26"/>
  </w:num>
  <w:num w:numId="28">
    <w:abstractNumId w:val="28"/>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F"/>
    <w:rsid w:val="0004611B"/>
    <w:rsid w:val="0004769E"/>
    <w:rsid w:val="0006338D"/>
    <w:rsid w:val="000A74A4"/>
    <w:rsid w:val="000C6114"/>
    <w:rsid w:val="000D24BF"/>
    <w:rsid w:val="00191C9E"/>
    <w:rsid w:val="00222CD4"/>
    <w:rsid w:val="00282D51"/>
    <w:rsid w:val="00316637"/>
    <w:rsid w:val="00346A3F"/>
    <w:rsid w:val="003665E5"/>
    <w:rsid w:val="0037513C"/>
    <w:rsid w:val="00376FAF"/>
    <w:rsid w:val="003D502B"/>
    <w:rsid w:val="003E279B"/>
    <w:rsid w:val="00451E35"/>
    <w:rsid w:val="00467356"/>
    <w:rsid w:val="004710FD"/>
    <w:rsid w:val="004A6D8B"/>
    <w:rsid w:val="004F3855"/>
    <w:rsid w:val="00571C44"/>
    <w:rsid w:val="0057409F"/>
    <w:rsid w:val="0059065E"/>
    <w:rsid w:val="005C7F99"/>
    <w:rsid w:val="006201A6"/>
    <w:rsid w:val="007A0869"/>
    <w:rsid w:val="007B7CA9"/>
    <w:rsid w:val="007F10F4"/>
    <w:rsid w:val="00814647"/>
    <w:rsid w:val="0084380A"/>
    <w:rsid w:val="00857B4C"/>
    <w:rsid w:val="008D13BC"/>
    <w:rsid w:val="0093335C"/>
    <w:rsid w:val="00992CF8"/>
    <w:rsid w:val="0099300E"/>
    <w:rsid w:val="009B5A23"/>
    <w:rsid w:val="009B7373"/>
    <w:rsid w:val="00A83EE7"/>
    <w:rsid w:val="00AA3367"/>
    <w:rsid w:val="00AF3FDE"/>
    <w:rsid w:val="00B764C7"/>
    <w:rsid w:val="00BC7FCC"/>
    <w:rsid w:val="00BE2F5D"/>
    <w:rsid w:val="00C65223"/>
    <w:rsid w:val="00D34E5C"/>
    <w:rsid w:val="00D91FFF"/>
    <w:rsid w:val="00D96873"/>
    <w:rsid w:val="00DC70CB"/>
    <w:rsid w:val="00DD6906"/>
    <w:rsid w:val="00E23341"/>
    <w:rsid w:val="00E52AC0"/>
    <w:rsid w:val="00E70FCE"/>
    <w:rsid w:val="00E92FCB"/>
    <w:rsid w:val="00FA0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FFD0"/>
  <w15:chartTrackingRefBased/>
  <w15:docId w15:val="{7807A3BC-1EB6-4791-8966-83555CE5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kern w:val="2"/>
        <w:sz w:val="22"/>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4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4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24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24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24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24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24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2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2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2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2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2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2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24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24BF"/>
    <w:rPr>
      <w:i/>
      <w:iCs/>
      <w:color w:val="404040" w:themeColor="text1" w:themeTint="BF"/>
    </w:rPr>
  </w:style>
  <w:style w:type="paragraph" w:styleId="ListParagraph">
    <w:name w:val="List Paragraph"/>
    <w:basedOn w:val="Normal"/>
    <w:uiPriority w:val="34"/>
    <w:qFormat/>
    <w:rsid w:val="000D24BF"/>
    <w:pPr>
      <w:ind w:left="720"/>
      <w:contextualSpacing/>
    </w:pPr>
  </w:style>
  <w:style w:type="character" w:styleId="IntenseEmphasis">
    <w:name w:val="Intense Emphasis"/>
    <w:basedOn w:val="DefaultParagraphFont"/>
    <w:uiPriority w:val="21"/>
    <w:qFormat/>
    <w:rsid w:val="000D24BF"/>
    <w:rPr>
      <w:i/>
      <w:iCs/>
      <w:color w:val="0F4761" w:themeColor="accent1" w:themeShade="BF"/>
    </w:rPr>
  </w:style>
  <w:style w:type="paragraph" w:styleId="IntenseQuote">
    <w:name w:val="Intense Quote"/>
    <w:basedOn w:val="Normal"/>
    <w:next w:val="Normal"/>
    <w:link w:val="IntenseQuoteChar"/>
    <w:uiPriority w:val="30"/>
    <w:qFormat/>
    <w:rsid w:val="000D2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4BF"/>
    <w:rPr>
      <w:i/>
      <w:iCs/>
      <w:color w:val="0F4761" w:themeColor="accent1" w:themeShade="BF"/>
    </w:rPr>
  </w:style>
  <w:style w:type="character" w:styleId="IntenseReference">
    <w:name w:val="Intense Reference"/>
    <w:basedOn w:val="DefaultParagraphFont"/>
    <w:uiPriority w:val="32"/>
    <w:qFormat/>
    <w:rsid w:val="000D24BF"/>
    <w:rPr>
      <w:b/>
      <w:bCs/>
      <w:smallCaps/>
      <w:color w:val="0F4761" w:themeColor="accent1" w:themeShade="BF"/>
      <w:spacing w:val="5"/>
    </w:rPr>
  </w:style>
  <w:style w:type="character" w:styleId="Hyperlink">
    <w:name w:val="Hyperlink"/>
    <w:basedOn w:val="DefaultParagraphFont"/>
    <w:uiPriority w:val="99"/>
    <w:unhideWhenUsed/>
    <w:rsid w:val="000D24BF"/>
    <w:rPr>
      <w:color w:val="467886" w:themeColor="hyperlink"/>
      <w:u w:val="single"/>
    </w:rPr>
  </w:style>
  <w:style w:type="character" w:styleId="UnresolvedMention">
    <w:name w:val="Unresolved Mention"/>
    <w:basedOn w:val="DefaultParagraphFont"/>
    <w:uiPriority w:val="99"/>
    <w:semiHidden/>
    <w:unhideWhenUsed/>
    <w:rsid w:val="000D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74219">
      <w:bodyDiv w:val="1"/>
      <w:marLeft w:val="0"/>
      <w:marRight w:val="0"/>
      <w:marTop w:val="0"/>
      <w:marBottom w:val="0"/>
      <w:divBdr>
        <w:top w:val="none" w:sz="0" w:space="0" w:color="auto"/>
        <w:left w:val="none" w:sz="0" w:space="0" w:color="auto"/>
        <w:bottom w:val="none" w:sz="0" w:space="0" w:color="auto"/>
        <w:right w:val="none" w:sz="0" w:space="0" w:color="auto"/>
      </w:divBdr>
    </w:div>
    <w:div w:id="1008943994">
      <w:bodyDiv w:val="1"/>
      <w:marLeft w:val="0"/>
      <w:marRight w:val="0"/>
      <w:marTop w:val="0"/>
      <w:marBottom w:val="0"/>
      <w:divBdr>
        <w:top w:val="none" w:sz="0" w:space="0" w:color="auto"/>
        <w:left w:val="none" w:sz="0" w:space="0" w:color="auto"/>
        <w:bottom w:val="none" w:sz="0" w:space="0" w:color="auto"/>
        <w:right w:val="none" w:sz="0" w:space="0" w:color="auto"/>
      </w:divBdr>
    </w:div>
    <w:div w:id="1090002790">
      <w:bodyDiv w:val="1"/>
      <w:marLeft w:val="0"/>
      <w:marRight w:val="0"/>
      <w:marTop w:val="0"/>
      <w:marBottom w:val="0"/>
      <w:divBdr>
        <w:top w:val="none" w:sz="0" w:space="0" w:color="auto"/>
        <w:left w:val="none" w:sz="0" w:space="0" w:color="auto"/>
        <w:bottom w:val="none" w:sz="0" w:space="0" w:color="auto"/>
        <w:right w:val="none" w:sz="0" w:space="0" w:color="auto"/>
      </w:divBdr>
    </w:div>
    <w:div w:id="1531214745">
      <w:bodyDiv w:val="1"/>
      <w:marLeft w:val="0"/>
      <w:marRight w:val="0"/>
      <w:marTop w:val="0"/>
      <w:marBottom w:val="0"/>
      <w:divBdr>
        <w:top w:val="none" w:sz="0" w:space="0" w:color="auto"/>
        <w:left w:val="none" w:sz="0" w:space="0" w:color="auto"/>
        <w:bottom w:val="none" w:sz="0" w:space="0" w:color="auto"/>
        <w:right w:val="none" w:sz="0" w:space="0" w:color="auto"/>
      </w:divBdr>
    </w:div>
    <w:div w:id="1684359170">
      <w:bodyDiv w:val="1"/>
      <w:marLeft w:val="0"/>
      <w:marRight w:val="0"/>
      <w:marTop w:val="0"/>
      <w:marBottom w:val="0"/>
      <w:divBdr>
        <w:top w:val="none" w:sz="0" w:space="0" w:color="auto"/>
        <w:left w:val="none" w:sz="0" w:space="0" w:color="auto"/>
        <w:bottom w:val="none" w:sz="0" w:space="0" w:color="auto"/>
        <w:right w:val="none" w:sz="0" w:space="0" w:color="auto"/>
      </w:divBdr>
    </w:div>
    <w:div w:id="1688100964">
      <w:bodyDiv w:val="1"/>
      <w:marLeft w:val="0"/>
      <w:marRight w:val="0"/>
      <w:marTop w:val="0"/>
      <w:marBottom w:val="0"/>
      <w:divBdr>
        <w:top w:val="none" w:sz="0" w:space="0" w:color="auto"/>
        <w:left w:val="none" w:sz="0" w:space="0" w:color="auto"/>
        <w:bottom w:val="none" w:sz="0" w:space="0" w:color="auto"/>
        <w:right w:val="none" w:sz="0" w:space="0" w:color="auto"/>
      </w:divBdr>
    </w:div>
    <w:div w:id="1688944597">
      <w:bodyDiv w:val="1"/>
      <w:marLeft w:val="0"/>
      <w:marRight w:val="0"/>
      <w:marTop w:val="0"/>
      <w:marBottom w:val="0"/>
      <w:divBdr>
        <w:top w:val="none" w:sz="0" w:space="0" w:color="auto"/>
        <w:left w:val="none" w:sz="0" w:space="0" w:color="auto"/>
        <w:bottom w:val="none" w:sz="0" w:space="0" w:color="auto"/>
        <w:right w:val="none" w:sz="0" w:space="0" w:color="auto"/>
      </w:divBdr>
    </w:div>
    <w:div w:id="1696467692">
      <w:bodyDiv w:val="1"/>
      <w:marLeft w:val="0"/>
      <w:marRight w:val="0"/>
      <w:marTop w:val="0"/>
      <w:marBottom w:val="0"/>
      <w:divBdr>
        <w:top w:val="none" w:sz="0" w:space="0" w:color="auto"/>
        <w:left w:val="none" w:sz="0" w:space="0" w:color="auto"/>
        <w:bottom w:val="none" w:sz="0" w:space="0" w:color="auto"/>
        <w:right w:val="none" w:sz="0" w:space="0" w:color="auto"/>
      </w:divBdr>
    </w:div>
    <w:div w:id="1772895737">
      <w:bodyDiv w:val="1"/>
      <w:marLeft w:val="0"/>
      <w:marRight w:val="0"/>
      <w:marTop w:val="0"/>
      <w:marBottom w:val="0"/>
      <w:divBdr>
        <w:top w:val="none" w:sz="0" w:space="0" w:color="auto"/>
        <w:left w:val="none" w:sz="0" w:space="0" w:color="auto"/>
        <w:bottom w:val="none" w:sz="0" w:space="0" w:color="auto"/>
        <w:right w:val="none" w:sz="0" w:space="0" w:color="auto"/>
      </w:divBdr>
    </w:div>
    <w:div w:id="2012249269">
      <w:bodyDiv w:val="1"/>
      <w:marLeft w:val="0"/>
      <w:marRight w:val="0"/>
      <w:marTop w:val="0"/>
      <w:marBottom w:val="0"/>
      <w:divBdr>
        <w:top w:val="none" w:sz="0" w:space="0" w:color="auto"/>
        <w:left w:val="none" w:sz="0" w:space="0" w:color="auto"/>
        <w:bottom w:val="none" w:sz="0" w:space="0" w:color="auto"/>
        <w:right w:val="none" w:sz="0" w:space="0" w:color="auto"/>
      </w:divBdr>
    </w:div>
    <w:div w:id="2074959232">
      <w:bodyDiv w:val="1"/>
      <w:marLeft w:val="0"/>
      <w:marRight w:val="0"/>
      <w:marTop w:val="0"/>
      <w:marBottom w:val="0"/>
      <w:divBdr>
        <w:top w:val="none" w:sz="0" w:space="0" w:color="auto"/>
        <w:left w:val="none" w:sz="0" w:space="0" w:color="auto"/>
        <w:bottom w:val="none" w:sz="0" w:space="0" w:color="auto"/>
        <w:right w:val="none" w:sz="0" w:space="0" w:color="auto"/>
      </w:divBdr>
    </w:div>
    <w:div w:id="2086997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04.safelinks.protection.outlook.com/?url=https%3A%2F%2Ftrails-um.primo.exlibrisgroup.com%2Fdiscovery%2Fsearch%3Fvid%3D01TRAILS_UM%3A01TRAILS_UM&amp;data=05%7C01%7Ctomas.hernandez%40mso.umt.edu%7Ce92f0c10695948b1024008dbab0c80aa%7C68407ce503da49ffaf0a724be0d37c9d%7C0%7C0%7C638291842724972769%7CUnknown%7CTWFpbGZsb3d8eyJWIjoiMC4wLjAwMDAiLCJQIjoiV2luMzIiLCJBTiI6Ik1haWwiLCJXVCI6Mn0%3D%7C3000%7C%7C%7C&amp;sdata=CGVgEauDZH4DkyC6c%2BLVHQng%2FajRpsve9Nd2NvjNb%2Bs%3D&amp;reserved=0" TargetMode="External"/><Relationship Id="rId13" Type="http://schemas.openxmlformats.org/officeDocument/2006/relationships/image" Target="media/image2.png"/><Relationship Id="rId18" Type="http://schemas.openxmlformats.org/officeDocument/2006/relationships/hyperlink" Target="https://nam04.safelinks.protection.outlook.com/?url=https%3A%2F%2Fwww.taylorfrancis.com%2Fbooks%2Fmono%2F10.4324%2F9781003330493%2Fmigrant-health-resilience-peter-koehn-diana-diak%25C3%25B3w-juha-uitto-phyllis-bo-yuen-ngai%3F_ga%3D1767133311.1692135843%26_gl%3D1*1se3gwn*_ga*MTc2NzEzMzMxMS4xNjkyMTM1ODQz*_ga_0HYE8YG0M6*MTY5MjEzNTg0My4xLjAuMTY5MjEzNTg0NC4wLjAuMA..&amp;data=05%7C01%7Ctomas.hernandez%40mso.umt.edu%7C582c6bf4e829479845e508dbaacfbdc8%7C68407ce503da49ffaf0a724be0d37c9d%7C0%7C0%7C638291581448273496%7CUnknown%7CTWFpbGZsb3d8eyJWIjoiMC4wLjAwMDAiLCJQIjoiV2luMzIiLCJBTiI6Ik1haWwiLCJXVCI6Mn0%3D%7C3000%7C%7C%7C&amp;sdata=FCEAEZiWqQEzxgs4xY8fRlx2IRRrj8kuVbEvZqcJuog%3D&amp;reserved=0" TargetMode="External"/><Relationship Id="rId3" Type="http://schemas.openxmlformats.org/officeDocument/2006/relationships/settings" Target="settings.xml"/><Relationship Id="rId7" Type="http://schemas.openxmlformats.org/officeDocument/2006/relationships/hyperlink" Target="https://www.umt.edu/writing-center/" TargetMode="External"/><Relationship Id="rId12" Type="http://schemas.openxmlformats.org/officeDocument/2006/relationships/hyperlink" Target="https://nam04.safelinks.protection.outlook.com/?url=https%3A%2F%2Ftrails-um.primo.exlibrisgroup.com%2Fdiscovery%2Fsearch%3Fvid%3D01TRAILS_UM%3A01TRAILS_UM&amp;data=05%7C01%7Ctomas.hernandez%40mso.umt.edu%7C480323d6eab942dce1b808dbaaf80cec%7C68407ce503da49ffaf0a724be0d37c9d%7C0%7C0%7C638291754575377069%7CUnknown%7CTWFpbGZsb3d8eyJWIjoiMC4wLjAwMDAiLCJQIjoiV2luMzIiLCJBTiI6Ik1haWwiLCJXVCI6Mn0%3D%7C3000%7C%7C%7C&amp;sdata=eQ1gWVhvmB2NMNd5nWUiwF72uwdp4cv92C4E89Rev7s%3D&amp;reserved=0" TargetMode="Externa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nam04.safelinks.protection.outlook.com/?url=https%3A%2F%2Fwww.nytimes.com%2F2023%2F08%2F14%2Fus%2Fmontana-youth-climate-ruling.html&amp;data=05%7C01%7Ctomas.hernandez%40mso.umt.edu%7C480323d6eab942dce1b808dbaaf80cec%7C68407ce503da49ffaf0a724be0d37c9d%7C0%7C0%7C638291754575377069%7CUnknown%7CTWFpbGZsb3d8eyJWIjoiMC4wLjAwMDAiLCJQIjoiV2luMzIiLCJBTiI6Ik1haWwiLCJXVCI6Mn0%3D%7C3000%7C%7C%7C&amp;sdata=AAJAa7SzvQTr7KUTFwV2vLTyPjKCLUehVIyrZlN%2Fms0%3D&amp;reserved=0" TargetMode="External"/><Relationship Id="rId5" Type="http://schemas.openxmlformats.org/officeDocument/2006/relationships/hyperlink" Target="https://www.umt.edu/social-work/default.php" TargetMode="External"/><Relationship Id="rId15" Type="http://schemas.openxmlformats.org/officeDocument/2006/relationships/image" Target="media/image3.png"/><Relationship Id="rId10" Type="http://schemas.openxmlformats.org/officeDocument/2006/relationships/hyperlink" Target="https://nam04.safelinks.protection.outlook.com/?url=https%3A%2F%2Fnarf.org%2Fprotect-icwa-statement%2F&amp;data=05%7C01%7Ctomas.hernandez%40mso.umt.edu%7C480323d6eab942dce1b808dbaaf80cec%7C68407ce503da49ffaf0a724be0d37c9d%7C0%7C0%7C638291754575220969%7CUnknown%7CTWFpbGZsb3d8eyJWIjoiMC4wLjAwMDAiLCJQIjoiV2luMzIiLCJBTiI6Ik1haWwiLCJXVCI6Mn0%3D%7C3000%7C%7C%7C&amp;sdata=tX40RPgOG55OMKLO3f58CF2bV1OtgMQFAbEkLQClmdU%3D&amp;reserved=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nam04.safelinks.protection.outlook.com/?url=https%3A%2F%2Fwww.supremecourt.gov%2Fopinions%2F22pdf%2F21-376_7l48.pdf&amp;data=05%7C01%7Ctomas.hernandez%40mso.umt.edu%7C480323d6eab942dce1b808dbaaf80cec%7C68407ce503da49ffaf0a724be0d37c9d%7C0%7C0%7C638291754575220969%7CUnknown%7CTWFpbGZsb3d8eyJWIjoiMC4wLjAwMDAiLCJQIjoiV2luMzIiLCJBTiI6Ik1haWwiLCJXVCI6Mn0%3D%7C3000%7C%7C%7C&amp;sdata=BnAe%2BJu8pnlFV6aepBQa0nZWSOKItqRFZ8KK6%2Fq4c%2FE%3D&amp;reserved=0" TargetMode="External"/><Relationship Id="rId14" Type="http://schemas.openxmlformats.org/officeDocument/2006/relationships/hyperlink" Target="https://nam04.safelinks.protection.outlook.com/?url=https%3A%2F%2Fwww.nami.org%2FHome&amp;data=05%7C01%7Ctomas.hernandez%40mso.umt.edu%7C582c6bf4e829479845e508dbaacfbdc8%7C68407ce503da49ffaf0a724be0d37c9d%7C0%7C0%7C638291581448273496%7CUnknown%7CTWFpbGZsb3d8eyJWIjoiMC4wLjAwMDAiLCJQIjoiV2luMzIiLCJBTiI6Ik1haWwiLCJXVCI6Mn0%3D%7C3000%7C%7C%7C&amp;sdata=NLdFtZiiUUypa%2FAoLoq095NlTqemU%2F1zCunWF5QTA0I%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1420</Words>
  <Characters>8099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Tomas</dc:creator>
  <cp:keywords/>
  <dc:description/>
  <cp:lastModifiedBy>Hernandez, Tomas</cp:lastModifiedBy>
  <cp:revision>16</cp:revision>
  <dcterms:created xsi:type="dcterms:W3CDTF">2026-02-11T19:48:00Z</dcterms:created>
  <dcterms:modified xsi:type="dcterms:W3CDTF">2026-02-11T19:56:00Z</dcterms:modified>
</cp:coreProperties>
</file>