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Caption w:val="Online Lesson Planning Template for Faculty"/>
        <w:tblDescription w:val="This is a template for online lesson planning that faculty may use. The first column dictates the time alloted that faculty can insert. The middle column contains text on the strategy, and the third column contains open space for plans and notes faculty may have when creating their plans. "/>
      </w:tblPr>
      <w:tblGrid>
        <w:gridCol w:w="714"/>
        <w:gridCol w:w="2786"/>
        <w:gridCol w:w="5840"/>
      </w:tblGrid>
      <w:tr w:rsidR="00C645D6" w:rsidTr="00C645D6">
        <w:trPr>
          <w:cantSplit/>
          <w:trHeight w:val="1134"/>
          <w:tblHeader/>
        </w:trPr>
        <w:tc>
          <w:tcPr>
            <w:tcW w:w="0" w:type="auto"/>
            <w:tcBorders>
              <w:top w:val="single" w:sz="8" w:space="0" w:color="000000"/>
              <w:left w:val="single" w:sz="8" w:space="0" w:color="000000"/>
              <w:bottom w:val="single" w:sz="8" w:space="0" w:color="000000"/>
              <w:right w:val="single" w:sz="8" w:space="0" w:color="000000"/>
            </w:tcBorders>
            <w:shd w:val="clear" w:color="auto" w:fill="DBE8FE"/>
            <w:tcMar>
              <w:top w:w="100" w:type="dxa"/>
              <w:left w:w="100" w:type="dxa"/>
              <w:bottom w:w="100" w:type="dxa"/>
              <w:right w:w="100" w:type="dxa"/>
            </w:tcMar>
            <w:hideMark/>
          </w:tcPr>
          <w:p w:rsidR="00C645D6" w:rsidRDefault="00C645D6" w:rsidP="00C645D6">
            <w:pPr>
              <w:pStyle w:val="NormalWeb"/>
              <w:spacing w:before="0" w:beforeAutospacing="0" w:after="200" w:afterAutospacing="0"/>
              <w:jc w:val="center"/>
            </w:pPr>
            <w:r>
              <w:rPr>
                <w:rFonts w:ascii="Arial" w:hAnsi="Arial" w:cs="Arial"/>
                <w:b/>
                <w:bCs/>
                <w:color w:val="000000"/>
                <w:sz w:val="22"/>
                <w:szCs w:val="22"/>
              </w:rPr>
              <w:t>Time</w:t>
            </w:r>
          </w:p>
        </w:tc>
        <w:tc>
          <w:tcPr>
            <w:tcW w:w="2786" w:type="dxa"/>
            <w:tcBorders>
              <w:top w:val="single" w:sz="8" w:space="0" w:color="000000"/>
              <w:left w:val="single" w:sz="8" w:space="0" w:color="000000"/>
              <w:bottom w:val="single" w:sz="8" w:space="0" w:color="000000"/>
              <w:right w:val="single" w:sz="8" w:space="0" w:color="000000"/>
            </w:tcBorders>
            <w:shd w:val="clear" w:color="auto" w:fill="DBE8FE"/>
            <w:tcMar>
              <w:top w:w="100" w:type="dxa"/>
              <w:left w:w="100" w:type="dxa"/>
              <w:bottom w:w="100" w:type="dxa"/>
              <w:right w:w="100" w:type="dxa"/>
            </w:tcMar>
            <w:hideMark/>
          </w:tcPr>
          <w:p w:rsidR="00C645D6" w:rsidRDefault="00C645D6" w:rsidP="00C645D6">
            <w:pPr>
              <w:pStyle w:val="NormalWeb"/>
              <w:spacing w:before="0" w:beforeAutospacing="0" w:after="200" w:afterAutospacing="0"/>
              <w:jc w:val="center"/>
            </w:pPr>
            <w:r>
              <w:rPr>
                <w:rFonts w:ascii="Arial" w:hAnsi="Arial" w:cs="Arial"/>
                <w:b/>
                <w:bCs/>
                <w:color w:val="000000"/>
                <w:sz w:val="22"/>
                <w:szCs w:val="22"/>
              </w:rPr>
              <w:t>Strategy</w:t>
            </w:r>
          </w:p>
        </w:tc>
        <w:tc>
          <w:tcPr>
            <w:tcW w:w="5840" w:type="dxa"/>
            <w:tcBorders>
              <w:top w:val="single" w:sz="8" w:space="0" w:color="000000"/>
              <w:left w:val="single" w:sz="8" w:space="0" w:color="000000"/>
              <w:bottom w:val="single" w:sz="8" w:space="0" w:color="000000"/>
              <w:right w:val="single" w:sz="8" w:space="0" w:color="000000"/>
            </w:tcBorders>
            <w:shd w:val="clear" w:color="auto" w:fill="DBE8FE"/>
            <w:tcMar>
              <w:top w:w="100" w:type="dxa"/>
              <w:left w:w="100" w:type="dxa"/>
              <w:bottom w:w="100" w:type="dxa"/>
              <w:right w:w="100" w:type="dxa"/>
            </w:tcMar>
            <w:hideMark/>
          </w:tcPr>
          <w:p w:rsidR="00C645D6" w:rsidRDefault="00C645D6" w:rsidP="00C645D6">
            <w:pPr>
              <w:pStyle w:val="NormalWeb"/>
              <w:spacing w:before="0" w:beforeAutospacing="0" w:after="200" w:afterAutospacing="0"/>
              <w:jc w:val="center"/>
            </w:pPr>
            <w:r>
              <w:rPr>
                <w:rFonts w:ascii="Arial" w:hAnsi="Arial" w:cs="Arial"/>
                <w:b/>
                <w:bCs/>
                <w:color w:val="000000"/>
                <w:sz w:val="22"/>
                <w:szCs w:val="22"/>
              </w:rPr>
              <w:t>Your Plans/Notes</w:t>
            </w:r>
          </w:p>
        </w:tc>
      </w:tr>
      <w:tr w:rsidR="00C645D6" w:rsidTr="00C6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tc>
        <w:tc>
          <w:tcPr>
            <w:tcW w:w="2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pPr>
              <w:pStyle w:val="NormalWeb"/>
              <w:spacing w:before="0" w:beforeAutospacing="0" w:after="200" w:afterAutospacing="0"/>
            </w:pPr>
            <w:r>
              <w:rPr>
                <w:rFonts w:ascii="Arial" w:hAnsi="Arial" w:cs="Arial"/>
                <w:b/>
                <w:bCs/>
                <w:color w:val="000000"/>
                <w:sz w:val="22"/>
                <w:szCs w:val="22"/>
              </w:rPr>
              <w:t>Warm Welcome/</w:t>
            </w:r>
            <w:r>
              <w:rPr>
                <w:rFonts w:ascii="Arial" w:hAnsi="Arial" w:cs="Arial"/>
                <w:b/>
                <w:bCs/>
                <w:color w:val="000000"/>
                <w:sz w:val="22"/>
                <w:szCs w:val="22"/>
              </w:rPr>
              <w:t xml:space="preserve"> </w:t>
            </w:r>
            <w:r>
              <w:rPr>
                <w:rFonts w:ascii="Arial" w:hAnsi="Arial" w:cs="Arial"/>
                <w:b/>
                <w:bCs/>
                <w:color w:val="000000"/>
                <w:sz w:val="22"/>
                <w:szCs w:val="22"/>
              </w:rPr>
              <w:t>Check-in</w:t>
            </w:r>
          </w:p>
          <w:p w:rsidR="00C645D6" w:rsidRDefault="00C645D6" w:rsidP="00672C1C">
            <w:pPr>
              <w:pStyle w:val="NormalWeb"/>
              <w:spacing w:before="0" w:beforeAutospacing="0" w:after="200" w:afterAutospacing="0"/>
            </w:pPr>
            <w:r>
              <w:rPr>
                <w:rFonts w:ascii="Arial" w:hAnsi="Arial" w:cs="Arial"/>
                <w:color w:val="000000"/>
                <w:sz w:val="22"/>
                <w:szCs w:val="22"/>
              </w:rPr>
              <w:t>Welcome students to class. Arrive 10 minutes early to allow time for informal chat. Remind students of resources and support.</w:t>
            </w:r>
          </w:p>
        </w:tc>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tc>
        <w:bookmarkStart w:id="0" w:name="_GoBack"/>
        <w:bookmarkEnd w:id="0"/>
      </w:tr>
      <w:tr w:rsidR="00C645D6" w:rsidTr="00C6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tc>
        <w:tc>
          <w:tcPr>
            <w:tcW w:w="2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pPr>
              <w:pStyle w:val="NormalWeb"/>
              <w:spacing w:before="0" w:beforeAutospacing="0" w:after="200" w:afterAutospacing="0"/>
            </w:pPr>
            <w:r>
              <w:rPr>
                <w:rFonts w:ascii="Arial" w:hAnsi="Arial" w:cs="Arial"/>
                <w:b/>
                <w:bCs/>
                <w:color w:val="000000"/>
                <w:sz w:val="22"/>
                <w:szCs w:val="22"/>
              </w:rPr>
              <w:t>Activate Prior Knowledge</w:t>
            </w:r>
          </w:p>
          <w:p w:rsidR="00C645D6" w:rsidRDefault="00C645D6" w:rsidP="00672C1C">
            <w:pPr>
              <w:pStyle w:val="NormalWeb"/>
              <w:spacing w:before="0" w:beforeAutospacing="0" w:after="200" w:afterAutospacing="0"/>
            </w:pPr>
            <w:r>
              <w:rPr>
                <w:rFonts w:ascii="Arial" w:hAnsi="Arial" w:cs="Arial"/>
                <w:color w:val="000000"/>
                <w:sz w:val="22"/>
                <w:szCs w:val="22"/>
              </w:rPr>
              <w:t>Share a quick video or story about the day’s topic. Ask students to share in the chat their definition/thoughts on the day’s topic or run a quick poll.</w:t>
            </w:r>
          </w:p>
        </w:tc>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tc>
      </w:tr>
      <w:tr w:rsidR="00C645D6" w:rsidTr="00C6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tc>
        <w:tc>
          <w:tcPr>
            <w:tcW w:w="2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pPr>
              <w:pStyle w:val="NormalWeb"/>
              <w:spacing w:before="0" w:beforeAutospacing="0" w:after="200" w:afterAutospacing="0"/>
            </w:pPr>
            <w:r>
              <w:rPr>
                <w:rFonts w:ascii="Arial" w:hAnsi="Arial" w:cs="Arial"/>
                <w:b/>
                <w:bCs/>
                <w:color w:val="000000"/>
                <w:sz w:val="22"/>
                <w:szCs w:val="22"/>
              </w:rPr>
              <w:t>Lecture</w:t>
            </w:r>
          </w:p>
          <w:p w:rsidR="00C645D6" w:rsidRDefault="00C645D6" w:rsidP="00672C1C">
            <w:pPr>
              <w:pStyle w:val="NormalWeb"/>
              <w:spacing w:before="0" w:beforeAutospacing="0" w:after="200" w:afterAutospacing="0"/>
            </w:pPr>
            <w:r>
              <w:rPr>
                <w:rFonts w:ascii="Arial" w:hAnsi="Arial" w:cs="Arial"/>
                <w:color w:val="000000"/>
                <w:sz w:val="22"/>
                <w:szCs w:val="22"/>
              </w:rPr>
              <w:t>Share slides (Google Slides are awesome). Punctuate your lecture with lots of questions. Encourage participation in the chat. Consider having students work in a shared Google doc during the lecture. Be mindful of lecture length.  </w:t>
            </w:r>
          </w:p>
        </w:tc>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tc>
      </w:tr>
      <w:tr w:rsidR="00C645D6" w:rsidTr="00C6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tc>
        <w:tc>
          <w:tcPr>
            <w:tcW w:w="2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pPr>
              <w:pStyle w:val="NormalWeb"/>
              <w:spacing w:before="0" w:beforeAutospacing="0" w:after="200" w:afterAutospacing="0"/>
            </w:pPr>
            <w:r>
              <w:rPr>
                <w:rFonts w:ascii="Arial" w:hAnsi="Arial" w:cs="Arial"/>
                <w:b/>
                <w:bCs/>
                <w:color w:val="000000"/>
                <w:sz w:val="22"/>
                <w:szCs w:val="22"/>
              </w:rPr>
              <w:t>Questions</w:t>
            </w:r>
          </w:p>
          <w:p w:rsidR="00C645D6" w:rsidRDefault="00C645D6" w:rsidP="00672C1C">
            <w:pPr>
              <w:pStyle w:val="NormalWeb"/>
              <w:spacing w:before="0" w:beforeAutospacing="0" w:after="200" w:afterAutospacing="0"/>
            </w:pPr>
            <w:r>
              <w:rPr>
                <w:rFonts w:ascii="Arial" w:hAnsi="Arial" w:cs="Arial"/>
                <w:color w:val="000000"/>
                <w:sz w:val="22"/>
                <w:szCs w:val="22"/>
              </w:rPr>
              <w:t>Pause and allow time for questions. Students can come on-camera in most platforms. Also encourage chat questions.</w:t>
            </w:r>
          </w:p>
        </w:tc>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tc>
      </w:tr>
      <w:tr w:rsidR="00C645D6" w:rsidTr="00C6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tc>
        <w:tc>
          <w:tcPr>
            <w:tcW w:w="2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pPr>
              <w:pStyle w:val="NormalWeb"/>
              <w:spacing w:before="0" w:beforeAutospacing="0" w:after="200" w:afterAutospacing="0"/>
            </w:pPr>
            <w:r>
              <w:rPr>
                <w:rFonts w:ascii="Arial" w:hAnsi="Arial" w:cs="Arial"/>
                <w:b/>
                <w:bCs/>
                <w:color w:val="000000"/>
                <w:sz w:val="22"/>
                <w:szCs w:val="22"/>
              </w:rPr>
              <w:t>Activity</w:t>
            </w:r>
          </w:p>
          <w:p w:rsidR="00C645D6" w:rsidRDefault="00C645D6" w:rsidP="00672C1C">
            <w:pPr>
              <w:pStyle w:val="NormalWeb"/>
              <w:spacing w:before="0" w:beforeAutospacing="0" w:after="200" w:afterAutospacing="0"/>
            </w:pPr>
            <w:r>
              <w:rPr>
                <w:rFonts w:ascii="Arial" w:hAnsi="Arial" w:cs="Arial"/>
                <w:color w:val="000000"/>
                <w:sz w:val="22"/>
                <w:szCs w:val="22"/>
              </w:rPr>
              <w:t xml:space="preserve">Run a group activity via </w:t>
            </w:r>
            <w:hyperlink r:id="rId4" w:history="1">
              <w:r>
                <w:rPr>
                  <w:rStyle w:val="Hyperlink"/>
                  <w:rFonts w:ascii="Arial" w:hAnsi="Arial" w:cs="Arial"/>
                  <w:color w:val="1155CC"/>
                  <w:sz w:val="22"/>
                  <w:szCs w:val="22"/>
                </w:rPr>
                <w:t>breakout rooms in Zoom</w:t>
              </w:r>
            </w:hyperlink>
            <w:r>
              <w:rPr>
                <w:rFonts w:ascii="Arial" w:hAnsi="Arial" w:cs="Arial"/>
                <w:color w:val="000000"/>
                <w:sz w:val="22"/>
                <w:szCs w:val="22"/>
              </w:rPr>
              <w:t>. Provide clear expectations and assign one person in each group to be the reporter, another to be timekeeper, and another to keep the group on task.</w:t>
            </w:r>
          </w:p>
        </w:tc>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tc>
      </w:tr>
      <w:tr w:rsidR="00C645D6" w:rsidTr="00C6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tc>
        <w:tc>
          <w:tcPr>
            <w:tcW w:w="2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pPr>
              <w:pStyle w:val="NormalWeb"/>
              <w:spacing w:before="0" w:beforeAutospacing="0" w:after="200" w:afterAutospacing="0"/>
            </w:pPr>
            <w:r>
              <w:rPr>
                <w:rFonts w:ascii="Arial" w:hAnsi="Arial" w:cs="Arial"/>
                <w:b/>
                <w:bCs/>
                <w:color w:val="000000"/>
                <w:sz w:val="22"/>
                <w:szCs w:val="22"/>
              </w:rPr>
              <w:t>Process Activity</w:t>
            </w:r>
          </w:p>
          <w:p w:rsidR="00C645D6" w:rsidRDefault="00C645D6" w:rsidP="00672C1C">
            <w:pPr>
              <w:pStyle w:val="NormalWeb"/>
              <w:spacing w:before="0" w:beforeAutospacing="0" w:after="200" w:afterAutospacing="0"/>
            </w:pPr>
            <w:r>
              <w:rPr>
                <w:rFonts w:ascii="Arial" w:hAnsi="Arial" w:cs="Arial"/>
                <w:color w:val="000000"/>
                <w:sz w:val="22"/>
                <w:szCs w:val="22"/>
              </w:rPr>
              <w:t>Bring students back into the main room and ask each group to report out. Process together as a large group.</w:t>
            </w:r>
          </w:p>
        </w:tc>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tc>
      </w:tr>
      <w:tr w:rsidR="00C645D6" w:rsidTr="00C6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tc>
        <w:tc>
          <w:tcPr>
            <w:tcW w:w="2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pPr>
              <w:pStyle w:val="NormalWeb"/>
              <w:spacing w:before="0" w:beforeAutospacing="0" w:after="200" w:afterAutospacing="0"/>
            </w:pPr>
            <w:r>
              <w:rPr>
                <w:rFonts w:ascii="Arial" w:hAnsi="Arial" w:cs="Arial"/>
                <w:b/>
                <w:bCs/>
                <w:color w:val="000000"/>
                <w:sz w:val="22"/>
                <w:szCs w:val="22"/>
              </w:rPr>
              <w:t>Repeat Lecture, Questions, Activity, and Process Activity as needed.</w:t>
            </w:r>
          </w:p>
        </w:tc>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tc>
      </w:tr>
      <w:tr w:rsidR="00C645D6" w:rsidTr="00C6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tc>
        <w:tc>
          <w:tcPr>
            <w:tcW w:w="2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pPr>
              <w:pStyle w:val="NormalWeb"/>
              <w:spacing w:before="0" w:beforeAutospacing="0" w:after="200" w:afterAutospacing="0"/>
            </w:pPr>
            <w:r>
              <w:rPr>
                <w:rFonts w:ascii="Arial" w:hAnsi="Arial" w:cs="Arial"/>
                <w:b/>
                <w:bCs/>
                <w:color w:val="000000"/>
                <w:sz w:val="22"/>
                <w:szCs w:val="22"/>
              </w:rPr>
              <w:t>Plans for Next Class</w:t>
            </w:r>
          </w:p>
          <w:p w:rsidR="00C645D6" w:rsidRDefault="00C645D6" w:rsidP="00672C1C">
            <w:pPr>
              <w:pStyle w:val="NormalWeb"/>
              <w:spacing w:before="0" w:beforeAutospacing="0" w:after="200" w:afterAutospacing="0"/>
            </w:pPr>
            <w:r>
              <w:rPr>
                <w:rFonts w:ascii="Arial" w:hAnsi="Arial" w:cs="Arial"/>
                <w:color w:val="000000"/>
                <w:sz w:val="22"/>
                <w:szCs w:val="22"/>
              </w:rPr>
              <w:t>Review plans and expectations for the next meeting. Clarify what students will need to do on their own time. Review resources.</w:t>
            </w:r>
          </w:p>
        </w:tc>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tc>
      </w:tr>
      <w:tr w:rsidR="00C645D6" w:rsidTr="00C6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tc>
        <w:tc>
          <w:tcPr>
            <w:tcW w:w="2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pPr>
              <w:pStyle w:val="NormalWeb"/>
              <w:spacing w:before="0" w:beforeAutospacing="0" w:after="200" w:afterAutospacing="0"/>
            </w:pPr>
            <w:r>
              <w:rPr>
                <w:rFonts w:ascii="Arial" w:hAnsi="Arial" w:cs="Arial"/>
                <w:b/>
                <w:bCs/>
                <w:color w:val="000000"/>
                <w:sz w:val="22"/>
                <w:szCs w:val="22"/>
              </w:rPr>
              <w:t>Formative Assessment</w:t>
            </w:r>
          </w:p>
          <w:p w:rsidR="00C645D6" w:rsidRDefault="00C645D6" w:rsidP="00672C1C">
            <w:pPr>
              <w:pStyle w:val="NormalWeb"/>
              <w:spacing w:before="0" w:beforeAutospacing="0" w:after="200" w:afterAutospacing="0"/>
            </w:pPr>
            <w:r>
              <w:rPr>
                <w:rFonts w:ascii="Arial" w:hAnsi="Arial" w:cs="Arial"/>
                <w:color w:val="000000"/>
                <w:sz w:val="22"/>
                <w:szCs w:val="22"/>
              </w:rPr>
              <w:t xml:space="preserve">Use poll, chat, or a Google doc to perform a quick, formative assessment of student learning. The </w:t>
            </w:r>
            <w:hyperlink r:id="rId5" w:history="1">
              <w:r>
                <w:rPr>
                  <w:rStyle w:val="Hyperlink"/>
                  <w:rFonts w:ascii="Arial" w:hAnsi="Arial" w:cs="Arial"/>
                  <w:color w:val="1155CC"/>
                  <w:sz w:val="22"/>
                  <w:szCs w:val="22"/>
                </w:rPr>
                <w:t>list of 50 CATs</w:t>
              </w:r>
            </w:hyperlink>
            <w:r>
              <w:rPr>
                <w:rFonts w:ascii="Arial" w:hAnsi="Arial" w:cs="Arial"/>
                <w:color w:val="000000"/>
                <w:sz w:val="22"/>
                <w:szCs w:val="22"/>
              </w:rPr>
              <w:t xml:space="preserve"> is a resource.</w:t>
            </w:r>
          </w:p>
        </w:tc>
        <w:tc>
          <w:tcPr>
            <w:tcW w:w="5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45D6" w:rsidRDefault="00C645D6" w:rsidP="00672C1C"/>
        </w:tc>
      </w:tr>
    </w:tbl>
    <w:p w:rsidR="009167C6" w:rsidRDefault="00A938B2"/>
    <w:sectPr w:rsidR="00916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D6"/>
    <w:rsid w:val="003046B7"/>
    <w:rsid w:val="009F6392"/>
    <w:rsid w:val="00A938B2"/>
    <w:rsid w:val="00C645D6"/>
    <w:rsid w:val="00DB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D16A"/>
  <w15:chartTrackingRefBased/>
  <w15:docId w15:val="{36B678FC-225A-4B5A-89EF-C524EF24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45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45D6"/>
    <w:rPr>
      <w:color w:val="0000FF"/>
      <w:u w:val="single"/>
    </w:rPr>
  </w:style>
  <w:style w:type="paragraph" w:styleId="BalloonText">
    <w:name w:val="Balloon Text"/>
    <w:basedOn w:val="Normal"/>
    <w:link w:val="BalloonTextChar"/>
    <w:uiPriority w:val="99"/>
    <w:semiHidden/>
    <w:unhideWhenUsed/>
    <w:rsid w:val="00C64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csa.ucsd.edu/_files/assessment/resources/50_cats.pdf" TargetMode="External"/><Relationship Id="rId4" Type="http://schemas.openxmlformats.org/officeDocument/2006/relationships/hyperlink" Target="https://support.zoom.us/hc/en-us/articles/206476093-Getting-Started-with-Breakout-Ro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Niekamp, Breanna</dc:creator>
  <cp:keywords/>
  <dc:description/>
  <cp:lastModifiedBy>Niekamp, Breanna</cp:lastModifiedBy>
  <cp:revision>3</cp:revision>
  <dcterms:created xsi:type="dcterms:W3CDTF">2020-03-11T18:41:00Z</dcterms:created>
  <dcterms:modified xsi:type="dcterms:W3CDTF">2020-03-11T18:45:00Z</dcterms:modified>
</cp:coreProperties>
</file>